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mnarsmmlugjo" w:id="0"/>
      <w:bookmarkEnd w:id="0"/>
      <w:r w:rsidDel="00000000" w:rsidR="00000000" w:rsidRPr="00000000">
        <w:rPr>
          <w:b w:val="1"/>
          <w:bCs w:val="1"/>
          <w:rtl w:val="0"/>
        </w:rPr>
        <w:t xml:space="preserve">21_ 🏛️ 金融庁（FSA）向け 行政説明資料の構成（全6構成：完全防衛・国策準拠版）【v6改訂版】</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ck0uydfdhxq" w:id="1"/>
      <w:bookmarkEnd w:id="1"/>
      <w:r w:rsidDel="00000000" w:rsidR="00000000" w:rsidRPr="00000000">
        <w:rPr>
          <w:b w:val="1"/>
          <w:bCs w:val="1"/>
          <w:color w:val="000000"/>
          <w:sz w:val="26"/>
          <w:szCs w:val="26"/>
          <w:rtl w:val="0"/>
        </w:rPr>
        <w:t xml:space="preserve">📋 スライド1：表紙（大義名分の提示）</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タイトル</w:t>
      </w:r>
      <w:r w:rsidDel="00000000" w:rsidR="00000000" w:rsidRPr="00000000">
        <w:rPr>
          <w:rtl w:val="0"/>
        </w:rPr>
        <w:t xml:space="preserve">:</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『産官学連携による次世代金融リテラシー向上と、家庭内資産の健全な還流促進に向けたデジタル教育サンドボックス環境の実証計画（構成案）』</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提出者</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日本電信電話株式会社（NTT） 金融ソリューション政策推進班</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骨子</w:t>
      </w:r>
      <w:r w:rsidDel="00000000" w:rsidR="00000000" w:rsidRPr="00000000">
        <w:rPr>
          <w:rtl w:val="0"/>
        </w:rPr>
        <w:t xml:space="preserve">:</w:t>
      </w:r>
    </w:p>
    <w:p w:rsidR="00000000" w:rsidDel="00000000" w:rsidP="00000000" w:rsidRDefault="00000000" w:rsidRPr="00000000" w14:paraId="00000008">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高校の金融教育義務化に伴う教育現場の指導リソース不足を解決する、完全「中立・公平」のデジタル副読本・補助教材としての提案である旨を明記。民間色の強い「TWB」というプロダクト名は極力排し、公共インフラとしてのナラティブを前面に出す。</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xic9q8k5fniw" w:id="2"/>
      <w:bookmarkEnd w:id="2"/>
      <w:r w:rsidDel="00000000" w:rsidR="00000000" w:rsidRPr="00000000">
        <w:rPr>
          <w:b w:val="1"/>
          <w:bCs w:val="1"/>
          <w:color w:val="000000"/>
          <w:sz w:val="26"/>
          <w:szCs w:val="26"/>
          <w:rtl w:val="0"/>
        </w:rPr>
        <w:t xml:space="preserve">📋 スライド2：【構造的課題】教育現場の限界と、家計資産の流動性低下</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Fonts w:ascii="Arial Unicode MS" w:cs="Arial Unicode MS" w:eastAsia="Arial Unicode MS" w:hAnsi="Arial Unicode MS"/>
          <w:rtl w:val="0"/>
        </w:rPr>
        <w:t xml:space="preserve">: 我が国のリテール金融・教育現場が抱える2つのマクロ構造課題を、客観的なデータと共に提示。</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金融経済教育が義務化されたものの、教育現場の専門知識・リソース不足により、実効性のある具体的な授業運営やカリキュラム定着が形骸化している現状。</w:t>
      </w:r>
    </w:p>
    <w:p w:rsidR="00000000" w:rsidDel="00000000" w:rsidP="00000000" w:rsidRDefault="00000000" w:rsidRPr="00000000" w14:paraId="0000000C">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高齢者層が保有する「1,000兆円超の現預金・タンス預金」が、親族間での贈与手続きの煩雑さ（暦年贈与の管理・記録負担や名義預金リスク）および複数口座跨ぎの複雑な税務負担を主因として、次世代の生産的な長期投資（新NISA・こどもNISA等）へ円滑に還流していない課題。</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jrdzwwczhd8a" w:id="3"/>
      <w:bookmarkEnd w:id="3"/>
      <w:r w:rsidDel="00000000" w:rsidR="00000000" w:rsidRPr="00000000">
        <w:rPr>
          <w:b w:val="1"/>
          <w:bCs w:val="1"/>
          <w:color w:val="000000"/>
          <w:sz w:val="26"/>
          <w:szCs w:val="26"/>
          <w:rtl w:val="0"/>
        </w:rPr>
        <w:t xml:space="preserve">📋 スライド3：解決策：純国産テックによる「リスクゼロ」の体験型教育システム</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Fonts w:ascii="Arial Unicode MS" w:cs="Arial Unicode MS" w:eastAsia="Arial Unicode MS" w:hAnsi="Arial Unicode MS"/>
          <w:rtl w:val="0"/>
        </w:rPr>
        <w:t xml:space="preserve">: NTTグループの総力を挙げた解決アプローチの提示。</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抽象的な投資理論の座学ではなく、日々の「お小遣い管理のトレードオフ（流動性と機会損失の選択）」をベースにした、子供向けのサンドボックス（仮想学習空間）の提供。</w:t>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民間金融機関の特定商取引・広告を徹底排除し、教育環境としての「中立性・公平性」を100%担保したプラットフォームであることの宣言。</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sectPr>
          <w:pgSz w:h="16834" w:w="11909" w:orient="portrait"/>
          <w:pgMar w:bottom="1440" w:top="1440" w:left="1440" w:right="1440" w:header="720" w:footer="720"/>
          <w:pgNumType w:start="1"/>
        </w:sectPr>
      </w:pPr>
      <w:bookmarkStart w:colFirst="0" w:colLast="0" w:name="_b4ffr761mjua" w:id="4"/>
      <w:bookmarkEnd w:id="4"/>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ryehskkz362h" w:id="5"/>
      <w:bookmarkEnd w:id="5"/>
      <w:r w:rsidDel="00000000" w:rsidR="00000000" w:rsidRPr="00000000">
        <w:rPr>
          <w:b w:val="1"/>
          <w:bCs w:val="1"/>
          <w:color w:val="000000"/>
          <w:sz w:val="26"/>
          <w:szCs w:val="26"/>
          <w:rtl w:val="0"/>
        </w:rPr>
        <w:t xml:space="preserve">📋 スライド4：【リーガル＆タックス・ガードレール】行政の懸念を先回りして解消するシステム物理ロック</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Fonts w:ascii="Arial Unicode MS" w:cs="Arial Unicode MS" w:eastAsia="Arial Unicode MS" w:hAnsi="Arial Unicode MS"/>
          <w:rtl w:val="0"/>
        </w:rPr>
        <w:t xml:space="preserve">: 法令遵守および利用者の安全性について、システム上『発生不可能な構造』を確立していることを証明。</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出力検閲ロック（金商法・マルチ口座対応）</w:t>
      </w:r>
      <w:r w:rsidDel="00000000" w:rsidR="00000000" w:rsidRPr="00000000">
        <w:rPr>
          <w:rFonts w:ascii="Arial Unicode MS" w:cs="Arial Unicode MS" w:eastAsia="Arial Unicode MS" w:hAnsi="Arial Unicode MS"/>
          <w:rtl w:val="0"/>
        </w:rPr>
        <w:t xml:space="preserve">: 純国産LLM「tsuzumi」のアウトプット層に「出力検閲フィルター（物理ガードレール）」を配置。一般・特定・NISA口座間の適切なルーティングを行い、特定個別銘柄の推奨や断定的利益の約束に該当する表現を「物理的に遮断」し、無登録での投資助言規制（金商法）の非該当性を完全担保。あわせて、こどもNISAにおいては「成長投資枠」を物理遮断し、「つみたて投資枠」対象商品のみに限定制御。</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高度税務境界値ロック＆スマート電子贈与（税法対応）</w:t>
      </w:r>
      <w:r w:rsidDel="00000000" w:rsidR="00000000" w:rsidRPr="00000000">
        <w:rPr>
          <w:rFonts w:ascii="Arial Unicode MS" w:cs="Arial Unicode MS" w:eastAsia="Arial Unicode MS" w:hAnsi="Arial Unicode MS"/>
          <w:rtl w:val="0"/>
        </w:rPr>
        <w:t xml:space="preserve">: 暦年贈与の基礎控除額（年間110万円）、こどもNISA枠（年間60万円）、最高裁判決に準拠した為替差益（給与所得者における雑所得20万円上限ライン）に加え、</w:t>
      </w:r>
      <w:r w:rsidDel="00000000" w:rsidR="00000000" w:rsidRPr="00000000">
        <w:rPr>
          <w:rFonts w:ascii="Arial Unicode MS" w:cs="Arial Unicode MS" w:eastAsia="Arial Unicode MS" w:hAnsi="Arial Unicode MS"/>
          <w:rtl w:val="0"/>
        </w:rPr>
        <w:t xml:space="preserve">国内全口座区分（一般・特定・NISA）の損益通算＆3年繰越控除の自動算定、富裕層向けミニマムタックス（最低30%課税）自動判定</w:t>
      </w:r>
      <w:r w:rsidDel="00000000" w:rsidR="00000000" w:rsidRPr="00000000">
        <w:rPr>
          <w:rFonts w:ascii="Arial Unicode MS" w:cs="Arial Unicode MS" w:eastAsia="Arial Unicode MS" w:hAnsi="Arial Unicode MS"/>
          <w:rtl w:val="0"/>
        </w:rPr>
        <w:t xml:space="preserve">、ならびに米国株の61日間ウォッシュセール（30日ルール）回避判定および代替銘柄提案（Tax-Loss Harvesting）を絶対境界値（ハードバウンダリ）として設定。</w:t>
      </w:r>
    </w:p>
    <w:p w:rsidR="00000000" w:rsidDel="00000000" w:rsidP="00000000" w:rsidRDefault="00000000" w:rsidRPr="00000000" w14:paraId="00000016">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シミュレーション額や取引データが境界値手前に達した時点で「事前スマート通知」を発信し、境界値に達したトランザクションはシステム側で自動停止（ホールド）。さらにLITRON COREによるスマート電子贈与プロトコル（電子署名・タイムスタンプ、ゆらぎ制御、目的別タグ付け）を標準実装し、定期贈与・名義預金認定および意図せぬ税務申告漏れ・課税リスクをシステム主導で自動排除する安全な資産還流支援アーキテクチャの解説。</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8v9ibhlap2" w:id="6"/>
      <w:bookmarkEnd w:id="6"/>
      <w:r w:rsidDel="00000000" w:rsidR="00000000" w:rsidRPr="00000000">
        <w:rPr>
          <w:b w:val="1"/>
          <w:bCs w:val="1"/>
          <w:color w:val="000000"/>
          <w:sz w:val="26"/>
          <w:szCs w:val="26"/>
          <w:rtl w:val="0"/>
        </w:rPr>
        <w:t xml:space="preserve">📋 スライド5：【中立性の死守】マルチ・ブローカー・プラットフォームの思想</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Fonts w:ascii="Arial Unicode MS" w:cs="Arial Unicode MS" w:eastAsia="Arial Unicode MS" w:hAnsi="Arial Unicode MS"/>
          <w:rtl w:val="0"/>
        </w:rPr>
        <w:t xml:space="preserve">: 競争政策上の公平性の証明。</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バーチャル環境での学習後、実際のNISA口座開設や金融トランザクションへ遷移するフロント動線（外部リダイレクト）は、特定の1社に固定せず、金融庁の「認可金融機関リスト（ホワイトリスト）」から動的に複数提示・ランダムシャッフル表示を行う『オープン・プロバイダー・プロトコル』のシステム仕様を提示。</w:t>
      </w:r>
    </w:p>
    <w:p w:rsidR="00000000" w:rsidDel="00000000" w:rsidP="00000000" w:rsidRDefault="00000000" w:rsidRPr="00000000" w14:paraId="0000001A">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特定の民間経済圏への不当な顧客囲い込みや優遇を構造的に排除し、金融市場全体の健全な活性化に寄与する中立性をアピール。</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sectPr>
          <w:type w:val="nextPage"/>
          <w:pgSz w:h="16834" w:w="11909" w:orient="portrait"/>
          <w:pgMar w:bottom="1440" w:top="1440" w:left="1440" w:right="1440" w:header="720" w:footer="720"/>
        </w:sectPr>
      </w:pPr>
      <w:bookmarkStart w:colFirst="0" w:colLast="0" w:name="_fup2nfabrl65" w:id="7"/>
      <w:bookmarkEnd w:id="7"/>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mt509iprxuz" w:id="8"/>
      <w:bookmarkEnd w:id="8"/>
      <w:r w:rsidDel="00000000" w:rsidR="00000000" w:rsidRPr="00000000">
        <w:rPr>
          <w:b w:val="1"/>
          <w:bCs w:val="1"/>
          <w:color w:val="000000"/>
          <w:sz w:val="26"/>
          <w:szCs w:val="26"/>
          <w:rtl w:val="0"/>
        </w:rPr>
        <w:t xml:space="preserve">📋 スライド6：【ガバナンスとインフラ】日本国内に閉じたデータ主権の保護と実証実験（PoC）計画</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Fonts w:ascii="Arial Unicode MS" w:cs="Arial Unicode MS" w:eastAsia="Arial Unicode MS" w:hAnsi="Arial Unicode MS"/>
          <w:rtl w:val="0"/>
        </w:rPr>
        <w:t xml:space="preserve">: 国策インフラとして最も重要視されるデータセキュリティとガバナンスの体制提示。</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三重の安全弁によるデータ保護</w:t>
      </w:r>
      <w:r w:rsidDel="00000000" w:rsidR="00000000" w:rsidRPr="00000000">
        <w:rPr>
          <w:rtl w:val="0"/>
        </w:rPr>
        <w:t xml:space="preserve">:</w:t>
      </w:r>
    </w:p>
    <w:p w:rsidR="00000000" w:rsidDel="00000000" w:rsidP="00000000" w:rsidRDefault="00000000" w:rsidRPr="00000000" w14:paraId="0000001F">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フロント（端末側）でのWebAssembly（Wasm）を活用したエッジ完結型一時解析により、機微な個人情報の流出を最小化。</w:t>
      </w:r>
    </w:p>
    <w:p w:rsidR="00000000" w:rsidDel="00000000" w:rsidP="00000000" w:rsidRDefault="00000000" w:rsidRPr="00000000" w14:paraId="00000020">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万が一の環境急変時には、生成AIソリューション「LITRON MAS（マルチエージェント）」による自動ホールド機能が起動。管理責任者（人間）の承認を経てからしか機能制御を行わない安全な2レイヤー構造。</w:t>
      </w:r>
    </w:p>
    <w:p w:rsidR="00000000" w:rsidDel="00000000" w:rsidP="00000000" w:rsidRDefault="00000000" w:rsidRPr="00000000" w14:paraId="00000021">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全てのデータ蓄積およびAI処理は、海外サーバーを経由しない国内の高度なNTTセキュアデータ基盤上で完結させ、データ主権を完全に日本国内で保護（地政学リスクの完全排除）。</w:t>
      </w:r>
    </w:p>
    <w:p w:rsidR="00000000" w:rsidDel="00000000" w:rsidP="00000000" w:rsidRDefault="00000000" w:rsidRPr="00000000" w14:paraId="00000022">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ネクストステップ</w:t>
      </w:r>
      <w:r w:rsidDel="00000000" w:rsidR="00000000" w:rsidRPr="00000000">
        <w:rPr>
          <w:rFonts w:ascii="Arial Unicode MS" w:cs="Arial Unicode MS" w:eastAsia="Arial Unicode MS" w:hAnsi="Arial Unicode MS"/>
          <w:rtl w:val="0"/>
        </w:rPr>
        <w:t xml:space="preserve">: 協力自治体の指定高校等における6ヶ月間の限定実証実験（文書番号：NTT-FSA-2026-001）の実施許可、および金融庁「実証実験ハブ」への参画申請。</w:t>
      </w:r>
    </w:p>
    <w:p w:rsidR="00000000" w:rsidDel="00000000" w:rsidP="00000000" w:rsidRDefault="00000000" w:rsidRPr="00000000" w14:paraId="00000023">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