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rPr>
      </w:pPr>
      <w:bookmarkStart w:colFirst="0" w:colLast="0" w:name="_mvyx7af7ciir" w:id="0"/>
      <w:bookmarkEnd w:id="0"/>
      <w:r w:rsidDel="00000000" w:rsidR="00000000" w:rsidRPr="00000000">
        <w:rPr>
          <w:b w:val="1"/>
          <w:bCs w:val="1"/>
          <w:rtl w:val="0"/>
        </w:rPr>
        <w:t xml:space="preserve">22_ 🏛️ 金融庁（FSA）提出用 A4概要書（レジュメ）【v6改訂版】</w:t>
      </w:r>
    </w:p>
    <w:p w:rsidR="00000000" w:rsidDel="00000000" w:rsidP="00000000" w:rsidRDefault="00000000" w:rsidRPr="00000000" w14:paraId="00000002">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【行政説明資料】</w:t>
      </w:r>
    </w:p>
    <w:p w:rsidR="00000000" w:rsidDel="00000000" w:rsidP="00000000" w:rsidRDefault="00000000" w:rsidRPr="00000000" w14:paraId="00000003">
      <w:pPr>
        <w:spacing w:after="240" w:lineRule="auto"/>
        <w:rPr/>
      </w:pPr>
      <w:r w:rsidDel="00000000" w:rsidR="00000000" w:rsidRPr="00000000">
        <w:rPr>
          <w:rFonts w:ascii="Arial Unicode MS" w:cs="Arial Unicode MS" w:eastAsia="Arial Unicode MS" w:hAnsi="Arial Unicode MS"/>
          <w:b w:val="1"/>
          <w:bCs w:val="1"/>
          <w:rtl w:val="0"/>
        </w:rPr>
        <w:t xml:space="preserve">日時</w:t>
      </w:r>
      <w:r w:rsidDel="00000000" w:rsidR="00000000" w:rsidRPr="00000000">
        <w:rPr>
          <w:rFonts w:ascii="Arial Unicode MS" w:cs="Arial Unicode MS" w:eastAsia="Arial Unicode MS" w:hAnsi="Arial Unicode MS"/>
          <w:rtl w:val="0"/>
        </w:rPr>
        <w:t xml:space="preserve">: 2026年x月</w:t>
      </w:r>
    </w:p>
    <w:p w:rsidR="00000000" w:rsidDel="00000000" w:rsidP="00000000" w:rsidRDefault="00000000" w:rsidRPr="00000000" w14:paraId="00000004">
      <w:pPr>
        <w:spacing w:after="240" w:lineRule="auto"/>
        <w:rPr/>
      </w:pPr>
      <w:r w:rsidDel="00000000" w:rsidR="00000000" w:rsidRPr="00000000">
        <w:rPr>
          <w:rFonts w:ascii="Arial Unicode MS" w:cs="Arial Unicode MS" w:eastAsia="Arial Unicode MS" w:hAnsi="Arial Unicode MS"/>
          <w:b w:val="1"/>
          <w:bCs w:val="1"/>
          <w:rtl w:val="0"/>
        </w:rPr>
        <w:t xml:space="preserve">提出者</w:t>
      </w:r>
      <w:r w:rsidDel="00000000" w:rsidR="00000000" w:rsidRPr="00000000">
        <w:rPr>
          <w:rFonts w:ascii="Arial Unicode MS" w:cs="Arial Unicode MS" w:eastAsia="Arial Unicode MS" w:hAnsi="Arial Unicode MS"/>
          <w:rtl w:val="0"/>
        </w:rPr>
        <w:t xml:space="preserve">: 日本電信電話株式会社（NTT） 金融ソリューション政策推進班</w:t>
      </w:r>
    </w:p>
    <w:p w:rsidR="00000000" w:rsidDel="00000000" w:rsidP="00000000" w:rsidRDefault="00000000" w:rsidRPr="00000000" w14:paraId="00000005">
      <w:pPr>
        <w:spacing w:after="240" w:lineRule="auto"/>
        <w:rPr/>
      </w:pPr>
      <w:r w:rsidDel="00000000" w:rsidR="00000000" w:rsidRPr="00000000">
        <w:rPr>
          <w:rFonts w:ascii="Arial Unicode MS" w:cs="Arial Unicode MS" w:eastAsia="Arial Unicode MS" w:hAnsi="Arial Unicode MS"/>
          <w:b w:val="1"/>
          <w:bCs w:val="1"/>
          <w:rtl w:val="0"/>
        </w:rPr>
        <w:t xml:space="preserve">件名</w:t>
      </w:r>
      <w:r w:rsidDel="00000000" w:rsidR="00000000" w:rsidRPr="00000000">
        <w:rPr>
          <w:rFonts w:ascii="Arial Unicode MS" w:cs="Arial Unicode MS" w:eastAsia="Arial Unicode MS" w:hAnsi="Arial Unicode MS"/>
          <w:rtl w:val="0"/>
        </w:rPr>
        <w:t xml:space="preserve">: 産官学連携による次世代金融教育サンドボックスを活用した、家庭内資産の健全な次世代還流促進（実施計画概要）</w:t>
      </w:r>
    </w:p>
    <w:p w:rsidR="00000000" w:rsidDel="00000000" w:rsidP="00000000" w:rsidRDefault="00000000" w:rsidRPr="00000000" w14:paraId="00000006">
      <w:pPr>
        <w:pStyle w:val="Heading3"/>
        <w:keepNext w:val="0"/>
        <w:keepLines w:val="0"/>
        <w:spacing w:before="0" w:lineRule="auto"/>
        <w:rPr>
          <w:b w:val="1"/>
          <w:bCs w:val="1"/>
          <w:color w:val="000000"/>
          <w:sz w:val="26"/>
          <w:szCs w:val="26"/>
        </w:rPr>
      </w:pPr>
      <w:bookmarkStart w:colFirst="0" w:colLast="0" w:name="_uj74vg9usxbl" w:id="1"/>
      <w:bookmarkEnd w:id="1"/>
      <w:r w:rsidDel="00000000" w:rsidR="00000000" w:rsidRPr="00000000">
        <w:rPr>
          <w:rFonts w:ascii="Arial Unicode MS" w:cs="Arial Unicode MS" w:eastAsia="Arial Unicode MS" w:hAnsi="Arial Unicode MS"/>
          <w:b w:val="1"/>
          <w:bCs w:val="1"/>
          <w:color w:val="000000"/>
          <w:sz w:val="26"/>
          <w:szCs w:val="26"/>
          <w:rtl w:val="0"/>
        </w:rPr>
        <w:t xml:space="preserve">1. 本提案の背景と我が国における構造的課題</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教育現場の課題</w:t>
      </w:r>
      <w:r w:rsidDel="00000000" w:rsidR="00000000" w:rsidRPr="00000000">
        <w:rPr>
          <w:rFonts w:ascii="Arial Unicode MS" w:cs="Arial Unicode MS" w:eastAsia="Arial Unicode MS" w:hAnsi="Arial Unicode MS"/>
          <w:rtl w:val="0"/>
        </w:rPr>
        <w:t xml:space="preserve">: 高校における「金融経済教育」の義務化以降、専門知識を持つ教員のリソース不足や中立な教材の確保が難しく、教育現場における実効性のあるカリキュラム定着の難易度が向上している。</w:t>
      </w:r>
    </w:p>
    <w:p w:rsidR="00000000" w:rsidDel="00000000" w:rsidP="00000000" w:rsidRDefault="00000000" w:rsidRPr="00000000" w14:paraId="00000008">
      <w:pPr>
        <w:numPr>
          <w:ilvl w:val="0"/>
          <w:numId w:val="1"/>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家計資産の流動性</w:t>
      </w:r>
      <w:r w:rsidDel="00000000" w:rsidR="00000000" w:rsidRPr="00000000">
        <w:rPr>
          <w:rFonts w:ascii="Arial Unicode MS" w:cs="Arial Unicode MS" w:eastAsia="Arial Unicode MS" w:hAnsi="Arial Unicode MS"/>
          <w:rtl w:val="0"/>
        </w:rPr>
        <w:t xml:space="preserve">: 高齢者層に偏在する「1,000兆円超の現預金・タンス預金」が、親族間での生前贈与の手続きの煩雑さや名義預金・定期贈与認定リスク、さらには</w:t>
      </w:r>
      <w:r w:rsidDel="00000000" w:rsidR="00000000" w:rsidRPr="00000000">
        <w:rPr>
          <w:rFonts w:ascii="Arial Unicode MS" w:cs="Arial Unicode MS" w:eastAsia="Arial Unicode MS" w:hAnsi="Arial Unicode MS"/>
          <w:rtl w:val="0"/>
        </w:rPr>
        <w:t xml:space="preserve">複数口座（一般・特定・NISA）跨ぎの損益通算・繰越控除や米国株ウォッシュセール判定、ミニマムタックス対応といった税務処理の複雑さ</w:t>
      </w:r>
      <w:r w:rsidDel="00000000" w:rsidR="00000000" w:rsidRPr="00000000">
        <w:rPr>
          <w:rFonts w:ascii="Arial Unicode MS" w:cs="Arial Unicode MS" w:eastAsia="Arial Unicode MS" w:hAnsi="Arial Unicode MS"/>
          <w:rtl w:val="0"/>
        </w:rPr>
        <w:t xml:space="preserve">が心理的ハードルとなり、次世代の生産的な長期投資（新NISA・こどもNISA等）へ健全に還流していない。</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140xs1inzfny" w:id="2"/>
      <w:bookmarkEnd w:id="2"/>
      <w:r w:rsidDel="00000000" w:rsidR="00000000" w:rsidRPr="00000000">
        <w:rPr>
          <w:rFonts w:ascii="Arial Unicode MS" w:cs="Arial Unicode MS" w:eastAsia="Arial Unicode MS" w:hAnsi="Arial Unicode MS"/>
          <w:b w:val="1"/>
          <w:bCs w:val="1"/>
          <w:color w:val="000000"/>
          <w:sz w:val="26"/>
          <w:szCs w:val="26"/>
          <w:rtl w:val="0"/>
        </w:rPr>
        <w:t xml:space="preserve">2. 解決策：中立テックによる「リスクゼロ」の体験型金融教育プラットフォーム</w:t>
      </w:r>
    </w:p>
    <w:p w:rsidR="00000000" w:rsidDel="00000000" w:rsidP="00000000" w:rsidRDefault="00000000" w:rsidRPr="00000000" w14:paraId="0000000A">
      <w:pPr>
        <w:spacing w:after="240" w:lineRule="auto"/>
        <w:rPr/>
      </w:pPr>
      <w:r w:rsidDel="00000000" w:rsidR="00000000" w:rsidRPr="00000000">
        <w:rPr>
          <w:rFonts w:ascii="Arial Unicode MS" w:cs="Arial Unicode MS" w:eastAsia="Arial Unicode MS" w:hAnsi="Arial Unicode MS"/>
          <w:rtl w:val="0"/>
        </w:rPr>
        <w:t xml:space="preserve">民間企業の特定の営利プロモーションから完全に独立し、我が国の社会基盤を支えてきたNTTという「中立なプラットフォーマー」が提供する、完全中立・公平なデジタル副読本（サンドボックス環境）を構築する。</w:t>
      </w:r>
    </w:p>
    <w:p w:rsidR="00000000" w:rsidDel="00000000" w:rsidP="00000000" w:rsidRDefault="00000000" w:rsidRPr="00000000" w14:paraId="0000000B">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定性ログ解析による教育</w:t>
      </w:r>
      <w:r w:rsidDel="00000000" w:rsidR="00000000" w:rsidRPr="00000000">
        <w:rPr>
          <w:rFonts w:ascii="Arial Unicode MS" w:cs="Arial Unicode MS" w:eastAsia="Arial Unicode MS" w:hAnsi="Arial Unicode MS"/>
          <w:rtl w:val="0"/>
        </w:rPr>
        <w:t xml:space="preserve">: 抽象的な投資データや射幸心を煽るチャートは排除し、子供の日々の「お小遣い（選択のトレードオフ）」における流動性と機会損失のログのみをAIが解析。安全な金融リテラシーのブリッジを行う。</w:t>
      </w:r>
    </w:p>
    <w:p w:rsidR="00000000" w:rsidDel="00000000" w:rsidP="00000000" w:rsidRDefault="00000000" w:rsidRPr="00000000" w14:paraId="0000000C">
      <w:pPr>
        <w:numPr>
          <w:ilvl w:val="0"/>
          <w:numId w:val="4"/>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学校・家庭の教育リソース負担ゼロ</w:t>
      </w:r>
      <w:r w:rsidDel="00000000" w:rsidR="00000000" w:rsidRPr="00000000">
        <w:rPr>
          <w:rFonts w:ascii="Arial Unicode MS" w:cs="Arial Unicode MS" w:eastAsia="Arial Unicode MS" w:hAnsi="Arial Unicode MS"/>
          <w:rtl w:val="0"/>
        </w:rPr>
        <w:t xml:space="preserve">: 子供たちがゲーム感覚でシステムに触れるだけで、金融庁の掲げる「投資教育の理念」が家庭内に自然浸透する仕組みを確立。</w:t>
      </w:r>
    </w:p>
    <w:p w:rsidR="00000000" w:rsidDel="00000000" w:rsidP="00000000" w:rsidRDefault="00000000" w:rsidRPr="00000000" w14:paraId="0000000D">
      <w:pPr>
        <w:pStyle w:val="Heading3"/>
        <w:keepNext w:val="0"/>
        <w:keepLines w:val="0"/>
        <w:spacing w:before="0" w:lineRule="auto"/>
        <w:rPr>
          <w:b w:val="1"/>
          <w:bCs w:val="1"/>
          <w:color w:val="000000"/>
          <w:sz w:val="26"/>
          <w:szCs w:val="26"/>
        </w:rPr>
      </w:pPr>
      <w:bookmarkStart w:colFirst="0" w:colLast="0" w:name="_fxwiztipangf" w:id="3"/>
      <w:bookmarkEnd w:id="3"/>
      <w:r w:rsidDel="00000000" w:rsidR="00000000" w:rsidRPr="00000000">
        <w:rPr>
          <w:rFonts w:ascii="Arial Unicode MS" w:cs="Arial Unicode MS" w:eastAsia="Arial Unicode MS" w:hAnsi="Arial Unicode MS"/>
          <w:b w:val="1"/>
          <w:bCs w:val="1"/>
          <w:color w:val="000000"/>
          <w:sz w:val="26"/>
          <w:szCs w:val="26"/>
          <w:rtl w:val="0"/>
        </w:rPr>
        <w:t xml:space="preserve">3. コンプライアンスのカプセル化（リーガル＆タックス・ガードレール）</w:t>
      </w:r>
    </w:p>
    <w:p w:rsidR="00000000" w:rsidDel="00000000" w:rsidP="00000000" w:rsidRDefault="00000000" w:rsidRPr="00000000" w14:paraId="0000000E">
      <w:pPr>
        <w:spacing w:after="240" w:lineRule="auto"/>
        <w:rPr/>
      </w:pPr>
      <w:r w:rsidDel="00000000" w:rsidR="00000000" w:rsidRPr="00000000">
        <w:rPr>
          <w:rFonts w:ascii="Arial Unicode MS" w:cs="Arial Unicode MS" w:eastAsia="Arial Unicode MS" w:hAnsi="Arial Unicode MS"/>
          <w:rtl w:val="0"/>
        </w:rPr>
        <w:t xml:space="preserve">行政・教育現場・金融機関が懸念する法的・税務的リスクを、純国産LLM「tsuzumi」および生成AIソリューション「LITRON」の制御技術を用いてシステムレイヤーにおいて物理的にカプセル化（完全自動排除）する。</w:t>
      </w:r>
    </w:p>
    <w:p w:rsidR="00000000" w:rsidDel="00000000" w:rsidP="00000000" w:rsidRDefault="00000000" w:rsidRPr="00000000" w14:paraId="0000000F">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【投資助言リスクの排除（金商法対応）】</w:t>
      </w:r>
      <w:r w:rsidDel="00000000" w:rsidR="00000000" w:rsidRPr="00000000">
        <w:rPr>
          <w:rtl w:val="0"/>
        </w:rPr>
        <w:t xml:space="preserve">:</w:t>
      </w:r>
    </w:p>
    <w:p w:rsidR="00000000" w:rsidDel="00000000" w:rsidP="00000000" w:rsidRDefault="00000000" w:rsidRPr="00000000" w14:paraId="00000010">
      <w:pPr>
        <w:numPr>
          <w:ilvl w:val="1"/>
          <w:numId w:val="5"/>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tsuzumiのアウトプット層に「出力検閲フィルター（物理ガードレール）」を実装。「特定個別銘柄の推奨」や「断定的利益の約束」に該当する表現を物理的に遮断・出力拒否する機能を検証。一般・特定・NISA口座間の適切な自動ルーティングを行うとともに、こどもNISAにおいては「成長投資枠」を排除し「つみたて投資枠」対象商品へ限定制御することで、金融商品取引法（投資助言規制）の完全な非該当性をシステムレベルで担保する。</w:t>
      </w:r>
    </w:p>
    <w:p w:rsidR="00000000" w:rsidDel="00000000" w:rsidP="00000000" w:rsidRDefault="00000000" w:rsidRPr="00000000" w14:paraId="00000011">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【税務エラー・名義預金・過失課税リスクの自動防止（税法対応）】</w:t>
      </w:r>
      <w:r w:rsidDel="00000000" w:rsidR="00000000" w:rsidRPr="00000000">
        <w:rPr>
          <w:rtl w:val="0"/>
        </w:rPr>
        <w:t xml:space="preserve">:</w:t>
      </w:r>
    </w:p>
    <w:p w:rsidR="00000000" w:rsidDel="00000000" w:rsidP="00000000" w:rsidRDefault="00000000" w:rsidRPr="00000000" w14:paraId="00000012">
      <w:pPr>
        <w:numPr>
          <w:ilvl w:val="1"/>
          <w:numId w:val="5"/>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日本の非課税枠（暦年贈与の基礎控除額110万円 / こどもNISA枠60万円）、最高裁判例準拠の為替差益（給与所得者における雑所得20万円）、</w:t>
      </w:r>
      <w:r w:rsidDel="00000000" w:rsidR="00000000" w:rsidRPr="00000000">
        <w:rPr>
          <w:rFonts w:ascii="Arial Unicode MS" w:cs="Arial Unicode MS" w:eastAsia="Arial Unicode MS" w:hAnsi="Arial Unicode MS"/>
          <w:rtl w:val="0"/>
        </w:rPr>
        <w:t xml:space="preserve">国内全口座（一般・特定・NISA）における損益通算＆3年繰越控除の自動算定、富裕層向けミニマムタックス（最低30%課税）の到達判定、および米国株61日間ウォッシュセール（30日ルール）回避判定</w:t>
      </w:r>
      <w:r w:rsidDel="00000000" w:rsidR="00000000" w:rsidRPr="00000000">
        <w:rPr>
          <w:rFonts w:ascii="Arial Unicode MS" w:cs="Arial Unicode MS" w:eastAsia="Arial Unicode MS" w:hAnsi="Arial Unicode MS"/>
          <w:rtl w:val="0"/>
        </w:rPr>
        <w:t xml:space="preserve">をシステムの絶対バウンダリ（境界線）として固定設定。</w:t>
      </w:r>
    </w:p>
    <w:p w:rsidR="00000000" w:rsidDel="00000000" w:rsidP="00000000" w:rsidRDefault="00000000" w:rsidRPr="00000000" w14:paraId="00000013">
      <w:pPr>
        <w:numPr>
          <w:ilvl w:val="1"/>
          <w:numId w:val="5"/>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累積シミュレーション額や取引計算値が境界値に達する手前で親コンソールへ「スマート通知」を行い、超過・抵触するトランザクションはシステム側（エッジ層）で自動ホールド（物理ロック）。</w:t>
      </w:r>
    </w:p>
    <w:p w:rsidR="00000000" w:rsidDel="00000000" w:rsidP="00000000" w:rsidRDefault="00000000" w:rsidRPr="00000000" w14:paraId="00000014">
      <w:pPr>
        <w:numPr>
          <w:ilvl w:val="1"/>
          <w:numId w:val="5"/>
        </w:numPr>
        <w:spacing w:after="240" w:lineRule="auto"/>
        <w:ind w:left="1440" w:hanging="360"/>
      </w:pPr>
      <w:r w:rsidDel="00000000" w:rsidR="00000000" w:rsidRPr="00000000">
        <w:rPr>
          <w:rFonts w:ascii="Arial Unicode MS" w:cs="Arial Unicode MS" w:eastAsia="Arial Unicode MS" w:hAnsi="Arial Unicode MS"/>
          <w:rtl w:val="0"/>
        </w:rPr>
        <w:t xml:space="preserve">LITRON COREによるスマート電子贈与プロトコル（電子署名・タイムスタンプ自動付与、贈与時期・金額のゆらぎ制御、目的別タグ付け）により、定期贈与認定、名義預金認定、および申告漏れ・不当課税リスクを排除し、意図せぬ税務エラーの発生を未然に防ぐ。</w:t>
      </w:r>
    </w:p>
    <w:p w:rsidR="00000000" w:rsidDel="00000000" w:rsidP="00000000" w:rsidRDefault="00000000" w:rsidRPr="00000000" w14:paraId="00000015">
      <w:pPr>
        <w:pStyle w:val="Heading3"/>
        <w:keepNext w:val="0"/>
        <w:keepLines w:val="0"/>
        <w:spacing w:before="0" w:lineRule="auto"/>
        <w:rPr>
          <w:b w:val="1"/>
          <w:bCs w:val="1"/>
          <w:color w:val="000000"/>
          <w:sz w:val="26"/>
          <w:szCs w:val="26"/>
        </w:rPr>
      </w:pPr>
      <w:bookmarkStart w:colFirst="0" w:colLast="0" w:name="_32r068g8y732" w:id="4"/>
      <w:bookmarkEnd w:id="4"/>
      <w:r w:rsidDel="00000000" w:rsidR="00000000" w:rsidRPr="00000000">
        <w:rPr>
          <w:rFonts w:ascii="Arial Unicode MS" w:cs="Arial Unicode MS" w:eastAsia="Arial Unicode MS" w:hAnsi="Arial Unicode MS"/>
          <w:b w:val="1"/>
          <w:bCs w:val="1"/>
          <w:color w:val="000000"/>
          <w:sz w:val="26"/>
          <w:szCs w:val="26"/>
          <w:rtl w:val="0"/>
        </w:rPr>
        <w:t xml:space="preserve">4. 行政の中立性担保（オープン・プロバイダー・プロトコル）</w:t>
      </w:r>
    </w:p>
    <w:p w:rsidR="00000000" w:rsidDel="00000000" w:rsidP="00000000" w:rsidRDefault="00000000" w:rsidRPr="00000000" w14:paraId="00000016">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中立性・公平性の担保</w:t>
      </w:r>
      <w:r w:rsidDel="00000000" w:rsidR="00000000" w:rsidRPr="00000000">
        <w:rPr>
          <w:rtl w:val="0"/>
        </w:rPr>
        <w:t xml:space="preserve">:</w:t>
      </w:r>
    </w:p>
    <w:p w:rsidR="00000000" w:rsidDel="00000000" w:rsidP="00000000" w:rsidRDefault="00000000" w:rsidRPr="00000000" w14:paraId="00000017">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本システムから実際の新規口座開設フォーム（外部サイト）へリダイレクトする動線は、特定の民間金融機関に固定・優遇しない。</w:t>
      </w:r>
    </w:p>
    <w:p w:rsidR="00000000" w:rsidDel="00000000" w:rsidP="00000000" w:rsidRDefault="00000000" w:rsidRPr="00000000" w14:paraId="00000018">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マルチ・ブローカー・プロトコル</w:t>
      </w:r>
      <w:r w:rsidDel="00000000" w:rsidR="00000000" w:rsidRPr="00000000">
        <w:rPr>
          <w:rtl w:val="0"/>
        </w:rPr>
        <w:t xml:space="preserve">:</w:t>
      </w:r>
    </w:p>
    <w:p w:rsidR="00000000" w:rsidDel="00000000" w:rsidP="00000000" w:rsidRDefault="00000000" w:rsidRPr="00000000" w14:paraId="00000019">
      <w:pPr>
        <w:numPr>
          <w:ilvl w:val="1"/>
          <w:numId w:val="3"/>
        </w:numPr>
        <w:spacing w:after="240" w:lineRule="auto"/>
        <w:ind w:left="1440" w:hanging="360"/>
      </w:pPr>
      <w:r w:rsidDel="00000000" w:rsidR="00000000" w:rsidRPr="00000000">
        <w:rPr>
          <w:rFonts w:ascii="Arial Unicode MS" w:cs="Arial Unicode MS" w:eastAsia="Arial Unicode MS" w:hAnsi="Arial Unicode MS"/>
          <w:rtl w:val="0"/>
        </w:rPr>
        <w:t xml:space="preserve">金融庁の「認可業者リスト（ホワイトリスト）」に基づき、居住地や既存口座のUIDをベースに動的に複数提示（シャッフル表示）を行う「オープン・プロバイダー・プロトコル」を実装し、市場の公正な競争環境を維持する。</w:t>
      </w:r>
    </w:p>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qznqxh3jq9ll" w:id="5"/>
      <w:bookmarkEnd w:id="5"/>
      <w:r w:rsidDel="00000000" w:rsidR="00000000" w:rsidRPr="00000000">
        <w:rPr>
          <w:rFonts w:ascii="Arial Unicode MS" w:cs="Arial Unicode MS" w:eastAsia="Arial Unicode MS" w:hAnsi="Arial Unicode MS"/>
          <w:b w:val="1"/>
          <w:bCs w:val="1"/>
          <w:color w:val="000000"/>
          <w:sz w:val="26"/>
          <w:szCs w:val="26"/>
          <w:rtl w:val="0"/>
        </w:rPr>
        <w:t xml:space="preserve">5. 高度な安全管理措置とデータ主権の保護（地政学リスクゼロ）</w:t>
      </w:r>
    </w:p>
    <w:p w:rsidR="00000000" w:rsidDel="00000000" w:rsidP="00000000" w:rsidRDefault="00000000" w:rsidRPr="00000000" w14:paraId="0000001B">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エッジ完結型解析（Wasm）</w:t>
      </w:r>
      <w:r w:rsidDel="00000000" w:rsidR="00000000" w:rsidRPr="00000000">
        <w:rPr>
          <w:rtl w:val="0"/>
        </w:rPr>
        <w:t xml:space="preserve">:</w:t>
      </w:r>
    </w:p>
    <w:p w:rsidR="00000000" w:rsidDel="00000000" w:rsidP="00000000" w:rsidRDefault="00000000" w:rsidRPr="00000000" w14:paraId="0000001C">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端末側（WebAssembly）でのエッジ完結型一時解析により、バックエンドへの不要な個人情報の流出を最小化。</w:t>
      </w:r>
    </w:p>
    <w:p w:rsidR="00000000" w:rsidDel="00000000" w:rsidP="00000000" w:rsidRDefault="00000000" w:rsidRPr="00000000" w14:paraId="0000001D">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2レイヤー・ホールド免責構造</w:t>
      </w:r>
      <w:r w:rsidDel="00000000" w:rsidR="00000000" w:rsidRPr="00000000">
        <w:rPr>
          <w:rtl w:val="0"/>
        </w:rPr>
        <w:t xml:space="preserve">:</w:t>
      </w:r>
    </w:p>
    <w:p w:rsidR="00000000" w:rsidDel="00000000" w:rsidP="00000000" w:rsidRDefault="00000000" w:rsidRPr="00000000" w14:paraId="0000001E">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環境激変時には「LITRON MAS（マルチエージェント）」による自動ホールド機能が起動。管理責任者（人間）の承認ゲートを必須とすることでAIの誤作動リスクを排除。</w:t>
      </w:r>
    </w:p>
    <w:p w:rsidR="00000000" w:rsidDel="00000000" w:rsidP="00000000" w:rsidRDefault="00000000" w:rsidRPr="00000000" w14:paraId="0000001F">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国内限定セキュア基盤</w:t>
      </w:r>
      <w:r w:rsidDel="00000000" w:rsidR="00000000" w:rsidRPr="00000000">
        <w:rPr>
          <w:rtl w:val="0"/>
        </w:rPr>
        <w:t xml:space="preserve">:</w:t>
      </w:r>
    </w:p>
    <w:p w:rsidR="00000000" w:rsidDel="00000000" w:rsidP="00000000" w:rsidRDefault="00000000" w:rsidRPr="00000000" w14:paraId="00000020">
      <w:pPr>
        <w:numPr>
          <w:ilvl w:val="1"/>
          <w:numId w:val="2"/>
        </w:numPr>
        <w:spacing w:after="240" w:lineRule="auto"/>
        <w:ind w:left="1440" w:hanging="360"/>
      </w:pPr>
      <w:r w:rsidDel="00000000" w:rsidR="00000000" w:rsidRPr="00000000">
        <w:rPr>
          <w:rFonts w:ascii="Arial Unicode MS" w:cs="Arial Unicode MS" w:eastAsia="Arial Unicode MS" w:hAnsi="Arial Unicode MS"/>
          <w:rtl w:val="0"/>
        </w:rPr>
        <w:t xml:space="preserve">すべてのデータ蓄積・AI処理は海外サーバーを経由せず、国内の高度なNTTセキュアデータ基盤上で完結させ、データ主権を完全に日本国内で保護・管理する。</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