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uny9yjnxq3gc" w:id="0"/>
      <w:bookmarkEnd w:id="0"/>
      <w:r w:rsidDel="00000000" w:rsidR="00000000" w:rsidRPr="00000000">
        <w:rPr>
          <w:b w:val="1"/>
          <w:bCs w:val="1"/>
          <w:rtl w:val="0"/>
        </w:rPr>
        <w:t xml:space="preserve">23_ 🛡️ CFOからの想定問答集（FAQ：完全防衛版）【v6改訂版】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本プロジェクト『TWB（Tsuzumi Wealth Bridge）』の投資承認・取締役会提出に向け、CFO（最高財務責任者）および投資委員会から高確率で飛んでくる「財務・コンプライアンス面での突っ込み」に対する、確実な切り返し（ディフェンス）トーク集である。</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lzktbu4ukst3" w:id="1"/>
      <w:bookmarkEnd w:id="1"/>
      <w:r w:rsidDel="00000000" w:rsidR="00000000" w:rsidRPr="00000000">
        <w:rPr>
          <w:rFonts w:ascii="Arial Unicode MS" w:cs="Arial Unicode MS" w:eastAsia="Arial Unicode MS" w:hAnsi="Arial Unicode MS"/>
          <w:b w:val="1"/>
          <w:bCs w:val="1"/>
          <w:color w:val="000000"/>
          <w:sz w:val="26"/>
          <w:szCs w:val="26"/>
          <w:rtl w:val="0"/>
        </w:rPr>
        <w:t xml:space="preserve">Q1. 【投資対効果の確実性と経済的合理性】</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プロダクトを完全に戦略的低価格（または無償）提供するとのことだが、フロント開発に5,000万円を投じた後、ターゲットの金融機関が本当に当社の次世代インフラ（IOWN等）へ包括アップセル（移行）してくれる保証はあるのか？ もし無料ツールだけを利用された場合の財務的ペナルティや回収手段はあるのか？」</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「結論から申し上げますと、利用規約上のペナルティによる法的な強制ではなく、蓄積されたデータがもたらす『経済的・技術的合理性（データの重力：Data Gravity）』によって、顧客が自発的に当社の次世代インフラへの一元統合を選択せざるを得ない構造となっております。 金融機関が本システムを導入し、数万人〜数十万人のエンドユーザーのライフログや資産継承シミュレーションデータ、</w:t>
      </w:r>
      <w:r w:rsidDel="00000000" w:rsidR="00000000" w:rsidRPr="00000000">
        <w:rPr>
          <w:rFonts w:ascii="Arial Unicode MS" w:cs="Arial Unicode MS" w:eastAsia="Arial Unicode MS" w:hAnsi="Arial Unicode MS"/>
          <w:rtl w:val="0"/>
        </w:rPr>
        <w:t xml:space="preserve">全口座区分（一般・特定・NISA）の損益通算/繰越控除データ、ミニマムタックス接近判定ログ、米国株ウォッシュセール追跡データ、さらには外貨積立等に伴う最高裁判例準拠の為替計算・税務履歴ログ</w:t>
      </w:r>
      <w:r w:rsidDel="00000000" w:rsidR="00000000" w:rsidRPr="00000000">
        <w:rPr>
          <w:rFonts w:ascii="Arial Unicode MS" w:cs="Arial Unicode MS" w:eastAsia="Arial Unicode MS" w:hAnsi="Arial Unicode MS"/>
          <w:rtl w:val="0"/>
        </w:rPr>
        <w:t xml:space="preserve">が蓄積されると、そのデータ群は当社の高度なセキュアデータ基盤上にホストされます。仮に金融機関が、他社メガクラウド（AWS/GCP/Azure等）環境へそのデータを跨いでエクスポート・リアルタイム連携させようとした場合、環境間通信に伴う膨大なデータ転送量課金（Egress料金）の発生や、マルチクラウド間の物理的距離による通信遅延（レイテンシー低下）という、彼らにとって致命的な財務的・技術的不利益が発生します。 さらに、純国産LLM『tsuzumi』は圧倒的な軽量性を誇るため、当社の超省電力AIサーバー環境と組み合わせることで、他社クラウドで同様のAIを運用する場合に比べ、運用のTCO（総所有コスト）を劇的に削減可能です。 したがって、独占禁止法に抵触するような不当な排他条件や財務的違約金を設ける必要は一切なく、『データの重力の解消によるコスト最適化、およびtsuzumi×IOWNによる圧倒的なUX向上』という純粋な市場力学によって、次世代包括インフラへのアップセル成功率を極めて高く担保できる設計です。」</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q9n9t82s0zd5" w:id="2"/>
      <w:bookmarkEnd w:id="2"/>
      <w:r w:rsidDel="00000000" w:rsidR="00000000" w:rsidRPr="00000000">
        <w:rPr>
          <w:rFonts w:ascii="Arial Unicode MS" w:cs="Arial Unicode MS" w:eastAsia="Arial Unicode MS" w:hAnsi="Arial Unicode MS"/>
          <w:b w:val="1"/>
          <w:bCs w:val="1"/>
          <w:color w:val="000000"/>
          <w:sz w:val="26"/>
          <w:szCs w:val="26"/>
          <w:rtl w:val="0"/>
        </w:rPr>
        <w:t xml:space="preserve">Q2. 【2つの展開モデルにおけるCapEx/OpExの回収確実性】</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企画提案書には、手堅いマージンを狙う『独立型商品化モデル』と、利益率を最適化して配る『コアインフラ統合提案への戦略的活用（ドアオープナー仕様）』の2つのアプローチが並記されている。フロントの無償提供に踏み切る基準と、初期投資5,000万円・年間運用費1,000万円の財務的な回収確実性をどう担保するのか？」</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「展開にあたっては、アプローチするターゲット金融機関の既存インフラの規模と潜在的な包括契約価値（LTV）によって明確なゲートウェイを設けます。 まず、月間インフラ利用料（MRR）が2,000万〜5,000万円（年間2.4億〜6億円規模）にのぼる大手メガバンクや大手ネット証券等に対しては、『コアインフラ統合提案（ドアオープナー仕様）』を適用します。フロントの利益率をゼロに最適化して導入ハードルを消滅させ、裏側で蓄積される生活・取引ログによって『データの重力』を発動させます。5年契約で12億〜30億円規模となる次世代コアインフラ（IOWN等）への全面包括リプレースを狙うため、1社でもクロージングが成功すれば、わずか3ヶ月で当社の初期投資は完全回収され、極めて高いレバレッジで大黒字に転換します。 一方で、そこまでのインフラ規模を持たない準大手・地域金融機関に対しては、パッケージ単体で手堅く利益を出す『独立型商品化モデル』としてオンプレミス型AI/SaaS販売を行い、ライセンス・保守料から着実にCapExを回収します。 いずれのモデルにおいても、日本国内の『高校金融経済教育の義務化』という国策の窓が開いている今、他社クラウドを担ぐ競合に先行して枠を押さえることが最大の財務リスク防衛に繋がります。」</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es2uy3fu6afh" w:id="3"/>
      <w:bookmarkEnd w:id="3"/>
      <w:r w:rsidDel="00000000" w:rsidR="00000000" w:rsidRPr="00000000">
        <w:rPr>
          <w:rFonts w:ascii="Arial Unicode MS" w:cs="Arial Unicode MS" w:eastAsia="Arial Unicode MS" w:hAnsi="Arial Unicode MS"/>
          <w:b w:val="1"/>
          <w:bCs w:val="1"/>
          <w:color w:val="000000"/>
          <w:sz w:val="26"/>
          <w:szCs w:val="26"/>
          <w:rtl w:val="0"/>
        </w:rPr>
        <w:t xml:space="preserve">Q3. 【独占禁止法およびアルゴリズムの客観性】</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認可金融機関リストを表示する『オープン・プロバイダー・プロトコル』の裏側で、当社のインフラの採用状況（セキュア基盤やIOWNの利用有無）に応じたスコアリングの力が働く仕様は、万が一公正取引委員会から監査が入った場合、リーガルリスクや巨額の罰徴金リスクになるのではないか？」</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「法務・コンプライアンス部門と厳密に精査した結果、そのリーガルリスクは完全に排除されていると評価しています。 本システムは、金融庁の認可業者リストに基づく『完全なマルチ・ブローカー・プロトコル（公平な動的提示）』を実装しており、特定の金融機関を恣意的に優遇・固定するような不当なコードは一切存在しません。 ただし、バックエンドにおいて当社のセキュアデータ基盤やIOWN環境と直接接続している金融機関ほど、物理的なデータ転送の通信遅延が極小化され、tsuzumiやLITRON MAS（マルチエージェント）によるライフログの解析パフォーマンス（応答速度や精度）が向上することは、純粋な『技術的・物理的事実』です。このUXスコアの差は、アルゴリズムの操作ではなく客観的なインフラの性能差に起因するものであるため、独占禁止法（不公正な取引方法・抱き合わせ販売等の禁止）上の問題には一切該当しません。公取委の監査に対しても、技術仕様書をもって完全に説明可能です。」</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mac47hnwt7i2" w:id="4"/>
      <w:bookmarkEnd w:id="4"/>
      <w:r w:rsidDel="00000000" w:rsidR="00000000" w:rsidRPr="00000000">
        <w:rPr>
          <w:rFonts w:ascii="Arial Unicode MS" w:cs="Arial Unicode MS" w:eastAsia="Arial Unicode MS" w:hAnsi="Arial Unicode MS"/>
          <w:b w:val="1"/>
          <w:bCs w:val="1"/>
          <w:color w:val="000000"/>
          <w:sz w:val="26"/>
          <w:szCs w:val="26"/>
          <w:rtl w:val="0"/>
        </w:rPr>
        <w:t xml:space="preserve">Q4. 【最高裁判例準拠の税務計算・高度税務自動判定とAIの損害賠償リスク】</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外貨積立等の為替差益計算や、一般・特定・NISA口座間の損益通算/繰越控除算定、ミニマムタックス接近判定、米国株ウォッシュセール（61日間ルール）自動判定といった高度な税務判定をAIが行う際、万が一税務判定のエラーやハルシネーションによってユーザーが過少申告や追徴課税・申告漏れ等を起こした場合、当社への法的・財務的な損害賠償リスクは発生しないか？」</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「そのリスクについても、システムアーキテクチャおよび契約免責構造によって完全ゼロ化されています。 まず、各種非課税枠（110万円/60万円/20万円）の判定、損益通算・3年繰越控除の数値算定、ミニマムタックス計算、および米国株ウォッシュセールの期間判定（売却前後30日間の追跡）は、生成AIの確率的出力任せ（確率的生成）ではなく、エッジ層（WebAssembly）における確定的アルゴリズム（コードによる厳格なルールエンジン）としてハードコードされています。AIは定性的な分析やTax-Loss Harvesting（代替銘柄）等の提案のみを担い、確定的な数値・境界値判定は物理ロジックが実行します。</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さらに、各境界線や制度条件に接近・抵触した段階で『自動通知および取引ホールド』がかかり、提携税理士や確定申告サポートへの誘導を行うフローとなっております。万が一の計算誤差や制度解釈の違い等が発生した場合でも、本システムの利用規約上、最終的な確定申告・納税義務および責任はフロントの金融機関およびユーザー自身に帰属する既存の免責レイヤー内に完全包含される設計となっており、プラットフォーマーである当社へ直接的な損害賠償責任が及ぶ財務リスクは構造的に遮断されています。」</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