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6"/>
          <w:szCs w:val="36"/>
        </w:rPr>
        <w:t xml:space="preserve">KernelRoute Stage 1</w:t>
      </w:r>
    </w:p>
    <w:p>
      <w:pPr>
        <w:spacing w:after="40"/>
      </w:pPr>
      <w:r>
        <w:rPr>
          <w:rFonts w:ascii="Calibri" w:cs="Calibri" w:eastAsia="Calibri" w:hAnsi="Calibri"/>
          <w:color w:val="555555"/>
          <w:sz w:val="26"/>
          <w:szCs w:val="26"/>
        </w:rPr>
        <w:t xml:space="preserve">Day 1: setup, verification and launch</w:t>
      </w:r>
    </w:p>
    <w:p>
      <w:pPr>
        <w:spacing w:after="60"/>
      </w:pPr>
      <w:r>
        <w:rPr>
          <w:rFonts w:ascii="Calibri" w:cs="Calibri" w:eastAsia="Calibri" w:hAnsi="Calibri"/>
          <w:color w:val="777777"/>
          <w:sz w:val="20"/>
          <w:szCs w:val="20"/>
        </w:rPr>
        <w:t xml:space="preserve">University of Agder, Grimstad, Norway</w:t>
      </w:r>
    </w:p>
    <w:p>
      <w:pPr>
        <w:spacing w:after="200"/>
      </w:pPr>
      <w:r>
        <w:rPr>
          <w:rFonts w:ascii="Calibri" w:cs="Calibri" w:eastAsia="Calibri" w:hAnsi="Calibri"/>
          <w:color w:val="777777"/>
          <w:sz w:val="20"/>
          <w:szCs w:val="20"/>
        </w:rPr>
        <w:t xml:space="preserve">September 2026  |  Confidential, pre-publication</w:t>
      </w:r>
    </w:p>
    <w:p>
      <w:pPr>
        <w:pBdr>
          <w:bottom w:val="single" w:color="CCCCCC" w:sz="6" w:space="1"/>
        </w:pBdr>
        <w:spacing w:after="200" w:before="120"/>
      </w:pPr>
      <w:r>
        <w:rPr>
          <w:rFonts w:ascii="Calibri" w:cs="Calibri" w:eastAsia="Calibri" w:hAnsi="Calibri"/>
          <w:sz w:val="2"/>
          <w:szCs w:val="2"/>
        </w:rPr>
        <w:t xml:space="preserve"/>
      </w:r>
    </w:p>
    <w:p>
      <w:pPr>
        <w:pStyle w:val="Heading1"/>
        <w:spacing w:after="160" w:before="320"/>
      </w:pPr>
      <w:r>
        <w:rPr>
          <w:rFonts w:ascii="Calibri" w:cs="Calibri" w:eastAsia="Calibri" w:hAnsi="Calibri"/>
          <w:b/>
          <w:bCs/>
          <w:color w:val="1A1A1A"/>
          <w:sz w:val="30"/>
          <w:szCs w:val="30"/>
        </w:rPr>
        <w:t xml:space="preserve">What day 1 is for</w:t>
      </w:r>
    </w:p>
    <w:p>
      <w:pPr>
        <w:spacing w:after="140" w:line="276"/>
      </w:pPr>
      <w:r>
        <w:rPr>
          <w:rFonts w:ascii="Calibri" w:cs="Calibri" w:eastAsia="Calibri" w:hAnsi="Calibri"/>
          <w:sz w:val="22"/>
          <w:szCs w:val="22"/>
        </w:rPr>
        <w:t xml:space="preserve">Day 1 produces no results. It produces the conditions under which the results will mean something, which is a different job and an easier one to get wrong.</w:t>
      </w:r>
    </w:p>
    <w:p>
      <w:pPr>
        <w:spacing w:after="140" w:line="276"/>
      </w:pPr>
      <w:r>
        <w:rPr>
          <w:rFonts w:ascii="Calibri" w:cs="Calibri" w:eastAsia="Calibri" w:hAnsi="Calibri"/>
          <w:sz w:val="22"/>
          <w:szCs w:val="22"/>
        </w:rPr>
        <w:t xml:space="preserve">Four things have to be true before the first real training run starts. The environment has to be working, so a crash three hours in is a bug in the code rather than a missing library. The implementation has to be verified against reference arithmetic, because a wrong convolution would poison every arm silently and consistently. The per-epoch cost has to be measured, because that number decides whether the experiment fits your calendar. And the decision rule has to be written down and committed before any accuracy is visible.</w:t>
      </w:r>
    </w:p>
    <w:p>
      <w:pPr>
        <w:spacing w:after="140" w:line="276"/>
      </w:pPr>
      <w:r>
        <w:rPr>
          <w:rFonts w:ascii="Calibri" w:cs="Calibri" w:eastAsia="Calibri" w:hAnsi="Calibri"/>
          <w:sz w:val="22"/>
          <w:szCs w:val="22"/>
        </w:rPr>
        <w:t xml:space="preserve">The last of those is the one people skip. It is also the one that determines whether a null result is publishable or just disappointing.</w:t>
      </w:r>
    </w:p>
    <w:p>
      <w:pPr>
        <w:pStyle w:val="Heading1"/>
        <w:spacing w:after="160" w:before="320"/>
      </w:pPr>
      <w:r>
        <w:rPr>
          <w:rFonts w:ascii="Calibri" w:cs="Calibri" w:eastAsia="Calibri" w:hAnsi="Calibri"/>
          <w:b/>
          <w:bCs/>
          <w:color w:val="1A1A1A"/>
          <w:sz w:val="30"/>
          <w:szCs w:val="30"/>
        </w:rPr>
        <w:t xml:space="preserve">Setting up the environment</w:t>
      </w:r>
    </w:p>
    <w:p>
      <w:pPr>
        <w:spacing w:after="140" w:line="276"/>
      </w:pPr>
      <w:r>
        <w:rPr>
          <w:rFonts w:ascii="Calibri" w:cs="Calibri" w:eastAsia="Calibri" w:hAnsi="Calibri"/>
          <w:sz w:val="22"/>
          <w:szCs w:val="22"/>
        </w:rPr>
        <w:t xml:space="preserve">The code is PyTorch, so it runs natively on Windows as well as under WSL2. Use whichever already holds your working CUDA toolchain. Given that your existing setup runs under WSL2 Ubuntu, staying there avoids maintaining two CUDA installations.</w:t>
      </w:r>
    </w:p>
    <w:p>
      <w:pPr>
        <w:spacing w:after="140" w:line="276"/>
      </w:pPr>
      <w:r>
        <w:rPr>
          <w:rFonts w:ascii="Calibri" w:cs="Calibri" w:eastAsia="Calibri" w:hAnsi="Calibri"/>
          <w:sz w:val="22"/>
          <w:szCs w:val="22"/>
        </w:rPr>
        <w:t xml:space="preserve">Create a fresh virtual environment inside the project directory rather than reusing an existing one. This project has no dependency overlap worth sharing, and an isolated environment means the recorded torch version in every result file is unambiguous.</w:t>
      </w:r>
    </w:p>
    <w:p>
      <w:pPr>
        <w:spacing w:after="140" w:line="276"/>
      </w:pPr>
      <w:r>
        <w:rPr>
          <w:rFonts w:ascii="Calibri" w:cs="Calibri" w:eastAsia="Calibri" w:hAnsi="Calibri"/>
          <w:sz w:val="22"/>
          <w:szCs w:val="22"/>
        </w:rPr>
        <w:t xml:space="preserve">Install PyTorch and TorchVision first, matched to your CUDA build, then NumPy and SciPy. SciPy carries the statistical tests and is not optional. Confirm that torch reports CUDA as available and names your card before going further. If it reports CPU, stop and fix that, because a silent fallback to CPU turns a five hour run into a five day one.</w:t>
      </w:r>
    </w:p>
    <w:p>
      <w:pPr>
        <w:spacing w:after="140" w:line="276"/>
      </w:pPr>
      <w:r>
        <w:rPr>
          <w:rFonts w:ascii="Calibri" w:cs="Calibri" w:eastAsia="Calibri" w:hAnsi="Calibri"/>
          <w:sz w:val="22"/>
          <w:szCs w:val="22"/>
        </w:rPr>
        <w:t xml:space="preserve">In VS Code, install the WSL extension and open the project from inside the Linux filesystem rather than through a mounted Windows path. File access across the mount boundary is slow enough to show up in data loading. Then select the project virtual environment as the interpreter.</w:t>
      </w:r>
    </w:p>
    <w:p>
      <w:pPr>
        <w:spacing w:after="140" w:line="276"/>
      </w:pPr>
      <w:r>
        <w:rPr>
          <w:rFonts w:ascii="Calibri" w:cs="Calibri" w:eastAsia="Calibri" w:hAnsi="Calibri"/>
          <w:sz w:val="22"/>
          <w:szCs w:val="22"/>
        </w:rPr>
        <w:t xml:space="preserve">CIFAR-100 downloads itself on the first training run, roughly 170 MB into a local data directory. Let the smoke test trigger that download so the first real run does not spend time on it.</w:t>
      </w:r>
    </w:p>
    <w:p>
      <w:pPr>
        <w:pStyle w:val="Heading1"/>
        <w:spacing w:after="160" w:before="320"/>
      </w:pPr>
      <w:r>
        <w:rPr>
          <w:rFonts w:ascii="Calibri" w:cs="Calibri" w:eastAsia="Calibri" w:hAnsi="Calibri"/>
          <w:b/>
          <w:bCs/>
          <w:color w:val="1A1A1A"/>
          <w:sz w:val="30"/>
          <w:szCs w:val="30"/>
        </w:rPr>
        <w:t xml:space="preserve">Verifying the implementation before trusting it</w:t>
      </w:r>
    </w:p>
    <w:p>
      <w:pPr>
        <w:spacing w:after="140" w:line="276"/>
      </w:pPr>
      <w:r>
        <w:rPr>
          <w:rFonts w:ascii="Calibri" w:cs="Calibri" w:eastAsia="Calibri" w:hAnsi="Calibri"/>
          <w:sz w:val="22"/>
          <w:szCs w:val="22"/>
        </w:rPr>
        <w:t xml:space="preserve">Run the path equivalence test suite. It takes seconds and it is the difference between an experiment and a rumour.</w:t>
      </w:r>
    </w:p>
    <w:p>
      <w:pPr>
        <w:spacing w:after="140" w:line="276"/>
      </w:pPr>
      <w:r>
        <w:rPr>
          <w:rFonts w:ascii="Calibri" w:cs="Calibri" w:eastAsia="Calibri" w:hAnsi="Calibri"/>
          <w:sz w:val="22"/>
          <w:szCs w:val="22"/>
        </w:rPr>
        <w:t xml:space="preserve">Five assertions run. Two of them matter more than the others.</w:t>
      </w:r>
    </w:p>
    <w:p>
      <w:pPr>
        <w:spacing w:after="200"/>
      </w:pPr>
      <w:r>
        <w:rPr>
          <w:sz w:val="6"/>
          <w:szCs w:val="6"/>
        </w:rPr>
        <w:t xml:space="preserve"/>
      </w:r>
    </w:p>
    <w:p>
      <w:pPr>
        <w:spacing w:after="140" w:line="276"/>
      </w:pPr>
      <w:r>
        <w:rPr>
          <w:rFonts w:ascii="Calibri" w:cs="Calibri" w:eastAsia="Calibri" w:hAnsi="Calibri"/>
          <w:b/>
          <w:bCs/>
          <w:sz w:val="22"/>
          <w:szCs w:val="22"/>
        </w:rPr>
        <w:t xml:space="preserve">The blend and combine paths must agree. </w:t>
      </w:r>
      <w:r>
        <w:rPr>
          <w:rFonts w:ascii="Calibri" w:cs="Calibri" w:eastAsia="Calibri" w:hAnsi="Calibri"/>
          <w:sz w:val="22"/>
          <w:szCs w:val="22"/>
        </w:rPr>
        <w:t xml:space="preserve">The layer has two implementations of the same mathematics, because convolution is linear in its weights: mixing the kernels and then convolving gives the same answer as convolving with each kernel and then mixing the outputs. The test checks that agreement in double precision to within one part in ten billion, across four different routers. If you ever edit one path, this assertion is what tells you the other has drifted.</w:t>
      </w:r>
    </w:p>
    <w:p>
      <w:pPr>
        <w:spacing w:after="140" w:line="276"/>
      </w:pPr>
      <w:r>
        <w:rPr>
          <w:rFonts w:ascii="Calibri" w:cs="Calibri" w:eastAsia="Calibri" w:hAnsi="Calibri"/>
          <w:b/>
          <w:bCs/>
          <w:sz w:val="22"/>
          <w:szCs w:val="22"/>
        </w:rPr>
        <w:t xml:space="preserve">The shuffled router must still permute at evaluation time. </w:t>
      </w:r>
      <w:r>
        <w:rPr>
          <w:rFonts w:ascii="Calibri" w:cs="Calibri" w:eastAsia="Calibri" w:hAnsi="Calibri"/>
          <w:sz w:val="22"/>
          <w:szCs w:val="22"/>
        </w:rPr>
        <w:t xml:space="preserve">This is the quiet one. If the permutation were disabled in evaluation mode, that arm would become identical to the standard baseline at test time, the control would be void, and nothing would fail, error, or look wrong. The result would simply be meaningless. The test guards against it.</w:t>
      </w:r>
    </w:p>
    <w:p>
      <w:pPr>
        <w:spacing w:after="140" w:line="276"/>
      </w:pPr>
      <w:r>
        <w:rPr>
          <w:rFonts w:ascii="Calibri" w:cs="Calibri" w:eastAsia="Calibri" w:hAnsi="Calibri"/>
          <w:sz w:val="22"/>
          <w:szCs w:val="22"/>
        </w:rPr>
        <w:t xml:space="preserve">The remaining three confirm that the uniform arm reduces exactly to a convolution with the mean of the kernel bank, that the uniform and frozen random routers contribute no trainable parameters, and that gradients flow through all eight registered routing signals.</w:t>
      </w:r>
    </w:p>
    <w:p>
      <w:pPr>
        <w:spacing w:after="140" w:line="276"/>
      </w:pPr>
      <w:r>
        <w:rPr>
          <w:rFonts w:ascii="Calibri" w:cs="Calibri" w:eastAsia="Calibri" w:hAnsi="Calibri"/>
          <w:sz w:val="22"/>
          <w:szCs w:val="22"/>
        </w:rPr>
        <w:t xml:space="preserve">If any assertion fails, do not proceed. Everything downstream assumes these hold.</w:t>
      </w:r>
    </w:p>
    <w:p>
      <w:pPr>
        <w:pStyle w:val="Heading1"/>
        <w:spacing w:after="160" w:before="320"/>
      </w:pPr>
      <w:r>
        <w:rPr>
          <w:rFonts w:ascii="Calibri" w:cs="Calibri" w:eastAsia="Calibri" w:hAnsi="Calibri"/>
          <w:b/>
          <w:bCs/>
          <w:color w:val="1A1A1A"/>
          <w:sz w:val="30"/>
          <w:szCs w:val="30"/>
        </w:rPr>
        <w:t xml:space="preserve">Calibrating the cost</w:t>
      </w:r>
    </w:p>
    <w:p>
      <w:pPr>
        <w:spacing w:after="140" w:line="276"/>
      </w:pPr>
      <w:r>
        <w:rPr>
          <w:rFonts w:ascii="Calibri" w:cs="Calibri" w:eastAsia="Calibri" w:hAnsi="Calibri"/>
          <w:sz w:val="22"/>
          <w:szCs w:val="22"/>
        </w:rPr>
        <w:t xml:space="preserve">Run one arm for a single epoch and record the wall clock time. This is the most useful ten minutes of the day.</w:t>
      </w:r>
    </w:p>
    <w:p>
      <w:pPr>
        <w:spacing w:after="140" w:line="276"/>
      </w:pPr>
      <w:r>
        <w:rPr>
          <w:rFonts w:ascii="Calibri" w:cs="Calibri" w:eastAsia="Calibri" w:hAnsi="Calibri"/>
          <w:sz w:val="22"/>
          <w:szCs w:val="22"/>
        </w:rPr>
        <w:t xml:space="preserve">Multiply that number by 150 for one full run, then by 24 for the whole grid. On a single RTX 4070 Ti, expect something in the region of two to four minutes per epoch at full scope, which puts one run between five and ten hours and the grid at a few days.</w:t>
      </w:r>
    </w:p>
    <w:p>
      <w:pPr>
        <w:spacing w:after="140" w:line="276"/>
      </w:pPr>
      <w:r>
        <w:rPr>
          <w:rFonts w:ascii="Calibri" w:cs="Calibri" w:eastAsia="Calibri" w:hAnsi="Calibri"/>
          <w:sz w:val="22"/>
          <w:szCs w:val="22"/>
        </w:rPr>
        <w:t xml:space="preserve">If that exceeds what you can give it, change the plan now rather than partway through. Runs executed under different settings cannot be paired, so a mid-grid change means discarding everything already finished.</w:t>
      </w:r>
    </w:p>
    <w:p>
      <w:pPr>
        <w:spacing w:after="140" w:line="276"/>
      </w:pPr>
      <w:r>
        <w:rPr>
          <w:rFonts w:ascii="Calibri" w:cs="Calibri" w:eastAsia="Calibri" w:hAnsi="Calibri"/>
          <w:sz w:val="22"/>
          <w:szCs w:val="22"/>
        </w:rPr>
        <w:t xml:space="preserve">Three options, in order of preference. Restricting the dynamic layers to the last two stages roughly halves the cost, and it is where the dynamic convolution literature reports its largest gains anyway, so the choice is defensible in the paper as long as you state it. Cutting to 100 epochs lowers absolute accuracy by a point or two but leaves the paired comparison intact, since every arm gets the same budget. Reducing the kernel bank from four to two weakens the capacity confound the experiment is built around, which cuts both ways, so treat it as a last resort.</w:t>
      </w:r>
    </w:p>
    <w:p>
      <w:pPr>
        <w:spacing w:after="140" w:line="276"/>
      </w:pPr>
      <w:r>
        <w:rPr>
          <w:rFonts w:ascii="Calibri" w:cs="Calibri" w:eastAsia="Calibri" w:hAnsi="Calibri"/>
          <w:sz w:val="22"/>
          <w:szCs w:val="22"/>
        </w:rPr>
        <w:t xml:space="preserve">On an out of memory error, halve the batch size and halve the learning rate with it, then apply that change to every arm rather than only the one that crashed.</w:t>
      </w:r>
    </w:p>
    <w:p>
      <w:pPr>
        <w:pStyle w:val="Heading1"/>
        <w:spacing w:after="160" w:before="320"/>
      </w:pPr>
      <w:r>
        <w:rPr>
          <w:rFonts w:ascii="Calibri" w:cs="Calibri" w:eastAsia="Calibri" w:hAnsi="Calibri"/>
          <w:b/>
          <w:bCs/>
          <w:color w:val="1A1A1A"/>
          <w:sz w:val="30"/>
          <w:szCs w:val="30"/>
        </w:rPr>
        <w:t xml:space="preserve">Committing the pre-registration</w:t>
      </w:r>
    </w:p>
    <w:p>
      <w:pPr>
        <w:spacing w:after="140" w:line="276"/>
      </w:pPr>
      <w:r>
        <w:rPr>
          <w:rFonts w:ascii="Calibri" w:cs="Calibri" w:eastAsia="Calibri" w:hAnsi="Calibri"/>
          <w:sz w:val="22"/>
          <w:szCs w:val="22"/>
        </w:rPr>
        <w:t xml:space="preserve">Commit the pre-registration document, unmodified, before the first run finishes. Not before the analysis, and not before you look at the numbers. Before the first run finishes.</w:t>
      </w:r>
    </w:p>
    <w:p>
      <w:pPr>
        <w:spacing w:after="140" w:line="276"/>
      </w:pPr>
      <w:r>
        <w:rPr>
          <w:rFonts w:ascii="Calibri" w:cs="Calibri" w:eastAsia="Calibri" w:hAnsi="Calibri"/>
          <w:sz w:val="22"/>
          <w:szCs w:val="22"/>
        </w:rPr>
        <w:t xml:space="preserve">It fixes six things: the four arms, the shared recipe, the primary metric, the number of seeds, the equivalence margin, and the decision table that maps outcomes to conclusions.</w:t>
      </w:r>
    </w:p>
    <w:p>
      <w:pPr>
        <w:spacing w:after="140" w:line="276"/>
      </w:pPr>
      <w:r>
        <w:rPr>
          <w:rFonts w:ascii="Calibri" w:cs="Calibri" w:eastAsia="Calibri" w:hAnsi="Calibri"/>
          <w:sz w:val="22"/>
          <w:szCs w:val="22"/>
        </w:rPr>
        <w:t xml:space="preserve">The primary metric is final epoch top-1 accuracy rather than best epoch. Best epoch maximises over a noisy sequence, so it quietly rewards whichever arm happened to catch a lucky evaluation at high learning rate. In the last thirty epochs the learning rate is near zero and the model barely moves, which makes the final number stable and the choice defensible.</w:t>
      </w:r>
    </w:p>
    <w:p>
      <w:pPr>
        <w:spacing w:after="140" w:line="276"/>
      </w:pPr>
      <w:r>
        <w:rPr>
          <w:rFonts w:ascii="Calibri" w:cs="Calibri" w:eastAsia="Calibri" w:hAnsi="Calibri"/>
          <w:sz w:val="22"/>
          <w:szCs w:val="22"/>
        </w:rPr>
        <w:t xml:space="preserve">The equivalence margin is half an accuracy point. Published dynamic convolution gains on benchmarks of this scale sit between one and three points, so equivalence inside half a point contradicts those claims directly, while still being reachable at the seed to seed spread a ResNet-18 shows on CIFAR-100.</w:t>
      </w:r>
    </w:p>
    <w:p>
      <w:pPr>
        <w:spacing w:after="140" w:line="276"/>
      </w:pPr>
      <w:r>
        <w:rPr>
          <w:rFonts w:ascii="Calibri" w:cs="Calibri" w:eastAsia="Calibri" w:hAnsi="Calibri"/>
          <w:sz w:val="22"/>
          <w:szCs w:val="22"/>
        </w:rPr>
        <w:t xml:space="preserve">If you later change any of this, log it in the deviations section with a date and a reason. Extending the seed count after an inconclusive pre-registered result is legitimate when recorded. Extending it after a promising one is optional stopping, and it invalidates the p-value.</w:t>
      </w:r>
    </w:p>
    <w:p>
      <w:pPr>
        <w:pStyle w:val="Heading1"/>
        <w:spacing w:after="160" w:before="320"/>
      </w:pPr>
      <w:r>
        <w:rPr>
          <w:rFonts w:ascii="Calibri" w:cs="Calibri" w:eastAsia="Calibri" w:hAnsi="Calibri"/>
          <w:b/>
          <w:bCs/>
          <w:color w:val="1A1A1A"/>
          <w:sz w:val="30"/>
          <w:szCs w:val="30"/>
        </w:rPr>
        <w:t xml:space="preserve">The grid</w:t>
      </w:r>
    </w:p>
    <w:p>
      <w:pPr>
        <w:spacing w:after="140" w:line="276"/>
      </w:pPr>
      <w:r>
        <w:rPr>
          <w:rFonts w:ascii="Calibri" w:cs="Calibri" w:eastAsia="Calibri" w:hAnsi="Calibri"/>
          <w:sz w:val="22"/>
          <w:szCs w:val="22"/>
        </w:rPr>
        <w:t xml:space="preserve">Twenty-four runs: four routing signals across six seeds. They execute sequentially, each writing one result file, and the orchestrator skips anything already on disk. Interrupting between runs loses nothing.</w:t>
      </w:r>
    </w:p>
    <w:p>
      <w:pPr>
        <w:spacing w:after="140" w:line="276"/>
      </w:pPr>
      <w:r>
        <w:rPr>
          <w:rFonts w:ascii="Calibri" w:cs="Calibri" w:eastAsia="Calibri" w:hAnsi="Calibri"/>
          <w:sz w:val="22"/>
          <w:szCs w:val="22"/>
        </w:rPr>
        <w:t xml:space="preserve">Six seeds is not arbitrary. The Wilcoxon signed rank test has a hard floor on the smallest p-value it can produce at small sample sizes, because with n paired observations there are only two to the power n sign assignments under the null hypothesis.</w:t>
      </w:r>
    </w:p>
    <w:p>
      <w:pPr>
        <w:spacing w:after="20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shd w:fill="EDEDED"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Paired seeds</w:t>
            </w:r>
          </w:p>
        </w:tc>
        <w:tc>
          <w:tcPr>
            <w:tcW w:type="dxa" w:w="4360"/>
            <w:shd w:fill="EDEDED"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Smallest attainable two-sided p</w:t>
            </w:r>
          </w:p>
        </w:tc>
        <w:tc>
          <w:tcPr>
            <w:tcW w:type="dxa" w:w="2400"/>
            <w:shd w:fill="EDEDED"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Reaches 0.05?</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3</w:t>
            </w:r>
          </w:p>
        </w:tc>
        <w:tc>
          <w:tcPr>
            <w:tcW w:type="dxa" w:w="43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0.25</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no</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4</w:t>
            </w:r>
          </w:p>
        </w:tc>
        <w:tc>
          <w:tcPr>
            <w:tcW w:type="dxa" w:w="43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0.125</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no</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5</w:t>
            </w:r>
          </w:p>
        </w:tc>
        <w:tc>
          <w:tcPr>
            <w:tcW w:type="dxa" w:w="43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0.0625</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no</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6</w:t>
            </w:r>
          </w:p>
        </w:tc>
        <w:tc>
          <w:tcPr>
            <w:tcW w:type="dxa" w:w="43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0.031</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yes</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7</w:t>
            </w:r>
          </w:p>
        </w:tc>
        <w:tc>
          <w:tcPr>
            <w:tcW w:type="dxa" w:w="43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0.016</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yes</w:t>
            </w:r>
          </w:p>
        </w:tc>
      </w:tr>
    </w:tbl>
    <w:p>
      <w:pPr>
        <w:spacing w:after="200"/>
      </w:pPr>
      <w:r>
        <w:rPr>
          <w:sz w:val="6"/>
          <w:szCs w:val="6"/>
        </w:rPr>
        <w:t xml:space="preserve"/>
      </w:r>
    </w:p>
    <w:p>
      <w:pPr>
        <w:spacing w:after="140" w:line="276"/>
      </w:pPr>
      <w:r>
        <w:rPr>
          <w:rFonts w:ascii="Calibri" w:cs="Calibri" w:eastAsia="Calibri" w:hAnsi="Calibri"/>
          <w:sz w:val="22"/>
          <w:szCs w:val="22"/>
        </w:rPr>
        <w:t xml:space="preserve">At three seeds you cannot reach significance regardless of how large the effect is. Six is the first count that clears the conventional threshold, and the analysis prints the floor beside every Wilcoxon result so this can never be misread. Five would suffice if you dropped Wilcoxon and relied on the paired t-test alone, but four extra runs is a cheap price for keeping the test your reviewers expect.</w:t>
      </w:r>
    </w:p>
    <w:p>
      <w:pPr>
        <w:spacing w:after="140" w:line="276"/>
      </w:pPr>
      <w:r>
        <w:rPr>
          <w:rFonts w:ascii="Calibri" w:cs="Calibri" w:eastAsia="Calibri" w:hAnsi="Calibri"/>
          <w:sz w:val="22"/>
          <w:szCs w:val="22"/>
        </w:rPr>
        <w:t xml:space="preserve">Let the grid run router by router rather than seed by seed, which is the default order. If you have to stop early you then hold complete arms rather than a ragged partial grid.</w:t>
      </w:r>
    </w:p>
    <w:p>
      <w:pPr>
        <w:spacing w:after="140" w:line="276"/>
      </w:pPr>
      <w:r>
        <w:rPr>
          <w:rFonts w:ascii="Calibri" w:cs="Calibri" w:eastAsia="Calibri" w:hAnsi="Calibri"/>
          <w:sz w:val="22"/>
          <w:szCs w:val="22"/>
        </w:rPr>
        <w:t xml:space="preserve">Do not run the analysis until all twenty-four are finished. Looking at twelve, seeing a promising gap, and adding seeds because the result is not quite significant yet is optional stopping, and it breaks the guarantee the p-value is supposed to carry. Run everything, then look once.</w:t>
      </w:r>
    </w:p>
    <w:p>
      <w:pPr>
        <w:pStyle w:val="Heading1"/>
        <w:spacing w:after="160" w:before="320"/>
      </w:pPr>
      <w:r>
        <w:rPr>
          <w:rFonts w:ascii="Calibri" w:cs="Calibri" w:eastAsia="Calibri" w:hAnsi="Calibri"/>
          <w:b/>
          <w:bCs/>
          <w:color w:val="1A1A1A"/>
          <w:sz w:val="30"/>
          <w:szCs w:val="30"/>
        </w:rPr>
        <w:t xml:space="preserve">What the training process does</w:t>
      </w:r>
    </w:p>
    <w:p>
      <w:pPr>
        <w:pStyle w:val="Heading2"/>
        <w:spacing w:after="120" w:before="260"/>
      </w:pPr>
      <w:r>
        <w:rPr>
          <w:rFonts w:ascii="Calibri" w:cs="Calibri" w:eastAsia="Calibri" w:hAnsi="Calibri"/>
          <w:b/>
          <w:bCs/>
          <w:color w:val="333333"/>
          <w:sz w:val="25"/>
          <w:szCs w:val="25"/>
        </w:rPr>
        <w:t xml:space="preserve">The recipe</w:t>
      </w:r>
    </w:p>
    <w:p>
      <w:pPr>
        <w:spacing w:after="140" w:line="276"/>
      </w:pPr>
      <w:r>
        <w:rPr>
          <w:rFonts w:ascii="Calibri" w:cs="Calibri" w:eastAsia="Calibri" w:hAnsi="Calibri"/>
          <w:sz w:val="22"/>
          <w:szCs w:val="22"/>
        </w:rPr>
        <w:t xml:space="preserve">Stochastic gradient descent with Nesterov momentum at 0.9, learning rate 0.1, weight decay five ten-thousandths, batch size 128. Five epochs of linear warmup, then a cosine decay to zero across the remaining 145. Augmentation is random cropping with four pixel padding and horizontal flipping, and nothing else.</w:t>
      </w:r>
    </w:p>
    <w:p>
      <w:pPr>
        <w:spacing w:after="140" w:line="276"/>
      </w:pPr>
      <w:r>
        <w:rPr>
          <w:rFonts w:ascii="Calibri" w:cs="Calibri" w:eastAsia="Calibri" w:hAnsi="Calibri"/>
          <w:sz w:val="22"/>
          <w:szCs w:val="22"/>
        </w:rPr>
        <w:t xml:space="preserve">The augmentation choice is deliberate and worth defending. Mixup and cutout interact with adaptive routing in ways nobody has characterised, since a mixed image produces a feature map that is a blend of two sources, and how a router behaves on that is a separate research question. Including them would let any null result be attributed to the augmentation rather than the architecture. Keeping the recipe plain keeps the comparison clean.</w:t>
      </w:r>
    </w:p>
    <w:p>
      <w:pPr>
        <w:spacing w:after="140" w:line="276"/>
      </w:pPr>
      <w:r>
        <w:rPr>
          <w:rFonts w:ascii="Calibri" w:cs="Calibri" w:eastAsia="Calibri" w:hAnsi="Calibri"/>
          <w:sz w:val="22"/>
          <w:szCs w:val="22"/>
        </w:rPr>
        <w:t xml:space="preserve">Training runs in bfloat16 through automatic mixed precision. Bfloat16 carries the same exponent range as single precision, so no loss scaling is required on your card.</w:t>
      </w:r>
    </w:p>
    <w:p>
      <w:pPr>
        <w:pStyle w:val="Heading2"/>
        <w:spacing w:after="120" w:before="260"/>
      </w:pPr>
      <w:r>
        <w:rPr>
          <w:rFonts w:ascii="Calibri" w:cs="Calibri" w:eastAsia="Calibri" w:hAnsi="Calibri"/>
          <w:b/>
          <w:bCs/>
          <w:color w:val="333333"/>
          <w:sz w:val="25"/>
          <w:szCs w:val="25"/>
        </w:rPr>
        <w:t xml:space="preserve">How the 150 epochs unfold</w:t>
      </w:r>
    </w:p>
    <w:p>
      <w:pPr>
        <w:spacing w:after="140" w:line="276"/>
      </w:pPr>
      <w:r>
        <w:rPr>
          <w:rFonts w:ascii="Calibri" w:cs="Calibri" w:eastAsia="Calibri" w:hAnsi="Calibri"/>
          <w:b/>
          <w:bCs/>
          <w:sz w:val="22"/>
          <w:szCs w:val="22"/>
        </w:rPr>
        <w:t xml:space="preserve">Epochs 0 to 5, warmup. </w:t>
      </w:r>
      <w:r>
        <w:rPr>
          <w:rFonts w:ascii="Calibri" w:cs="Calibri" w:eastAsia="Calibri" w:hAnsi="Calibri"/>
          <w:sz w:val="22"/>
          <w:szCs w:val="22"/>
        </w:rPr>
        <w:t xml:space="preserve">The learning rate climbs linearly to 0.1. Loss falls from about 4.6, which is chance on a hundred classes, to somewhere near 3.8. Test accuracy reaches perhaps 12 percent. Warmup carries more weight in this experiment than in an ordinary run: at initialisation the router is random, so each sample is convolved with a slightly different kernel mixture, which is extra gradient noise on top of the usual. Starting cold at full learning rate can send the routed arms somewhere the constant arm never goes, and then you are comparing a diverged run against a healthy one.</w:t>
      </w:r>
    </w:p>
    <w:p>
      <w:pPr>
        <w:spacing w:after="140" w:line="276"/>
      </w:pPr>
      <w:r>
        <w:rPr>
          <w:rFonts w:ascii="Calibri" w:cs="Calibri" w:eastAsia="Calibri" w:hAnsi="Calibri"/>
          <w:b/>
          <w:bCs/>
          <w:sz w:val="22"/>
          <w:szCs w:val="22"/>
        </w:rPr>
        <w:t xml:space="preserve">Epochs 5 to 50, the bulk of learning. </w:t>
      </w:r>
      <w:r>
        <w:rPr>
          <w:rFonts w:ascii="Calibri" w:cs="Calibri" w:eastAsia="Calibri" w:hAnsi="Calibri"/>
          <w:sz w:val="22"/>
          <w:szCs w:val="22"/>
        </w:rPr>
        <w:t xml:space="preserve">Loss drops quickly and then settles between two and two and a half. Test accuracy climbs to roughly 55 to 62 percent and stops moving much. That plateau is normal and does not indicate failure. This is also where routing collapse would first become visible if it happens: a normalised routing entropy already sitting near one by epoch twenty, and never moving afterwards, means the softmax has gone uniform and the router has effectively switched itself off.</w:t>
      </w:r>
    </w:p>
    <w:p>
      <w:pPr>
        <w:spacing w:after="140" w:line="276"/>
      </w:pPr>
      <w:r>
        <w:rPr>
          <w:rFonts w:ascii="Calibri" w:cs="Calibri" w:eastAsia="Calibri" w:hAnsi="Calibri"/>
          <w:b/>
          <w:bCs/>
          <w:sz w:val="22"/>
          <w:szCs w:val="22"/>
        </w:rPr>
        <w:t xml:space="preserve">Epochs 50 to 120, the cosine descent. </w:t>
      </w:r>
      <w:r>
        <w:rPr>
          <w:rFonts w:ascii="Calibri" w:cs="Calibri" w:eastAsia="Calibri" w:hAnsi="Calibri"/>
          <w:sz w:val="22"/>
          <w:szCs w:val="22"/>
        </w:rPr>
        <w:t xml:space="preserve">The learning rate decays from 0.05 down to about 0.01, and most of the final accuracy is made here. Test accuracy climbs steadily from around 60 to around 74 percent. The gap between training and test accuracy widens, which is expected.</w:t>
      </w:r>
    </w:p>
    <w:p>
      <w:pPr>
        <w:spacing w:after="140" w:line="276"/>
      </w:pPr>
      <w:r>
        <w:rPr>
          <w:rFonts w:ascii="Calibri" w:cs="Calibri" w:eastAsia="Calibri" w:hAnsi="Calibri"/>
          <w:b/>
          <w:bCs/>
          <w:sz w:val="22"/>
          <w:szCs w:val="22"/>
        </w:rPr>
        <w:t xml:space="preserve">Epochs 120 to 150, the tail. </w:t>
      </w:r>
      <w:r>
        <w:rPr>
          <w:rFonts w:ascii="Calibri" w:cs="Calibri" w:eastAsia="Calibri" w:hAnsi="Calibri"/>
          <w:sz w:val="22"/>
          <w:szCs w:val="22"/>
        </w:rPr>
        <w:t xml:space="preserve">The learning rate approaches zero, gains shrink to a point or two in total, and epoch to epoch noise collapses because the steps are tiny. This stability is why the final epoch is the metric.</w:t>
      </w:r>
    </w:p>
    <w:p>
      <w:pPr>
        <w:spacing w:after="140" w:line="276"/>
      </w:pPr>
      <w:r>
        <w:rPr>
          <w:rFonts w:ascii="Calibri" w:cs="Calibri" w:eastAsia="Calibri" w:hAnsi="Calibri"/>
          <w:sz w:val="22"/>
          <w:szCs w:val="22"/>
        </w:rPr>
        <w:t xml:space="preserve">Expect between 74 and 77 percent final top-1 accuracy. An arm landing below 70 means something is wrong. An arm above 80 means checking that evaluation is not accidentally running on training data.</w:t>
      </w:r>
    </w:p>
    <w:p>
      <w:pPr>
        <w:pStyle w:val="Heading1"/>
        <w:spacing w:after="160" w:before="320"/>
      </w:pPr>
      <w:r>
        <w:rPr>
          <w:rFonts w:ascii="Calibri" w:cs="Calibri" w:eastAsia="Calibri" w:hAnsi="Calibri"/>
          <w:b/>
          <w:bCs/>
          <w:color w:val="1A1A1A"/>
          <w:sz w:val="30"/>
          <w:szCs w:val="30"/>
        </w:rPr>
        <w:t xml:space="preserve">What is being trained in each arm</w:t>
      </w:r>
    </w:p>
    <w:p>
      <w:pPr>
        <w:spacing w:after="140" w:line="276"/>
      </w:pPr>
      <w:r>
        <w:rPr>
          <w:rFonts w:ascii="Calibri" w:cs="Calibri" w:eastAsia="Calibri" w:hAnsi="Calibri"/>
          <w:sz w:val="22"/>
          <w:szCs w:val="22"/>
        </w:rPr>
        <w:t xml:space="preserve">In every arm, all four kernels in every bank receive gradient on every step, scaled by their routing weight. What differs is the structure of those weights.</w:t>
      </w:r>
    </w:p>
    <w:p>
      <w:pPr>
        <w:spacing w:after="20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shd w:fill="EDEDED"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Arm</w:t>
            </w:r>
          </w:p>
        </w:tc>
        <w:tc>
          <w:tcPr>
            <w:tcW w:type="dxa" w:w="2400"/>
            <w:shd w:fill="EDEDED"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Routing weights</w:t>
            </w:r>
          </w:p>
        </w:tc>
        <w:tc>
          <w:tcPr>
            <w:tcW w:type="dxa" w:w="5260"/>
            <w:shd w:fill="EDEDED"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What it isolates</w:t>
            </w:r>
          </w:p>
        </w:tc>
      </w:tr>
      <w:tr>
        <w:tc>
          <w:tcPr>
            <w:tcW w:type="dxa" w:w="17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Uniform</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Exactly one quarter each, always</w:t>
            </w:r>
          </w:p>
        </w:tc>
        <w:tc>
          <w:tcPr>
            <w:tcW w:type="dxa" w:w="52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All four kernels receive identical gradient and converge toward copies of one filter. The network learns a single averaged kernel using four times the parameters. Same capacity, no routing.</w:t>
            </w:r>
          </w:p>
        </w:tc>
      </w:tr>
      <w:tr>
        <w:tc>
          <w:tcPr>
            <w:tcW w:type="dxa" w:w="17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GAP</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Varies per sample, learned</w:t>
            </w:r>
          </w:p>
        </w:tc>
        <w:tc>
          <w:tcPr>
            <w:tcW w:type="dxa" w:w="52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The standard baseline. If routing carries information the kernels specialise; if the softmax collapses toward uniform this arm converges to what the uniform arm reaches.</w:t>
            </w:r>
          </w:p>
        </w:tc>
      </w:tr>
      <w:tr>
        <w:tc>
          <w:tcPr>
            <w:tcW w:type="dxa" w:w="17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Shuffled</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Varies per sample, paired with the wrong sample</w:t>
            </w:r>
          </w:p>
        </w:tc>
        <w:tc>
          <w:tcPr>
            <w:tcW w:type="dxa" w:w="52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The distribution of routing weights is preserved while the correspondence between image content and kernel choice is destroyed. Matching the baseline means the pairing carries nothing.</w:t>
            </w:r>
          </w:p>
        </w:tc>
      </w:tr>
      <w:tr>
        <w:tc>
          <w:tcPr>
            <w:tcW w:type="dxa" w:w="17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Frozen random</w:t>
            </w:r>
          </w:p>
        </w:tc>
        <w:tc>
          <w:tcPr>
            <w:tcW w:type="dxa" w:w="24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Varies with input, never optimised</w:t>
            </w:r>
          </w:p>
        </w:tc>
        <w:tc>
          <w:tcPr>
            <w:tcW w:type="dxa" w:w="526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A consistent but arbitrary partition of the input space. Matching the baseline means any consistent partition works and the learned one is not special.</w:t>
            </w:r>
          </w:p>
        </w:tc>
      </w:tr>
    </w:tbl>
    <w:p>
      <w:pPr>
        <w:spacing w:after="200"/>
      </w:pPr>
      <w:r>
        <w:rPr>
          <w:sz w:val="6"/>
          <w:szCs w:val="6"/>
        </w:rPr>
        <w:t xml:space="preserve"/>
      </w:r>
    </w:p>
    <w:p>
      <w:pPr>
        <w:spacing w:after="140" w:line="276"/>
      </w:pPr>
      <w:r>
        <w:rPr>
          <w:rFonts w:ascii="Calibri" w:cs="Calibri" w:eastAsia="Calibri" w:hAnsi="Calibri"/>
          <w:sz w:val="22"/>
          <w:szCs w:val="22"/>
        </w:rPr>
        <w:t xml:space="preserve">The first two arms carry the headline comparison. The other two tell you which component of routing is inert if the headline returns a null, which is what turns a bare negative into an explanation.</w:t>
      </w:r>
    </w:p>
    <w:p>
      <w:pPr>
        <w:spacing w:after="140" w:line="276"/>
      </w:pPr>
      <w:r>
        <w:rPr>
          <w:rFonts w:ascii="Calibri" w:cs="Calibri" w:eastAsia="Calibri" w:hAnsi="Calibri"/>
          <w:sz w:val="22"/>
          <w:szCs w:val="22"/>
        </w:rPr>
        <w:t xml:space="preserve">Parameter counts make the comparison honest. The uniform and frozen random arms hold 44.18 million parameters each. The two arms with a trained router hold 44.46 million, so the router adds 0.29 million, or six tenths of one percent. That small difference is itself a confound, which is precisely why the frozen random arm exists: it matches the uniform arm in capacity and the baseline in architecture.</w:t>
      </w:r>
    </w:p>
    <w:p>
      <w:pPr>
        <w:pStyle w:val="Heading1"/>
        <w:spacing w:after="160" w:before="320"/>
      </w:pPr>
      <w:r>
        <w:rPr>
          <w:rFonts w:ascii="Calibri" w:cs="Calibri" w:eastAsia="Calibri" w:hAnsi="Calibri"/>
          <w:b/>
          <w:bCs/>
          <w:color w:val="1A1A1A"/>
          <w:sz w:val="30"/>
          <w:szCs w:val="30"/>
        </w:rPr>
        <w:t xml:space="preserve">Reading a run while it is going</w:t>
      </w:r>
    </w:p>
    <w:p>
      <w:pPr>
        <w:spacing w:after="140" w:line="276"/>
      </w:pPr>
      <w:r>
        <w:rPr>
          <w:rFonts w:ascii="Calibri" w:cs="Calibri" w:eastAsia="Calibri" w:hAnsi="Calibri"/>
          <w:sz w:val="22"/>
          <w:szCs w:val="22"/>
        </w:rPr>
        <w:t xml:space="preserve">Progress prints every ten epochs with loss, test accuracy, running best, and elapsed time. Four things are worth watching for.</w:t>
      </w:r>
    </w:p>
    <w:p>
      <w:pPr>
        <w:pStyle w:val="ListParagraph"/>
        <w:numPr>
          <w:ilvl w:val="0"/>
          <w:numId w:val="2"/>
        </w:numPr>
        <w:spacing w:after="90" w:line="276"/>
      </w:pPr>
      <w:r>
        <w:rPr>
          <w:rFonts w:ascii="Calibri" w:cs="Calibri" w:eastAsia="Calibri" w:hAnsi="Calibri"/>
          <w:sz w:val="22"/>
          <w:szCs w:val="22"/>
        </w:rPr>
        <w:t xml:space="preserve">Loss stuck near 4.6 means nothing is learning. Almost always a learning rate mismatched to the batch size, or a normalisation error in the data pipeline.</w:t>
      </w:r>
    </w:p>
    <w:p>
      <w:pPr>
        <w:pStyle w:val="ListParagraph"/>
        <w:numPr>
          <w:ilvl w:val="0"/>
          <w:numId w:val="2"/>
        </w:numPr>
        <w:spacing w:after="90" w:line="276"/>
      </w:pPr>
      <w:r>
        <w:rPr>
          <w:rFonts w:ascii="Calibri" w:cs="Calibri" w:eastAsia="Calibri" w:hAnsi="Calibri"/>
          <w:sz w:val="22"/>
          <w:szCs w:val="22"/>
        </w:rPr>
        <w:t xml:space="preserve">A loss of not-a-number should not occur in bfloat16. If it does, rerun that arm in full precision to establish whether the cause is the reduced precision or the optimisation itself.</w:t>
      </w:r>
    </w:p>
    <w:p>
      <w:pPr>
        <w:pStyle w:val="ListParagraph"/>
        <w:numPr>
          <w:ilvl w:val="0"/>
          <w:numId w:val="2"/>
        </w:numPr>
        <w:spacing w:after="90" w:line="276"/>
      </w:pPr>
      <w:r>
        <w:rPr>
          <w:rFonts w:ascii="Calibri" w:cs="Calibri" w:eastAsia="Calibri" w:hAnsi="Calibri"/>
          <w:sz w:val="22"/>
          <w:szCs w:val="22"/>
        </w:rPr>
        <w:t xml:space="preserve">The uniform arm should run roughly four times faster per epoch than the others, because its constant routing weights let the layer collapse the kernel bank once instead of per sample. A much larger gap suggests the wrong execution path is active.</w:t>
      </w:r>
    </w:p>
    <w:p>
      <w:pPr>
        <w:pStyle w:val="ListParagraph"/>
        <w:numPr>
          <w:ilvl w:val="0"/>
          <w:numId w:val="2"/>
        </w:numPr>
        <w:spacing w:after="90" w:line="276"/>
      </w:pPr>
      <w:r>
        <w:rPr>
          <w:rFonts w:ascii="Calibri" w:cs="Calibri" w:eastAsia="Calibri" w:hAnsi="Calibri"/>
          <w:sz w:val="22"/>
          <w:szCs w:val="22"/>
        </w:rPr>
        <w:t xml:space="preserve">Accuracy swinging wildly after epoch 100 means the learning rate is still high, which would indicate the schedule is stepping once per epoch instead of once per optimisation step.</w:t>
      </w:r>
    </w:p>
    <w:p>
      <w:pPr>
        <w:spacing w:after="140" w:line="276"/>
      </w:pPr>
      <w:r>
        <w:rPr>
          <w:rFonts w:ascii="Calibri" w:cs="Calibri" w:eastAsia="Calibri" w:hAnsi="Calibri"/>
          <w:sz w:val="22"/>
          <w:szCs w:val="22"/>
        </w:rPr>
        <w:t xml:space="preserve">Every run also ends with one instrumented evaluation pass that records, for each dynamic layer, the mean routing weights, the normalised entropy, and how many samples each branch won. An entropy near one means near-uniform mixing and a router that is not choosing. The uniform arm sits at exactly one by construction and serves as the reference line.</w:t>
      </w:r>
    </w:p>
    <w:p>
      <w:pPr>
        <w:spacing w:after="140" w:line="276"/>
      </w:pPr>
      <w:r>
        <w:rPr>
          <w:rFonts w:ascii="Calibri" w:cs="Calibri" w:eastAsia="Calibri" w:hAnsi="Calibri"/>
          <w:sz w:val="22"/>
          <w:szCs w:val="22"/>
        </w:rPr>
        <w:t xml:space="preserve">Treat this as descriptive only. No hypothesis test is attached to it in the pre-registration, because the entropy of the mean is a foolable statistic and per-layer entropy has not been validated as a measure of routing usefulness. Validating it is a piece of work in its own right, and arguably the most transferable thing in the whole program.</w:t>
      </w:r>
    </w:p>
    <w:p>
      <w:pPr>
        <w:pStyle w:val="Heading1"/>
        <w:spacing w:after="160" w:before="320"/>
      </w:pPr>
      <w:r>
        <w:rPr>
          <w:rFonts w:ascii="Calibri" w:cs="Calibri" w:eastAsia="Calibri" w:hAnsi="Calibri"/>
          <w:b/>
          <w:bCs/>
          <w:color w:val="1A1A1A"/>
          <w:sz w:val="30"/>
          <w:szCs w:val="30"/>
        </w:rPr>
        <w:t xml:space="preserve">What day 1 should end with</w:t>
      </w:r>
    </w:p>
    <w:p>
      <w:pPr>
        <w:pStyle w:val="ListParagraph"/>
        <w:numPr>
          <w:ilvl w:val="0"/>
          <w:numId w:val="3"/>
        </w:numPr>
        <w:spacing w:after="90" w:line="276"/>
      </w:pPr>
      <w:r>
        <w:rPr>
          <w:rFonts w:ascii="Calibri" w:cs="Calibri" w:eastAsia="Calibri" w:hAnsi="Calibri"/>
          <w:sz w:val="22"/>
          <w:szCs w:val="22"/>
        </w:rPr>
        <w:t xml:space="preserve">A working environment where torch reports CUDA available and names the card.</w:t>
      </w:r>
    </w:p>
    <w:p>
      <w:pPr>
        <w:pStyle w:val="ListParagraph"/>
        <w:numPr>
          <w:ilvl w:val="0"/>
          <w:numId w:val="3"/>
        </w:numPr>
        <w:spacing w:after="90" w:line="276"/>
      </w:pPr>
      <w:r>
        <w:rPr>
          <w:rFonts w:ascii="Calibri" w:cs="Calibri" w:eastAsia="Calibri" w:hAnsi="Calibri"/>
          <w:sz w:val="22"/>
          <w:szCs w:val="22"/>
        </w:rPr>
        <w:t xml:space="preserve">Five passing assertions from the path equivalence suite.</w:t>
      </w:r>
    </w:p>
    <w:p>
      <w:pPr>
        <w:pStyle w:val="ListParagraph"/>
        <w:numPr>
          <w:ilvl w:val="0"/>
          <w:numId w:val="3"/>
        </w:numPr>
        <w:spacing w:after="90" w:line="276"/>
      </w:pPr>
      <w:r>
        <w:rPr>
          <w:rFonts w:ascii="Calibri" w:cs="Calibri" w:eastAsia="Calibri" w:hAnsi="Calibri"/>
          <w:sz w:val="22"/>
          <w:szCs w:val="22"/>
        </w:rPr>
        <w:t xml:space="preserve">A measured per-epoch time, and a decision about scope taken on the basis of it.</w:t>
      </w:r>
    </w:p>
    <w:p>
      <w:pPr>
        <w:pStyle w:val="ListParagraph"/>
        <w:numPr>
          <w:ilvl w:val="0"/>
          <w:numId w:val="3"/>
        </w:numPr>
        <w:spacing w:after="90" w:line="276"/>
      </w:pPr>
      <w:r>
        <w:rPr>
          <w:rFonts w:ascii="Calibri" w:cs="Calibri" w:eastAsia="Calibri" w:hAnsi="Calibri"/>
          <w:sz w:val="22"/>
          <w:szCs w:val="22"/>
        </w:rPr>
        <w:t xml:space="preserve">The pre-registration committed, unmodified, with its deviations section empty.</w:t>
      </w:r>
    </w:p>
    <w:p>
      <w:pPr>
        <w:pStyle w:val="ListParagraph"/>
        <w:numPr>
          <w:ilvl w:val="0"/>
          <w:numId w:val="3"/>
        </w:numPr>
        <w:spacing w:after="90" w:line="276"/>
      </w:pPr>
      <w:r>
        <w:rPr>
          <w:rFonts w:ascii="Calibri" w:cs="Calibri" w:eastAsia="Calibri" w:hAnsi="Calibri"/>
          <w:sz w:val="22"/>
          <w:szCs w:val="22"/>
        </w:rPr>
        <w:t xml:space="preserve">The grid running.</w:t>
      </w:r>
    </w:p>
    <w:p>
      <w:pPr>
        <w:spacing w:after="200"/>
      </w:pPr>
      <w:r>
        <w:rPr>
          <w:sz w:val="6"/>
          <w:szCs w:val="6"/>
        </w:rPr>
        <w:t xml:space="preserve"/>
      </w:r>
    </w:p>
    <w:p>
      <w:pPr>
        <w:spacing w:after="140" w:line="276"/>
      </w:pPr>
      <w:r>
        <w:rPr>
          <w:rFonts w:ascii="Calibri" w:cs="Calibri" w:eastAsia="Calibri" w:hAnsi="Calibri"/>
          <w:sz w:val="22"/>
          <w:szCs w:val="22"/>
        </w:rPr>
        <w:t xml:space="preserve">Nothing after that requires a judgement call. The analysis command produces a verdict, and the verdict was written down before any number was visible, which is the entire point of the design.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abstractNum>
  <w:abstractNum w:abstractNumId="3" w15:restartNumberingAfterBreak="0">
    <w:multiLevelType w:val="hybridMultilevel"/>
    <w:lvl w:ilvl="0" w15:tentative="1">
      <w:start w:val="1"/>
      <w:numFmt w:val="decimal"/>
      <w:lvlText w:val="%1."/>
      <w:lvlJc w:val="left"/>
      <w:pPr>
        <w:ind w:left="431" w:hanging="27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2026-09-08T19:09:53.503Z</dcterms:created>
  <dcterms:modified xsi:type="dcterms:W3CDTF">2026-09-08T19:09:53.504Z</dcterms:modified>
</cp:coreProperties>
</file>

<file path=docProps/custom.xml><?xml version="1.0" encoding="utf-8"?>
<Properties xmlns="http://schemas.openxmlformats.org/officeDocument/2006/custom-properties" xmlns:vt="http://schemas.openxmlformats.org/officeDocument/2006/docPropsVTypes"/>
</file>