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KernelRoute:</w:t>
      </w:r>
      <w:r>
        <w:t xml:space="preserve"> </w:t>
      </w:r>
      <w:r>
        <w:t xml:space="preserve">how</w:t>
      </w:r>
      <w:r>
        <w:t xml:space="preserve"> </w:t>
      </w:r>
      <w:r>
        <w:t xml:space="preserve">the</w:t>
      </w:r>
      <w:r>
        <w:t xml:space="preserve"> </w:t>
      </w:r>
      <w:r>
        <w:t xml:space="preserve">paper</w:t>
      </w:r>
      <w:r>
        <w:t xml:space="preserve"> </w:t>
      </w:r>
      <w:r>
        <w:t xml:space="preserve">could</w:t>
      </w:r>
      <w:r>
        <w:t xml:space="preserve"> </w:t>
      </w:r>
      <w:r>
        <w:t xml:space="preserve">be</w:t>
      </w:r>
      <w:r>
        <w:t xml:space="preserve"> </w:t>
      </w:r>
      <w:r>
        <w:t xml:space="preserve">rejected,</w:t>
      </w:r>
      <w:r>
        <w:t xml:space="preserve"> </w:t>
      </w:r>
      <w:r>
        <w:t xml:space="preserve">and</w:t>
      </w:r>
      <w:r>
        <w:t xml:space="preserve"> </w:t>
      </w:r>
      <w:r>
        <w:t xml:space="preserve">how</w:t>
      </w:r>
      <w:r>
        <w:t xml:space="preserve"> </w:t>
      </w:r>
      <w:r>
        <w:t xml:space="preserve">to</w:t>
      </w:r>
      <w:r>
        <w:t xml:space="preserve"> </w:t>
      </w:r>
      <w:r>
        <w:t xml:space="preserve">answer</w:t>
      </w:r>
    </w:p>
    <w:p>
      <w:pPr>
        <w:pStyle w:val="Subtitle"/>
      </w:pPr>
      <w:r>
        <w:t xml:space="preserve">Reviewer</w:t>
      </w:r>
      <w:r>
        <w:t xml:space="preserve"> </w:t>
      </w:r>
      <w:r>
        <w:t xml:space="preserve">risk</w:t>
      </w:r>
      <w:r>
        <w:t xml:space="preserve"> </w:t>
      </w:r>
      <w:r>
        <w:t xml:space="preserve">analysis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three-backbone</w:t>
      </w:r>
      <w:r>
        <w:t xml:space="preserve"> </w:t>
      </w:r>
      <w:r>
        <w:t xml:space="preserve">draft</w:t>
      </w:r>
      <w:r>
        <w:t xml:space="preserve"> </w:t>
      </w:r>
      <w:r>
        <w:t xml:space="preserve">of</w:t>
      </w:r>
      <w:r>
        <w:t xml:space="preserve"> </w:t>
      </w:r>
      <w:r>
        <w:t xml:space="preserve">21</w:t>
      </w:r>
      <w:r>
        <w:t xml:space="preserve"> </w:t>
      </w:r>
      <w:r>
        <w:t xml:space="preserve">October</w:t>
      </w:r>
      <w:r>
        <w:t xml:space="preserve"> </w:t>
      </w:r>
      <w:r>
        <w:t xml:space="preserve">2026</w:t>
      </w:r>
    </w:p>
    <w:bookmarkStart w:id="20" w:name="how-to-use-this-document"/>
    <w:p>
      <w:pPr>
        <w:pStyle w:val="Heading1"/>
      </w:pPr>
      <w:r>
        <w:t xml:space="preserve">How to use this document</w:t>
      </w:r>
    </w:p>
    <w:p>
      <w:pPr>
        <w:pStyle w:val="FirstParagraph"/>
      </w:pPr>
      <w:r>
        <w:t xml:space="preserve">Each section below is one objection a reviewer is likely to raise. For each</w:t>
      </w:r>
      <w:r>
        <w:t xml:space="preserve"> </w:t>
      </w:r>
      <w:r>
        <w:t xml:space="preserve">one you get: how serious it is, the honest answer, the evidence behind the</w:t>
      </w:r>
      <w:r>
        <w:t xml:space="preserve"> </w:t>
      </w:r>
      <w:r>
        <w:t xml:space="preserve">answer (with numbers taken from the current build or recomputed for this</w:t>
      </w:r>
      <w:r>
        <w:t xml:space="preserve"> </w:t>
      </w:r>
      <w:r>
        <w:t xml:space="preserve">document), and what to change in the paper or run before submission.</w:t>
      </w:r>
    </w:p>
    <w:p>
      <w:pPr>
        <w:pStyle w:val="BodyText"/>
      </w:pPr>
      <w:r>
        <w:t xml:space="preserve">Severity means how likely the objection is to sink the paper on its own: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High</w:t>
      </w:r>
      <w:r>
        <w:t xml:space="preserve">: a reviewer can reject on this alone. Fix before submitting.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Medium</w:t>
      </w:r>
      <w:r>
        <w:t xml:space="preserve">: weakens the paper; a reviewer will ask, and a weak answer</w:t>
      </w:r>
      <w:r>
        <w:t xml:space="preserve"> </w:t>
      </w:r>
      <w:r>
        <w:t xml:space="preserve">costs a score point.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Low</w:t>
      </w:r>
      <w:r>
        <w:t xml:space="preserve">: worth one sentence in the paper or the rebuttal.</w:t>
      </w:r>
    </w:p>
    <w:p>
      <w:pPr>
        <w:pStyle w:val="FirstParagraph"/>
      </w:pPr>
      <w:r>
        <w:t xml:space="preserve">Two rules for every answer. First, never claim more than the runs show:</w:t>
      </w:r>
      <w:r>
        <w:t xml:space="preserve"> </w:t>
      </w:r>
      <w:r>
        <w:t xml:space="preserve">reviewers forgive a limited, honest scope and punish overclaiming. Second,</w:t>
      </w:r>
      <w:r>
        <w:t xml:space="preserve"> </w:t>
      </w:r>
      <w:r>
        <w:t xml:space="preserve">where a cheap experiment closes the gap, run it before submission instead</w:t>
      </w:r>
      <w:r>
        <w:t xml:space="preserve"> </w:t>
      </w:r>
      <w:r>
        <w:t xml:space="preserve">of arguing in the rebuttal.</w:t>
      </w:r>
    </w:p>
    <w:bookmarkEnd w:id="20"/>
    <w:bookmarkStart w:id="21" w:name="summary"/>
    <w:p>
      <w:pPr>
        <w:pStyle w:val="Heading1"/>
      </w:pPr>
      <w:r>
        <w:t xml:space="preserve">Summary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A0A0A0"/>
          <w:bottom w:val="single" w:sz="4" w:color="A0A0A0"/>
          <w:insideH w:val="single" w:sz="4" w:color="A0A0A0"/>
          <w:insideV w:val="single" w:sz="4" w:color="A0A0A0"/>
          <w:left w:val="single" w:sz="4" w:color="A0A0A0"/>
          <w:right w:val="single" w:sz="4" w:color="A0A0A0"/>
        </w:tblBorders>
        <w:tblW w:w="9397" w:type="dxa"/>
        <w:tblLayout w:type="fixed"/>
      </w:tblPr>
      <w:tblGrid>
        <w:gridCol w:w="600"/>
        <w:gridCol w:w="2913"/>
        <w:gridCol w:w="1257"/>
        <w:gridCol w:w="2913"/>
        <w:gridCol w:w="1711"/>
      </w:tblGrid>
      <w:tr>
        <w:trPr>
          <w:tblHeader w:val="true"/>
        </w:trPr>
        <w:tc>
          <w:tcPr>
            <w:tcW w:w="600" w:type="dxa"/>
          </w:tcPr>
          <w:p>
            <w:pPr>
              <w:pStyle w:val="Compact"/>
              <w:spacing w:after="20"/>
              <w:jc w:val="left"/>
            </w:pPr>
            <w:r>
              <w:rPr>
                <w:b/>
                <w:sz w:val="18"/>
              </w:rPr>
              <w:t xml:space="preserve">#</w:t>
            </w:r>
          </w:p>
        </w:tc>
        <w:tc>
          <w:tcPr>
            <w:tcW w:w="2913" w:type="dxa"/>
          </w:tcPr>
          <w:p>
            <w:pPr>
              <w:pStyle w:val="Compact"/>
              <w:spacing w:after="20"/>
              <w:jc w:val="left"/>
            </w:pPr>
            <w:r>
              <w:rPr>
                <w:b/>
                <w:sz w:val="18"/>
              </w:rPr>
              <w:t xml:space="preserve">Objection</w:t>
            </w:r>
          </w:p>
        </w:tc>
        <w:tc>
          <w:tcPr>
            <w:tcW w:w="1257" w:type="dxa"/>
          </w:tcPr>
          <w:p>
            <w:pPr>
              <w:pStyle w:val="Compact"/>
              <w:spacing w:after="20"/>
              <w:jc w:val="left"/>
            </w:pPr>
            <w:r>
              <w:rPr>
                <w:b/>
                <w:sz w:val="18"/>
              </w:rPr>
              <w:t xml:space="preserve">Severity</w:t>
            </w:r>
          </w:p>
        </w:tc>
        <w:tc>
          <w:tcPr>
            <w:tcW w:w="2913" w:type="dxa"/>
          </w:tcPr>
          <w:p>
            <w:pPr>
              <w:pStyle w:val="Compact"/>
              <w:spacing w:after="20"/>
              <w:jc w:val="left"/>
            </w:pPr>
            <w:r>
              <w:rPr>
                <w:b/>
                <w:sz w:val="18"/>
              </w:rPr>
              <w:t xml:space="preserve">What closes it</w:t>
            </w:r>
          </w:p>
        </w:tc>
        <w:tc>
          <w:tcPr>
            <w:tcW w:w="1711" w:type="dxa"/>
          </w:tcPr>
          <w:p>
            <w:pPr>
              <w:pStyle w:val="Compact"/>
              <w:spacing w:after="20"/>
              <w:jc w:val="left"/>
            </w:pPr>
            <w:r>
              <w:rPr>
                <w:b/>
                <w:sz w:val="18"/>
              </w:rPr>
              <w:t xml:space="preserve">Cost</w:t>
            </w:r>
          </w:p>
        </w:tc>
      </w:tr>
      <w:tr>
        <w:tc>
          <w:tcPr>
            <w:tcW w:w="600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1</w:t>
            </w:r>
          </w:p>
        </w:tc>
        <w:tc>
          <w:tcPr>
            <w:tcW w:w="2913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“</w:t>
            </w:r>
            <w:r>
              <w:rPr>
                <w:sz w:val="18"/>
              </w:rPr>
              <w:t xml:space="preserve">Not new: DY-Conv already ablated the attention, and CondConv already argued a constant mixture is one kernel</w:t>
            </w:r>
            <w:r>
              <w:rPr>
                <w:sz w:val="18"/>
              </w:rPr>
              <w:t xml:space="preserve">”</w:t>
            </w:r>
          </w:p>
        </w:tc>
        <w:tc>
          <w:tcPr>
            <w:tcW w:w="1257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High</w:t>
            </w:r>
          </w:p>
        </w:tc>
        <w:tc>
          <w:tcPr>
            <w:tcW w:w="2913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Cite both explicitly and explain the difference (trained-from-scratch controls vs. test-time substitution)</w:t>
            </w:r>
          </w:p>
        </w:tc>
        <w:tc>
          <w:tcPr>
            <w:tcW w:w="1711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Writing only</w:t>
            </w:r>
          </w:p>
        </w:tc>
      </w:tr>
      <w:tr>
        <w:tc>
          <w:tcPr>
            <w:tcW w:w="600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2913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“</w:t>
            </w:r>
            <w:r>
              <w:rPr>
                <w:sz w:val="18"/>
              </w:rPr>
              <w:t xml:space="preserve">CIFAR and Tiny-ImageNet only; no ImageNet</w:t>
            </w:r>
            <w:r>
              <w:rPr>
                <w:sz w:val="18"/>
              </w:rPr>
              <w:t xml:space="preserve">”</w:t>
            </w:r>
          </w:p>
        </w:tc>
        <w:tc>
          <w:tcPr>
            <w:tcW w:w="1257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High</w:t>
            </w:r>
          </w:p>
        </w:tc>
        <w:tc>
          <w:tcPr>
            <w:tcW w:w="2913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Scope statement, cost numbers, venue choice; optional ImageNet-100 or 64-pixel ImageNet subset</w:t>
            </w:r>
          </w:p>
        </w:tc>
        <w:tc>
          <w:tcPr>
            <w:tcW w:w="1711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Writing; optional about 5 GPU-days</w:t>
            </w:r>
          </w:p>
        </w:tc>
      </w:tr>
      <w:tr>
        <w:tc>
          <w:tcPr>
            <w:tcW w:w="600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3</w:t>
            </w:r>
          </w:p>
        </w:tc>
        <w:tc>
          <w:tcPr>
            <w:tcW w:w="2913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“</w:t>
            </w:r>
            <w:r>
              <w:rPr>
                <w:sz w:val="18"/>
              </w:rPr>
              <w:t xml:space="preserve">Your dynamic convolution is weak; published gains are 3 to 5 pp</w:t>
            </w:r>
            <w:r>
              <w:rPr>
                <w:sz w:val="18"/>
              </w:rPr>
              <w:t xml:space="preserve">”</w:t>
            </w:r>
          </w:p>
        </w:tc>
        <w:tc>
          <w:tcPr>
            <w:tcW w:w="1257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High</w:t>
            </w:r>
          </w:p>
        </w:tc>
        <w:tc>
          <w:tcPr>
            <w:tcW w:w="2913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Show that your plain baselines are much stronger than the ones in the literature, and that the gains are in line once that is accounted for</w:t>
            </w:r>
          </w:p>
        </w:tc>
        <w:tc>
          <w:tcPr>
            <w:tcW w:w="1711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Writing only</w:t>
            </w:r>
          </w:p>
        </w:tc>
      </w:tr>
      <w:tr>
        <w:tc>
          <w:tcPr>
            <w:tcW w:w="600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4</w:t>
            </w:r>
          </w:p>
        </w:tc>
        <w:tc>
          <w:tcPr>
            <w:tcW w:w="2913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“</w:t>
            </w:r>
            <w:r>
              <w:rPr>
                <w:sz w:val="18"/>
              </w:rPr>
              <w:t xml:space="preserve">Many tests, no multiplicity correction</w:t>
            </w:r>
            <w:r>
              <w:rPr>
                <w:sz w:val="18"/>
              </w:rPr>
              <w:t xml:space="preserve">”</w:t>
            </w:r>
          </w:p>
        </w:tc>
        <w:tc>
          <w:tcPr>
            <w:tcW w:w="1257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Medium-High</w:t>
            </w:r>
          </w:p>
        </w:tc>
        <w:tc>
          <w:tcPr>
            <w:tcW w:w="2913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Pooled (meta-analytic) bank term and Holm-corrected counts, computed below</w:t>
            </w:r>
          </w:p>
        </w:tc>
        <w:tc>
          <w:tcPr>
            <w:tcW w:w="1711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Writing only</w:t>
            </w:r>
          </w:p>
        </w:tc>
      </w:tr>
      <w:tr>
        <w:tc>
          <w:tcPr>
            <w:tcW w:w="600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5</w:t>
            </w:r>
          </w:p>
        </w:tc>
        <w:tc>
          <w:tcPr>
            <w:tcW w:w="2913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“</w:t>
            </w:r>
            <w:r>
              <w:rPr>
                <w:sz w:val="18"/>
              </w:rPr>
              <w:t xml:space="preserve">The backbones disagree; what is the take-away?</w:t>
            </w:r>
            <w:r>
              <w:rPr>
                <w:sz w:val="18"/>
              </w:rPr>
              <w:t xml:space="preserve">”</w:t>
            </w:r>
          </w:p>
        </w:tc>
        <w:tc>
          <w:tcPr>
            <w:tcW w:w="1257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Medium</w:t>
            </w:r>
          </w:p>
        </w:tc>
        <w:tc>
          <w:tcPr>
            <w:tcW w:w="2913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One practical recommendation per finding; the disagreements are the result</w:t>
            </w:r>
          </w:p>
        </w:tc>
        <w:tc>
          <w:tcPr>
            <w:tcW w:w="1711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Writing only</w:t>
            </w:r>
          </w:p>
        </w:tc>
      </w:tr>
      <w:tr>
        <w:tc>
          <w:tcPr>
            <w:tcW w:w="600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6</w:t>
            </w:r>
          </w:p>
        </w:tc>
        <w:tc>
          <w:tcPr>
            <w:tcW w:w="2913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“</w:t>
            </w:r>
            <w:r>
              <w:rPr>
                <w:sz w:val="18"/>
              </w:rPr>
              <w:t xml:space="preserve">The CIFAR-100 width-64 null is unexplained</w:t>
            </w:r>
            <w:r>
              <w:rPr>
                <w:sz w:val="18"/>
              </w:rPr>
              <w:t xml:space="preserve">”</w:t>
            </w:r>
          </w:p>
        </w:tc>
        <w:tc>
          <w:tcPr>
            <w:tcW w:w="1257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Medium</w:t>
            </w:r>
          </w:p>
        </w:tc>
        <w:tc>
          <w:tcPr>
            <w:tcW w:w="2913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One cheap experiment that isolates resolution</w:t>
            </w:r>
          </w:p>
        </w:tc>
        <w:tc>
          <w:tcPr>
            <w:tcW w:w="1711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About 13 GPU-h (ResNet-18)</w:t>
            </w:r>
          </w:p>
        </w:tc>
      </w:tr>
      <w:tr>
        <w:tc>
          <w:tcPr>
            <w:tcW w:w="600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7</w:t>
            </w:r>
          </w:p>
        </w:tc>
        <w:tc>
          <w:tcPr>
            <w:tcW w:w="2913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“</w:t>
            </w:r>
            <w:r>
              <w:rPr>
                <w:sz w:val="18"/>
              </w:rPr>
              <w:t xml:space="preserve">The entropy evidence is thin (16 images, missing files, no VGG-16)</w:t>
            </w:r>
            <w:r>
              <w:rPr>
                <w:sz w:val="18"/>
              </w:rPr>
              <w:t xml:space="preserve">”</w:t>
            </w:r>
          </w:p>
        </w:tc>
        <w:tc>
          <w:tcPr>
            <w:tcW w:w="1257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Medium</w:t>
            </w:r>
          </w:p>
        </w:tc>
        <w:tc>
          <w:tcPr>
            <w:tcW w:w="2913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Upload the result files; rerun two groups with full-test-set entropy; or move the finding to the appendix</w:t>
            </w:r>
          </w:p>
        </w:tc>
        <w:tc>
          <w:tcPr>
            <w:tcW w:w="1711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0 to 25 GPU-h</w:t>
            </w:r>
          </w:p>
        </w:tc>
      </w:tr>
      <w:tr>
        <w:tc>
          <w:tcPr>
            <w:tcW w:w="600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8</w:t>
            </w:r>
          </w:p>
        </w:tc>
        <w:tc>
          <w:tcPr>
            <w:tcW w:w="2913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“</w:t>
            </w:r>
            <w:r>
              <w:rPr>
                <w:sz w:val="18"/>
              </w:rPr>
              <w:t xml:space="preserve">One random draw of the frozen router, in one condition</w:t>
            </w:r>
            <w:r>
              <w:rPr>
                <w:sz w:val="18"/>
              </w:rPr>
              <w:t xml:space="preserve">”</w:t>
            </w:r>
          </w:p>
        </w:tc>
        <w:tc>
          <w:tcPr>
            <w:tcW w:w="1257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Medium</w:t>
            </w:r>
          </w:p>
        </w:tc>
        <w:tc>
          <w:tcPr>
            <w:tcW w:w="2913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Two more frozen-router draws on MobileNetV2 and VGG-16</w:t>
            </w:r>
          </w:p>
        </w:tc>
        <w:tc>
          <w:tcPr>
            <w:tcW w:w="1711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About 26 GPU-h</w:t>
            </w:r>
          </w:p>
        </w:tc>
      </w:tr>
      <w:tr>
        <w:tc>
          <w:tcPr>
            <w:tcW w:w="600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9</w:t>
            </w:r>
          </w:p>
        </w:tc>
        <w:tc>
          <w:tcPr>
            <w:tcW w:w="2913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“</w:t>
            </w:r>
            <w:r>
              <w:rPr>
                <w:sz w:val="18"/>
              </w:rPr>
              <w:t xml:space="preserve">Your MobileNetV2 is not DY-MobileNetV2 (only depthwise layers dynamic)</w:t>
            </w:r>
            <w:r>
              <w:rPr>
                <w:sz w:val="18"/>
              </w:rPr>
              <w:t xml:space="preserve">”</w:t>
            </w:r>
          </w:p>
        </w:tc>
        <w:tc>
          <w:tcPr>
            <w:tcW w:w="1257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Medium</w:t>
            </w:r>
          </w:p>
        </w:tc>
        <w:tc>
          <w:tcPr>
            <w:tcW w:w="2913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State the pre-registered reason; optionally run the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“</w:t>
            </w:r>
            <w:r>
              <w:rPr>
                <w:sz w:val="18"/>
              </w:rPr>
              <w:t xml:space="preserve">all layers</w:t>
            </w:r>
            <w:r>
              <w:rPr>
                <w:sz w:val="18"/>
              </w:rPr>
              <w:t xml:space="preserve">”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placement in one condition</w:t>
            </w:r>
          </w:p>
        </w:tc>
        <w:tc>
          <w:tcPr>
            <w:tcW w:w="1711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Writing; optional about 20 GPU-h</w:t>
            </w:r>
          </w:p>
        </w:tc>
      </w:tr>
      <w:tr>
        <w:tc>
          <w:tcPr>
            <w:tcW w:w="600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10</w:t>
            </w:r>
          </w:p>
        </w:tc>
        <w:tc>
          <w:tcPr>
            <w:tcW w:w="2913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“</w:t>
            </w:r>
            <w:r>
              <w:rPr>
                <w:sz w:val="18"/>
              </w:rPr>
              <w:t xml:space="preserve">ResNet-18 static and bank kernels were initialised differently</w:t>
            </w:r>
            <w:r>
              <w:rPr>
                <w:sz w:val="18"/>
              </w:rPr>
              <w:t xml:space="preserve">”</w:t>
            </w:r>
          </w:p>
        </w:tc>
        <w:tc>
          <w:tcPr>
            <w:tcW w:w="1257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Low-Medium</w:t>
            </w:r>
          </w:p>
        </w:tc>
        <w:tc>
          <w:tcPr>
            <w:tcW w:w="2913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Rerun the ResNet-18 static arms with the bank’s initialisation</w:t>
            </w:r>
          </w:p>
        </w:tc>
        <w:tc>
          <w:tcPr>
            <w:tcW w:w="1711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About 22 GPU-h</w:t>
            </w:r>
          </w:p>
        </w:tc>
      </w:tr>
      <w:tr>
        <w:tc>
          <w:tcPr>
            <w:tcW w:w="600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11</w:t>
            </w:r>
          </w:p>
        </w:tc>
        <w:tc>
          <w:tcPr>
            <w:tcW w:w="2913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“</w:t>
            </w:r>
            <w:r>
              <w:rPr>
                <w:sz w:val="18"/>
              </w:rPr>
              <w:t xml:space="preserve">The pre-registration cannot be verified</w:t>
            </w:r>
            <w:r>
              <w:rPr>
                <w:sz w:val="18"/>
              </w:rPr>
              <w:t xml:space="preserve">”</w:t>
            </w:r>
          </w:p>
        </w:tc>
        <w:tc>
          <w:tcPr>
            <w:tcW w:w="1257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Medium</w:t>
            </w:r>
          </w:p>
        </w:tc>
        <w:tc>
          <w:tcPr>
            <w:tcW w:w="2913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Register the ResNet-50 and ConvNeXt-Tiny predictions on OSF now, before those results exist</w:t>
            </w:r>
          </w:p>
        </w:tc>
        <w:tc>
          <w:tcPr>
            <w:tcW w:w="1711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One hour</w:t>
            </w:r>
          </w:p>
        </w:tc>
      </w:tr>
      <w:tr>
        <w:tc>
          <w:tcPr>
            <w:tcW w:w="600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12</w:t>
            </w:r>
          </w:p>
        </w:tc>
        <w:tc>
          <w:tcPr>
            <w:tcW w:w="2913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“</w:t>
            </w:r>
            <w:r>
              <w:rPr>
                <w:sz w:val="18"/>
              </w:rPr>
              <w:t xml:space="preserve">The ±0.5 pp margin is arbitrary</w:t>
            </w:r>
            <w:r>
              <w:rPr>
                <w:sz w:val="18"/>
              </w:rPr>
              <w:t xml:space="preserve">”</w:t>
            </w:r>
          </w:p>
        </w:tc>
        <w:tc>
          <w:tcPr>
            <w:tcW w:w="1257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Low-Medium</w:t>
            </w:r>
          </w:p>
        </w:tc>
        <w:tc>
          <w:tcPr>
            <w:tcW w:w="2913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Margin-sensitivity table, computed below</w:t>
            </w:r>
          </w:p>
        </w:tc>
        <w:tc>
          <w:tcPr>
            <w:tcW w:w="1711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Writing only</w:t>
            </w:r>
          </w:p>
        </w:tc>
      </w:tr>
      <w:tr>
        <w:tc>
          <w:tcPr>
            <w:tcW w:w="600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13</w:t>
            </w:r>
          </w:p>
        </w:tc>
        <w:tc>
          <w:tcPr>
            <w:tcW w:w="2913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“</w:t>
            </w:r>
            <w:r>
              <w:rPr>
                <w:sz w:val="18"/>
              </w:rPr>
              <w:t xml:space="preserve">One recipe for all backbones; MobileNetV2 underfits</w:t>
            </w:r>
            <w:r>
              <w:rPr>
                <w:sz w:val="18"/>
              </w:rPr>
              <w:t xml:space="preserve">”</w:t>
            </w:r>
          </w:p>
        </w:tc>
        <w:tc>
          <w:tcPr>
            <w:tcW w:w="1257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Low-Medium</w:t>
            </w:r>
          </w:p>
        </w:tc>
        <w:tc>
          <w:tcPr>
            <w:tcW w:w="2913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Deliberate control; baselines are reported and reasonable</w:t>
            </w:r>
          </w:p>
        </w:tc>
        <w:tc>
          <w:tcPr>
            <w:tcW w:w="1711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Writing only</w:t>
            </w:r>
          </w:p>
        </w:tc>
      </w:tr>
      <w:tr>
        <w:tc>
          <w:tcPr>
            <w:tcW w:w="600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14</w:t>
            </w:r>
          </w:p>
        </w:tc>
        <w:tc>
          <w:tcPr>
            <w:tcW w:w="2913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“</w:t>
            </w:r>
            <w:r>
              <w:rPr>
                <w:sz w:val="18"/>
              </w:rPr>
              <w:t xml:space="preserve">Equal compute is counted, not measured</w:t>
            </w:r>
            <w:r>
              <w:rPr>
                <w:sz w:val="18"/>
              </w:rPr>
              <w:t xml:space="preserve">”</w:t>
            </w:r>
          </w:p>
        </w:tc>
        <w:tc>
          <w:tcPr>
            <w:tcW w:w="1257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Low-Medium</w:t>
            </w:r>
          </w:p>
        </w:tc>
        <w:tc>
          <w:tcPr>
            <w:tcW w:w="2913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Measure latency of the per-sample implementation</w:t>
            </w:r>
          </w:p>
        </w:tc>
        <w:tc>
          <w:tcPr>
            <w:tcW w:w="1711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About 1 hour</w:t>
            </w:r>
          </w:p>
        </w:tc>
      </w:tr>
      <w:tr>
        <w:tc>
          <w:tcPr>
            <w:tcW w:w="600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15</w:t>
            </w:r>
          </w:p>
        </w:tc>
        <w:tc>
          <w:tcPr>
            <w:tcW w:w="2913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“</w:t>
            </w:r>
            <w:r>
              <w:rPr>
                <w:sz w:val="18"/>
              </w:rPr>
              <w:t xml:space="preserve">Your annealing result contradicts DY-Conv</w:t>
            </w:r>
            <w:r>
              <w:rPr>
                <w:sz w:val="18"/>
              </w:rPr>
              <w:t xml:space="preserve">”</w:t>
            </w:r>
          </w:p>
        </w:tc>
        <w:tc>
          <w:tcPr>
            <w:tcW w:w="1257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Low</w:t>
            </w:r>
          </w:p>
        </w:tc>
        <w:tc>
          <w:tcPr>
            <w:tcW w:w="2913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DY-Conv’s own numbers: single runs, +0.5 pp, and τ = 1 below static</w:t>
            </w:r>
          </w:p>
        </w:tc>
        <w:tc>
          <w:tcPr>
            <w:tcW w:w="1711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Writing only</w:t>
            </w:r>
          </w:p>
        </w:tc>
      </w:tr>
      <w:tr>
        <w:tc>
          <w:tcPr>
            <w:tcW w:w="600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16</w:t>
            </w:r>
          </w:p>
        </w:tc>
        <w:tc>
          <w:tcPr>
            <w:tcW w:w="2913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“</w:t>
            </w:r>
            <w:r>
              <w:rPr>
                <w:sz w:val="18"/>
              </w:rPr>
              <w:t xml:space="preserve">Ablations only on CIFAR-100</w:t>
            </w:r>
            <w:r>
              <w:rPr>
                <w:sz w:val="18"/>
              </w:rPr>
              <w:t xml:space="preserve">”</w:t>
            </w:r>
          </w:p>
        </w:tc>
        <w:tc>
          <w:tcPr>
            <w:tcW w:w="1257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Low-Medium</w:t>
            </w:r>
          </w:p>
        </w:tc>
        <w:tc>
          <w:tcPr>
            <w:tcW w:w="2913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Already scoped in the paper; optional Tiny-ImageNet controls</w:t>
            </w:r>
          </w:p>
        </w:tc>
        <w:tc>
          <w:tcPr>
            <w:tcW w:w="1711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Optional about 125 GPU-h</w:t>
            </w:r>
          </w:p>
        </w:tc>
      </w:tr>
      <w:tr>
        <w:tc>
          <w:tcPr>
            <w:tcW w:w="600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17</w:t>
            </w:r>
          </w:p>
        </w:tc>
        <w:tc>
          <w:tcPr>
            <w:tcW w:w="2913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“</w:t>
            </w:r>
            <w:r>
              <w:rPr>
                <w:sz w:val="18"/>
              </w:rPr>
              <w:t xml:space="preserve">Results transcribed from logs; result files missing</w:t>
            </w:r>
            <w:r>
              <w:rPr>
                <w:sz w:val="18"/>
              </w:rPr>
              <w:t xml:space="preserve">”</w:t>
            </w:r>
          </w:p>
        </w:tc>
        <w:tc>
          <w:tcPr>
            <w:tcW w:w="1257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Medium</w:t>
            </w:r>
          </w:p>
        </w:tc>
        <w:tc>
          <w:tcPr>
            <w:tcW w:w="2913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Upload the ResNet-18 and VGG-16 result folders</w:t>
            </w:r>
          </w:p>
        </w:tc>
        <w:tc>
          <w:tcPr>
            <w:tcW w:w="1711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None (files exist on your PC)</w:t>
            </w:r>
          </w:p>
        </w:tc>
      </w:tr>
      <w:tr>
        <w:tc>
          <w:tcPr>
            <w:tcW w:w="600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18</w:t>
            </w:r>
          </w:p>
        </w:tc>
        <w:tc>
          <w:tcPr>
            <w:tcW w:w="2913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“</w:t>
            </w:r>
            <w:r>
              <w:rPr>
                <w:sz w:val="18"/>
              </w:rPr>
              <w:t xml:space="preserve">Too long, single author, report-style</w:t>
            </w:r>
            <w:r>
              <w:rPr>
                <w:sz w:val="18"/>
              </w:rPr>
              <w:t xml:space="preserve">”</w:t>
            </w:r>
          </w:p>
        </w:tc>
        <w:tc>
          <w:tcPr>
            <w:tcW w:w="1257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Medium</w:t>
            </w:r>
          </w:p>
        </w:tc>
        <w:tc>
          <w:tcPr>
            <w:tcW w:w="2913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Choose TMLR; restructure to a main text of about 12 pages plus appendix</w:t>
            </w:r>
          </w:p>
        </w:tc>
        <w:tc>
          <w:tcPr>
            <w:tcW w:w="1711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Writing only</w:t>
            </w:r>
          </w:p>
        </w:tc>
      </w:tr>
      <w:tr>
        <w:tc>
          <w:tcPr>
            <w:tcW w:w="600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19</w:t>
            </w:r>
          </w:p>
        </w:tc>
        <w:tc>
          <w:tcPr>
            <w:tcW w:w="2913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“</w:t>
            </w:r>
            <w:r>
              <w:rPr>
                <w:sz w:val="18"/>
              </w:rPr>
              <w:t xml:space="preserve">Six seeds is small</w:t>
            </w:r>
            <w:r>
              <w:rPr>
                <w:sz w:val="18"/>
              </w:rPr>
              <w:t xml:space="preserve">”</w:t>
            </w:r>
          </w:p>
        </w:tc>
        <w:tc>
          <w:tcPr>
            <w:tcW w:w="1257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Low</w:t>
            </w:r>
          </w:p>
        </w:tc>
        <w:tc>
          <w:tcPr>
            <w:tcW w:w="2913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Power analysis already in the paper</w:t>
            </w:r>
          </w:p>
        </w:tc>
        <w:tc>
          <w:tcPr>
            <w:tcW w:w="1711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Writing only</w:t>
            </w:r>
          </w:p>
        </w:tc>
      </w:tr>
      <w:tr>
        <w:tc>
          <w:tcPr>
            <w:tcW w:w="600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20</w:t>
            </w:r>
          </w:p>
        </w:tc>
        <w:tc>
          <w:tcPr>
            <w:tcW w:w="2913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“</w:t>
            </w:r>
            <w:r>
              <w:rPr>
                <w:sz w:val="18"/>
              </w:rPr>
              <w:t xml:space="preserve">CNNs only; no transformers, no detection</w:t>
            </w:r>
            <w:r>
              <w:rPr>
                <w:sz w:val="18"/>
              </w:rPr>
              <w:t xml:space="preserve">”</w:t>
            </w:r>
          </w:p>
        </w:tc>
        <w:tc>
          <w:tcPr>
            <w:tcW w:w="1257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Low-Medium</w:t>
            </w:r>
          </w:p>
        </w:tc>
        <w:tc>
          <w:tcPr>
            <w:tcW w:w="2913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Scope statement; the layer studied is a convolution</w:t>
            </w:r>
          </w:p>
        </w:tc>
        <w:tc>
          <w:tcPr>
            <w:tcW w:w="1711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Writing only</w:t>
            </w:r>
          </w:p>
        </w:tc>
      </w:tr>
    </w:tbl>
    <w:p>
      <w:pPr>
        <w:pStyle w:val="BodyText"/>
      </w:pPr>
      <w:r>
        <w:t xml:space="preserve">The objections in rows 1, 3 and 4 need no GPU time and are the most</w:t>
      </w:r>
      <w:r>
        <w:t xml:space="preserve"> </w:t>
      </w:r>
      <w:r>
        <w:t xml:space="preserve">dangerous. Fix those first.</w:t>
      </w:r>
    </w:p>
    <w:bookmarkEnd w:id="21"/>
    <w:bookmarkStart w:id="22" w:name="X3a94cf111d6a98c434c95e100b12669d4db9a97"/>
    <w:p>
      <w:pPr>
        <w:pStyle w:val="Heading1"/>
      </w:pPr>
      <w:r>
        <w:t xml:space="preserve">1. Novelty:</w:t>
      </w:r>
      <w:r>
        <w:t xml:space="preserve"> </w:t>
      </w:r>
      <w:r>
        <w:t xml:space="preserve">“</w:t>
      </w:r>
      <w:r>
        <w:t xml:space="preserve">DY-Conv and CondConv already did this</w:t>
      </w:r>
      <w:r>
        <w:t xml:space="preserve">”</w:t>
      </w:r>
    </w:p>
    <w:p>
      <w:pPr>
        <w:pStyle w:val="FirstParagraph"/>
      </w:pPr>
      <w:r>
        <w:rPr>
          <w:bCs/>
          <w:b/>
        </w:rPr>
        <w:t xml:space="preserve">Severity: High.</w:t>
      </w:r>
      <w:r>
        <w:t xml:space="preserve"> </w:t>
      </w:r>
      <w:r>
        <w:t xml:space="preserve">This is the objection most likely to end the paper,</w:t>
      </w:r>
      <w:r>
        <w:t xml:space="preserve"> </w:t>
      </w:r>
      <w:r>
        <w:t xml:space="preserve">because a reviewer who knows the DY-Conv paper will find it in minutes, and</w:t>
      </w:r>
      <w:r>
        <w:t xml:space="preserve"> </w:t>
      </w:r>
      <w:r>
        <w:t xml:space="preserve">the current draft does not mention it.</w:t>
      </w:r>
    </w:p>
    <w:p>
      <w:pPr>
        <w:pStyle w:val="BodyText"/>
      </w:pPr>
      <w:r>
        <w:rPr>
          <w:bCs/>
          <w:b/>
        </w:rPr>
        <w:t xml:space="preserve">What the reviewer will point to.</w:t>
      </w:r>
    </w:p>
    <w:p>
      <w:pPr>
        <w:numPr>
          <w:ilvl w:val="0"/>
          <w:numId w:val="1002"/>
        </w:numPr>
        <w:pStyle w:val="Compact"/>
      </w:pPr>
      <w:r>
        <w:t xml:space="preserve">DY-Conv (Chen et al., CVPR 2020), Section 5.2, Table 3, on</w:t>
      </w:r>
      <w:r>
        <w:t xml:space="preserve"> </w:t>
      </w:r>
      <w:r>
        <w:t xml:space="preserve">DY-MobileNetV2 ×0.5 on ImageNet: full attention 69.4 % top-1;</w:t>
      </w:r>
      <w:r>
        <w:t xml:space="preserve"> </w:t>
      </w:r>
      <w:r>
        <w:rPr>
          <w:iCs/>
          <w:i/>
        </w:rPr>
        <w:t xml:space="preserve">average</w:t>
      </w:r>
      <w:r>
        <w:rPr>
          <w:iCs/>
          <w:i/>
        </w:rPr>
        <w:t xml:space="preserve"> </w:t>
      </w:r>
      <w:r>
        <w:rPr>
          <w:iCs/>
          <w:i/>
        </w:rPr>
        <w:t xml:space="preserve">kernels</w:t>
      </w:r>
      <w:r>
        <w:t xml:space="preserve"> </w:t>
      </w:r>
      <w:r>
        <w:t xml:space="preserve">(no attention) 36.0 %; attention taken from another image</w:t>
      </w:r>
      <w:r>
        <w:t xml:space="preserve"> </w:t>
      </w:r>
      <w:r>
        <w:t xml:space="preserve">27.3 %; attention shuffled per image 14.8 %. The authors conclude that</w:t>
      </w:r>
      <w:r>
        <w:t xml:space="preserve"> </w:t>
      </w:r>
      <w:r>
        <w:t xml:space="preserve">“</w:t>
      </w:r>
      <w:r>
        <w:t xml:space="preserve">it</w:t>
      </w:r>
      <w:r>
        <w:t xml:space="preserve"> </w:t>
      </w:r>
      <w:r>
        <w:t xml:space="preserve">is crucial for each image to use its own attention</w:t>
      </w:r>
      <w:r>
        <w:t xml:space="preserve">”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CondConv (Yang et al., NeurIPS 2019), Section 3: if the routing function</w:t>
      </w:r>
      <w:r>
        <w:t xml:space="preserve"> </w:t>
      </w:r>
      <w:r>
        <w:t xml:space="preserve">is constant for all examples, the layer has the same capacity as a static</w:t>
      </w:r>
      <w:r>
        <w:t xml:space="preserve"> </w:t>
      </w:r>
      <w:r>
        <w:t xml:space="preserve">convolution. That is our Proposition 1.</w:t>
      </w:r>
    </w:p>
    <w:p>
      <w:pPr>
        <w:pStyle w:val="FirstParagraph"/>
      </w:pPr>
      <w:r>
        <w:rPr>
          <w:bCs/>
          <w:b/>
        </w:rPr>
        <w:t xml:space="preserve">The answer.</w:t>
      </w:r>
      <w:r>
        <w:t xml:space="preserve"> </w:t>
      </w:r>
      <w:r>
        <w:t xml:space="preserve">These are different experiments from ours, and the</w:t>
      </w:r>
      <w:r>
        <w:t xml:space="preserve"> </w:t>
      </w:r>
      <w:r>
        <w:t xml:space="preserve">difference is the paper’s contribution.</w:t>
      </w:r>
    </w:p>
    <w:p>
      <w:pPr>
        <w:numPr>
          <w:ilvl w:val="0"/>
          <w:numId w:val="1003"/>
        </w:numPr>
        <w:pStyle w:val="Compact"/>
      </w:pPr>
      <w:r>
        <w:t xml:space="preserve">DY-Conv’s variants change the aggregation of a network that was trained</w:t>
      </w:r>
      <w:r>
        <w:t xml:space="preserve"> </w:t>
      </w:r>
      <w:r>
        <w:rPr>
          <w:iCs/>
          <w:i/>
        </w:rPr>
        <w:t xml:space="preserve">with</w:t>
      </w:r>
      <w:r>
        <w:t xml:space="preserve"> </w:t>
      </w:r>
      <w:r>
        <w:t xml:space="preserve">attention. The paper does not say explicitly that the network was</w:t>
      </w:r>
      <w:r>
        <w:t xml:space="preserve"> </w:t>
      </w:r>
      <w:r>
        <w:t xml:space="preserve">not retrained, but an average-kernel network at 36.0 % is far below the</w:t>
      </w:r>
      <w:r>
        <w:t xml:space="preserve"> </w:t>
      </w:r>
      <w:r>
        <w:t xml:space="preserve">static network (65.4 % in the same paper), which is hard to explain unless</w:t>
      </w:r>
      <w:r>
        <w:t xml:space="preserve"> </w:t>
      </w:r>
      <w:r>
        <w:t xml:space="preserve">the network was not retrained with a constant mixture: a constant mixture</w:t>
      </w:r>
      <w:r>
        <w:t xml:space="preserve"> </w:t>
      </w:r>
      <w:r>
        <w:t xml:space="preserve">trained from scratch is a single kernel and can reach the static</w:t>
      </w:r>
      <w:r>
        <w:t xml:space="preserve"> </w:t>
      </w:r>
      <w:r>
        <w:t xml:space="preserve">network’s accuracy (our Proposition 1, and our</w:t>
      </w:r>
      <w:r>
        <w:t xml:space="preserve"> </w:t>
      </w:r>
      <w:r>
        <w:rPr>
          <w:rStyle w:val="VerbatimChar"/>
        </w:rPr>
        <w:t xml:space="preserve">uniform</w:t>
      </w:r>
      <w:r>
        <w:t xml:space="preserve"> </w:t>
      </w:r>
      <w:r>
        <w:t xml:space="preserve">arm, which is</w:t>
      </w:r>
      <w:r>
        <w:t xml:space="preserve"> </w:t>
      </w:r>
      <w:r>
        <w:t xml:space="preserve">equivalent to</w:t>
      </w:r>
      <w:r>
        <w:t xml:space="preserve"> </w:t>
      </w:r>
      <w:r>
        <w:rPr>
          <w:rStyle w:val="VerbatimChar"/>
        </w:rPr>
        <w:t xml:space="preserve">static</w:t>
      </w:r>
      <w:r>
        <w:t xml:space="preserve"> </w:t>
      </w:r>
      <w:r>
        <w:t xml:space="preserve">in 9 of 15 pairs and never significantly</w:t>
      </w:r>
      <w:r>
        <w:t xml:space="preserve"> </w:t>
      </w:r>
      <w:r>
        <w:t xml:space="preserve">different). Their ablation shows that a network trained with attention</w:t>
      </w:r>
      <w:r>
        <w:t xml:space="preserve"> </w:t>
      </w:r>
      <w:r>
        <w:t xml:space="preserve">depends on its attention. It does not show that attention is why the</w:t>
      </w:r>
      <w:r>
        <w:t xml:space="preserve"> </w:t>
      </w:r>
      <w:r>
        <w:t xml:space="preserve">dynamic network beats a plain one, because the plain network and the</w:t>
      </w:r>
      <w:r>
        <w:t xml:space="preserve"> </w:t>
      </w:r>
      <w:r>
        <w:t xml:space="preserve">bank are never compared on equal terms.</w:t>
      </w:r>
    </w:p>
    <w:p>
      <w:pPr>
        <w:numPr>
          <w:ilvl w:val="0"/>
          <w:numId w:val="1003"/>
        </w:numPr>
        <w:pStyle w:val="Compact"/>
      </w:pPr>
      <w:r>
        <w:t xml:space="preserve">Our</w:t>
      </w:r>
      <w:r>
        <w:t xml:space="preserve"> </w:t>
      </w:r>
      <w:r>
        <w:rPr>
          <w:rStyle w:val="VerbatimChar"/>
        </w:rPr>
        <w:t xml:space="preserve">uniform</w:t>
      </w:r>
      <w:r>
        <w:t xml:space="preserve">,</w:t>
      </w:r>
      <w:r>
        <w:t xml:space="preserve"> </w:t>
      </w:r>
      <w:r>
        <w:rPr>
          <w:rStyle w:val="VerbatimChar"/>
        </w:rPr>
        <w:t xml:space="preserve">shuffled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frozen_random</w:t>
      </w:r>
      <w:r>
        <w:t xml:space="preserve"> </w:t>
      </w:r>
      <w:r>
        <w:t xml:space="preserve">arms are each trained from</w:t>
      </w:r>
      <w:r>
        <w:t xml:space="preserve"> </w:t>
      </w:r>
      <w:r>
        <w:t xml:space="preserve">scratch, six seeds each, and compared paired by seed with a plain network</w:t>
      </w:r>
      <w:r>
        <w:t xml:space="preserve"> </w:t>
      </w:r>
      <w:r>
        <w:t xml:space="preserve">and with the routed network. That is the controlled comparison the</w:t>
      </w:r>
      <w:r>
        <w:t xml:space="preserve"> </w:t>
      </w:r>
      <w:r>
        <w:t xml:space="preserve">earlier ablations do not make.</w:t>
      </w:r>
    </w:p>
    <w:p>
      <w:pPr>
        <w:numPr>
          <w:ilvl w:val="0"/>
          <w:numId w:val="1003"/>
        </w:numPr>
        <w:pStyle w:val="Compact"/>
      </w:pPr>
      <w:r>
        <w:t xml:space="preserve">CondConv states the constant-routing argument as theory and does not test</w:t>
      </w:r>
      <w:r>
        <w:t xml:space="preserve"> </w:t>
      </w:r>
      <w:r>
        <w:t xml:space="preserve">it. We test it: a trained constant mixture behaves like the plain network</w:t>
      </w:r>
      <w:r>
        <w:t xml:space="preserve"> </w:t>
      </w:r>
      <w:r>
        <w:t xml:space="preserve">(pooled bank term −0.007 pp, Section 4 of this document).</w:t>
      </w:r>
    </w:p>
    <w:p>
      <w:pPr>
        <w:pStyle w:val="FirstParagraph"/>
      </w:pPr>
      <w:r>
        <w:rPr>
          <w:bCs/>
          <w:b/>
        </w:rPr>
        <w:t xml:space="preserve">Change in the paper (required).</w:t>
      </w:r>
    </w:p>
    <w:p>
      <w:pPr>
        <w:numPr>
          <w:ilvl w:val="0"/>
          <w:numId w:val="1004"/>
        </w:numPr>
        <w:pStyle w:val="Compact"/>
      </w:pPr>
      <w:r>
        <w:t xml:space="preserve">In Related work, add a paragraph on DY-Conv Table 3 and CondConv</w:t>
      </w:r>
      <w:r>
        <w:t xml:space="preserve"> </w:t>
      </w:r>
      <w:r>
        <w:t xml:space="preserve">Section 3 with the distinction above.</w:t>
      </w:r>
    </w:p>
    <w:p>
      <w:pPr>
        <w:numPr>
          <w:ilvl w:val="0"/>
          <w:numId w:val="1004"/>
        </w:numPr>
        <w:pStyle w:val="Compact"/>
      </w:pPr>
      <w:r>
        <w:t xml:space="preserve">Under Proposition 1, write</w:t>
      </w:r>
      <w:r>
        <w:t xml:space="preserve"> </w:t>
      </w:r>
      <w:r>
        <w:t xml:space="preserve">“</w:t>
      </w:r>
      <w:r>
        <w:t xml:space="preserve">as noted by Yang et al. (2019)</w:t>
      </w:r>
      <w:r>
        <w:t xml:space="preserve">”</w:t>
      </w:r>
      <w:r>
        <w:t xml:space="preserve">. Do not</w:t>
      </w:r>
      <w:r>
        <w:t xml:space="preserve"> </w:t>
      </w:r>
      <w:r>
        <w:t xml:space="preserve">present it as new.</w:t>
      </w:r>
    </w:p>
    <w:p>
      <w:pPr>
        <w:numPr>
          <w:ilvl w:val="0"/>
          <w:numId w:val="1004"/>
        </w:numPr>
        <w:pStyle w:val="Compact"/>
      </w:pPr>
      <w:r>
        <w:t xml:space="preserve">Cite the survey of dynamic networks (Han et al.,</w:t>
      </w:r>
      <w:r>
        <w:t xml:space="preserve"> </w:t>
      </w:r>
      <w:r>
        <w:rPr>
          <w:iCs/>
          <w:i/>
        </w:rPr>
        <w:t xml:space="preserve">Dynamic Neural</w:t>
      </w:r>
      <w:r>
        <w:rPr>
          <w:iCs/>
          <w:i/>
        </w:rPr>
        <w:t xml:space="preserve"> </w:t>
      </w:r>
      <w:r>
        <w:rPr>
          <w:iCs/>
          <w:i/>
        </w:rPr>
        <w:t xml:space="preserve">Networks: A Survey</w:t>
      </w:r>
      <w:r>
        <w:t xml:space="preserve">, IEEE TPAMI 2021), which reviewers expect.</w:t>
      </w:r>
    </w:p>
    <w:p>
      <w:pPr>
        <w:pStyle w:val="FirstParagraph"/>
      </w:pPr>
      <w:r>
        <w:rPr>
          <w:bCs/>
          <w:b/>
        </w:rPr>
        <w:t xml:space="preserve">Rebuttal text.</w:t>
      </w:r>
    </w:p>
    <w:p>
      <w:pPr>
        <w:pStyle w:val="BlockText"/>
      </w:pPr>
      <w:r>
        <w:t xml:space="preserve">DY-Conv’s Table 3 replaces the attention of a network trained with</w:t>
      </w:r>
      <w:r>
        <w:t xml:space="preserve"> </w:t>
      </w:r>
      <w:r>
        <w:t xml:space="preserve">attention; an average-kernel network at 36.0 % against a static network</w:t>
      </w:r>
      <w:r>
        <w:t xml:space="preserve"> </w:t>
      </w:r>
      <w:r>
        <w:t xml:space="preserve">at 65.4 % shows the trained network depends on its attention, not that</w:t>
      </w:r>
      <w:r>
        <w:t xml:space="preserve"> </w:t>
      </w:r>
      <w:r>
        <w:t xml:space="preserve">attention is what makes it better than a plain network. Our controls are</w:t>
      </w:r>
      <w:r>
        <w:t xml:space="preserve"> </w:t>
      </w:r>
      <w:r>
        <w:t xml:space="preserve">trained from scratch with six paired seeds, and the constant mixture</w:t>
      </w:r>
      <w:r>
        <w:t xml:space="preserve"> </w:t>
      </w:r>
      <w:r>
        <w:t xml:space="preserve">trained this way is indistinguishable from the plain network (pooled</w:t>
      </w:r>
      <w:r>
        <w:t xml:space="preserve"> </w:t>
      </w:r>
      <w:r>
        <w:t xml:space="preserve">difference −0.007 pp, 95 % CI [−0.10, +0.08] over 15 backbone and</w:t>
      </w:r>
      <w:r>
        <w:t xml:space="preserve"> </w:t>
      </w:r>
      <w:r>
        <w:t xml:space="preserve">condition pairs). We now discuss both DY-Conv’s ablation and CondConv’s</w:t>
      </w:r>
      <w:r>
        <w:t xml:space="preserve"> </w:t>
      </w:r>
      <w:r>
        <w:t xml:space="preserve">Section 3 explicitly.</w:t>
      </w:r>
    </w:p>
    <w:bookmarkEnd w:id="22"/>
    <w:bookmarkStart w:id="23" w:name="scale-no-imagenet"/>
    <w:p>
      <w:pPr>
        <w:pStyle w:val="Heading1"/>
      </w:pPr>
      <w:r>
        <w:t xml:space="preserve">2. Scale:</w:t>
      </w:r>
      <w:r>
        <w:t xml:space="preserve"> </w:t>
      </w:r>
      <w:r>
        <w:t xml:space="preserve">“</w:t>
      </w:r>
      <w:r>
        <w:t xml:space="preserve">No ImageNet</w:t>
      </w:r>
      <w:r>
        <w:t xml:space="preserve">”</w:t>
      </w:r>
    </w:p>
    <w:p>
      <w:pPr>
        <w:pStyle w:val="FirstParagraph"/>
      </w:pPr>
      <w:r>
        <w:rPr>
          <w:bCs/>
          <w:b/>
        </w:rPr>
        <w:t xml:space="preserve">Severity: High</w:t>
      </w:r>
      <w:r>
        <w:t xml:space="preserve"> </w:t>
      </w:r>
      <w:r>
        <w:t xml:space="preserve">at CVPR, ICCV, NeurIPS or ICLR main tracks;</w:t>
      </w:r>
      <w:r>
        <w:t xml:space="preserve"> </w:t>
      </w:r>
      <w:r>
        <w:rPr>
          <w:bCs/>
          <w:b/>
        </w:rPr>
        <w:t xml:space="preserve">Medium</w:t>
      </w:r>
      <w:r>
        <w:t xml:space="preserve"> </w:t>
      </w:r>
      <w:r>
        <w:t xml:space="preserve">at TMLR.</w:t>
      </w:r>
    </w:p>
    <w:p>
      <w:pPr>
        <w:pStyle w:val="BodyText"/>
      </w:pPr>
      <w:r>
        <w:rPr>
          <w:bCs/>
          <w:b/>
        </w:rPr>
        <w:t xml:space="preserve">The honest answer.</w:t>
      </w:r>
      <w:r>
        <w:t xml:space="preserve"> </w:t>
      </w:r>
      <w:r>
        <w:t xml:space="preserve">The study is a controlled comparison with six</w:t>
      </w:r>
      <w:r>
        <w:t xml:space="preserve"> </w:t>
      </w:r>
      <w:r>
        <w:t xml:space="preserve">paired seeds per arm and equivalence tests, which needs many runs per</w:t>
      </w:r>
      <w:r>
        <w:t xml:space="preserve"> </w:t>
      </w:r>
      <w:r>
        <w:t xml:space="preserve">condition (396 so far, 564 GPU-hours on one RTX 4070 Ti). One ResNet-18</w:t>
      </w:r>
      <w:r>
        <w:t xml:space="preserve"> </w:t>
      </w:r>
      <w:r>
        <w:rPr>
          <w:rStyle w:val="VerbatimChar"/>
        </w:rPr>
        <w:t xml:space="preserve">gap</w:t>
      </w:r>
      <w:r>
        <w:t xml:space="preserve"> </w:t>
      </w:r>
      <w:r>
        <w:t xml:space="preserve">run on Tiny-ImageNet at width 64 already takes about 11.5 hours; an</w:t>
      </w:r>
      <w:r>
        <w:t xml:space="preserve"> </w:t>
      </w:r>
      <w:r>
        <w:t xml:space="preserve">ImageNet run at 224 pixels is out of reach at six seeds per arm. The</w:t>
      </w:r>
      <w:r>
        <w:t xml:space="preserve"> </w:t>
      </w:r>
      <w:r>
        <w:t xml:space="preserve">claims are stated for the scale tested, and the paper says so (Threats:</w:t>
      </w:r>
      <w:r>
        <w:t xml:space="preserve"> </w:t>
      </w:r>
      <w:r>
        <w:t xml:space="preserve">Scale).</w:t>
      </w:r>
    </w:p>
    <w:p>
      <w:pPr>
        <w:pStyle w:val="BodyText"/>
      </w:pPr>
      <w:r>
        <w:rPr>
          <w:bCs/>
          <w:b/>
        </w:rPr>
        <w:t xml:space="preserve">What makes the answer stronger.</w:t>
      </w:r>
    </w:p>
    <w:p>
      <w:pPr>
        <w:numPr>
          <w:ilvl w:val="0"/>
          <w:numId w:val="1005"/>
        </w:numPr>
        <w:pStyle w:val="Compact"/>
      </w:pPr>
      <w:r>
        <w:t xml:space="preserve">Show the trade-off: six seeds and equivalence tests at small scale</w:t>
      </w:r>
      <w:r>
        <w:t xml:space="preserve"> </w:t>
      </w:r>
      <w:r>
        <w:t xml:space="preserve">answer a question that one seed at ImageNet scale cannot, because the</w:t>
      </w:r>
      <w:r>
        <w:t xml:space="preserve"> </w:t>
      </w:r>
      <w:r>
        <w:t xml:space="preserve">effects in question are 0.1 to 2 pp and seed noise is 0.2 to 1.0 pp.</w:t>
      </w:r>
    </w:p>
    <w:p>
      <w:pPr>
        <w:numPr>
          <w:ilvl w:val="0"/>
          <w:numId w:val="1005"/>
        </w:numPr>
        <w:pStyle w:val="Compact"/>
      </w:pPr>
      <w:r>
        <w:t xml:space="preserve">Optional experiment: ImageNet-100 (100 classes, about 130,000 training</w:t>
      </w:r>
      <w:r>
        <w:t xml:space="preserve"> </w:t>
      </w:r>
      <w:r>
        <w:t xml:space="preserve">images) at 64 pixels, ResNet-18 width 64,</w:t>
      </w:r>
      <w:r>
        <w:t xml:space="preserve"> </w:t>
      </w:r>
      <w:r>
        <w:rPr>
          <w:rStyle w:val="VerbatimChar"/>
        </w:rPr>
        <w:t xml:space="preserve">static</w:t>
      </w:r>
      <w:r>
        <w:t xml:space="preserve">,</w:t>
      </w:r>
      <w:r>
        <w:t xml:space="preserve"> </w:t>
      </w:r>
      <w:r>
        <w:rPr>
          <w:rStyle w:val="VerbatimChar"/>
        </w:rPr>
        <w:t xml:space="preserve">uniform</w:t>
      </w:r>
      <w:r>
        <w:t xml:space="preserve">,</w:t>
      </w:r>
      <w:r>
        <w:t xml:space="preserve"> </w:t>
      </w:r>
      <w:r>
        <w:rPr>
          <w:rStyle w:val="VerbatimChar"/>
        </w:rPr>
        <w:t xml:space="preserve">gap</w:t>
      </w:r>
      <w:r>
        <w:t xml:space="preserve">,</w:t>
      </w:r>
      <w:r>
        <w:t xml:space="preserve"> </w:t>
      </w:r>
      <w:r>
        <w:t xml:space="preserve">six seeds. Scaled from the Tiny-ImageNet width-64 minutes, about 120 GPU</w:t>
      </w:r>
      <w:r>
        <w:t xml:space="preserve"> </w:t>
      </w:r>
      <w:r>
        <w:t xml:space="preserve">hours (about 5 days). It adds a third dataset with more images per class</w:t>
      </w:r>
      <w:r>
        <w:t xml:space="preserve"> </w:t>
      </w:r>
      <w:r>
        <w:t xml:space="preserve">and tests the bank term once more; it does not reach full ImageNet.</w:t>
      </w:r>
    </w:p>
    <w:p>
      <w:pPr>
        <w:pStyle w:val="FirstParagraph"/>
      </w:pPr>
      <w:r>
        <w:rPr>
          <w:bCs/>
          <w:b/>
        </w:rPr>
        <w:t xml:space="preserve">Rebuttal text.</w:t>
      </w:r>
    </w:p>
    <w:p>
      <w:pPr>
        <w:pStyle w:val="BlockText"/>
      </w:pPr>
      <w:r>
        <w:t xml:space="preserve">The effects in question are 0.1 to 2 pp, the seed-to-seed standard</w:t>
      </w:r>
      <w:r>
        <w:t xml:space="preserve"> </w:t>
      </w:r>
      <w:r>
        <w:t xml:space="preserve">deviation is 0.2 to 1.0 pp, and the central claims are null claims, so</w:t>
      </w:r>
      <w:r>
        <w:t xml:space="preserve"> </w:t>
      </w:r>
      <w:r>
        <w:t xml:space="preserve">each needs paired seeds and an equivalence test. This is what limits the</w:t>
      </w:r>
      <w:r>
        <w:t xml:space="preserve"> </w:t>
      </w:r>
      <w:r>
        <w:t xml:space="preserve">study to CIFAR-100 and Tiny-ImageNet on our hardware; we state the</w:t>
      </w:r>
      <w:r>
        <w:t xml:space="preserve"> </w:t>
      </w:r>
      <w:r>
        <w:t xml:space="preserve">claims at that scale.</w:t>
      </w:r>
    </w:p>
    <w:bookmarkEnd w:id="23"/>
    <w:bookmarkStart w:id="24" w:name="your-dynamic-convolution-is-weak"/>
    <w:p>
      <w:pPr>
        <w:pStyle w:val="Heading1"/>
      </w:pPr>
      <w:r>
        <w:t xml:space="preserve">3.</w:t>
      </w:r>
      <w:r>
        <w:t xml:space="preserve"> </w:t>
      </w:r>
      <w:r>
        <w:t xml:space="preserve">“</w:t>
      </w:r>
      <w:r>
        <w:t xml:space="preserve">Your dynamic convolution is weak</w:t>
      </w:r>
      <w:r>
        <w:t xml:space="preserve">”</w:t>
      </w:r>
    </w:p>
    <w:p>
      <w:pPr>
        <w:pStyle w:val="FirstParagraph"/>
      </w:pPr>
      <w:r>
        <w:rPr>
          <w:bCs/>
          <w:b/>
        </w:rPr>
        <w:t xml:space="preserve">Severity: High.</w:t>
      </w:r>
      <w:r>
        <w:t xml:space="preserve"> </w:t>
      </w:r>
      <w:r>
        <w:t xml:space="preserve">A reviewer who sees +0.08 pp for ResNet-18 on</w:t>
      </w:r>
      <w:r>
        <w:t xml:space="preserve"> </w:t>
      </w:r>
      <w:r>
        <w:t xml:space="preserve">CIFAR-100 at width 64, against +2.3 pp for DY-ResNet-18 on ImageNet in the</w:t>
      </w:r>
      <w:r>
        <w:t xml:space="preserve"> </w:t>
      </w:r>
      <w:r>
        <w:t xml:space="preserve">DY-Conv paper, may decide the implementation is broken.</w:t>
      </w:r>
    </w:p>
    <w:p>
      <w:pPr>
        <w:pStyle w:val="BodyText"/>
      </w:pPr>
      <w:r>
        <w:rPr>
          <w:bCs/>
          <w:b/>
        </w:rPr>
        <w:t xml:space="preserve">The answer has three parts.</w:t>
      </w:r>
    </w:p>
    <w:p>
      <w:pPr>
        <w:numPr>
          <w:ilvl w:val="0"/>
          <w:numId w:val="1006"/>
        </w:numPr>
        <w:pStyle w:val="Compact"/>
      </w:pPr>
      <w:r>
        <w:rPr>
          <w:iCs/>
          <w:i/>
        </w:rPr>
        <w:t xml:space="preserve">Your plain baselines are much stronger than the ones in the</w:t>
      </w:r>
      <w:r>
        <w:rPr>
          <w:iCs/>
          <w:i/>
        </w:rPr>
        <w:t xml:space="preserve"> </w:t>
      </w:r>
      <w:r>
        <w:rPr>
          <w:iCs/>
          <w:i/>
        </w:rPr>
        <w:t xml:space="preserve">literature.</w:t>
      </w:r>
      <w:r>
        <w:t xml:space="preserve"> </w:t>
      </w:r>
      <w:r>
        <w:t xml:space="preserve">Plain ResNet-18 on CIFAR-100 at width 64 reaches 78.34 %</w:t>
      </w:r>
      <w:r>
        <w:t xml:space="preserve"> </w:t>
      </w:r>
      <w:r>
        <w:t xml:space="preserve">here. SD-Conv (He et al., WACV 2023, Table 1) reports 67.6 % for the</w:t>
      </w:r>
      <w:r>
        <w:t xml:space="preserve"> </w:t>
      </w:r>
      <w:r>
        <w:t xml:space="preserve">plain ResNet-18 on CIFAR-100 and 72.4 % for DY-Conv, a gain of 4.8 pp</w:t>
      </w:r>
      <w:r>
        <w:t xml:space="preserve"> </w:t>
      </w:r>
      <w:r>
        <w:t xml:space="preserve">over a baseline 10.7 pp below ours. A larger gain over a weaker</w:t>
      </w:r>
      <w:r>
        <w:t xml:space="preserve"> </w:t>
      </w:r>
      <w:r>
        <w:t xml:space="preserve">baseline is expected and is not evidence that our layer is weaker.</w:t>
      </w:r>
    </w:p>
    <w:p>
      <w:pPr>
        <w:numPr>
          <w:ilvl w:val="0"/>
          <w:numId w:val="1006"/>
        </w:numPr>
        <w:pStyle w:val="Compact"/>
      </w:pPr>
      <w:r>
        <w:rPr>
          <w:iCs/>
          <w:i/>
        </w:rPr>
        <w:t xml:space="preserve">The layer matches DY-Conv where it matters.</w:t>
      </w:r>
      <w:r>
        <w:t xml:space="preserve"> </w:t>
      </w:r>
      <w:r>
        <w:t xml:space="preserve">GAP descriptor,</w:t>
      </w:r>
      <w:r>
        <w:t xml:space="preserve"> </w:t>
      </w:r>
      <w:r>
        <w:t xml:space="preserve">two-layer perceptron with hidden width C/4, softmax over K = 4 kernels,</w:t>
      </w:r>
      <w:r>
        <w:t xml:space="preserve"> </w:t>
      </w:r>
      <w:r>
        <w:t xml:space="preserve">optional 30-to-1 temperature annealing as in DY-Conv. Where it has an</w:t>
      </w:r>
      <w:r>
        <w:t xml:space="preserve"> </w:t>
      </w:r>
      <w:r>
        <w:t xml:space="preserve">effect, it beats the plain network by up to +2.3 pp (ResNet-18,</w:t>
      </w:r>
      <w:r>
        <w:t xml:space="preserve"> </w:t>
      </w:r>
      <w:r>
        <w:t xml:space="preserve">Tiny-ImageNet width 64). A broken layer would not.</w:t>
      </w:r>
    </w:p>
    <w:p>
      <w:pPr>
        <w:numPr>
          <w:ilvl w:val="0"/>
          <w:numId w:val="1006"/>
        </w:numPr>
        <w:pStyle w:val="Compact"/>
      </w:pPr>
      <w:r>
        <w:rPr>
          <w:iCs/>
          <w:i/>
        </w:rPr>
        <w:t xml:space="preserve">The tests are in the repository.</w:t>
      </w:r>
      <w:r>
        <w:t xml:space="preserve"> </w:t>
      </w:r>
      <w:r>
        <w:t xml:space="preserve">The two execution paths agree to</w:t>
      </w:r>
      <w:r>
        <w:t xml:space="preserve"> </w:t>
      </w:r>
      <w:r>
        <w:t xml:space="preserve">10⁻¹⁰, and the constant-mixture path equals the mean-kernel convolution.</w:t>
      </w:r>
    </w:p>
    <w:p>
      <w:pPr>
        <w:pStyle w:val="FirstParagraph"/>
      </w:pPr>
      <w:r>
        <w:rPr>
          <w:bCs/>
          <w:b/>
        </w:rPr>
        <w:t xml:space="preserve">Change in the paper (recommended).</w:t>
      </w:r>
      <w:r>
        <w:t xml:space="preserve"> </w:t>
      </w:r>
      <w:r>
        <w:t xml:space="preserve">Add one table: our plain baselines</w:t>
      </w:r>
      <w:r>
        <w:t xml:space="preserve"> </w:t>
      </w:r>
      <w:r>
        <w:t xml:space="preserve">next to published plain baselines for the same backbone and dataset (with</w:t>
      </w:r>
      <w:r>
        <w:t xml:space="preserve"> </w:t>
      </w:r>
      <w:r>
        <w:t xml:space="preserve">the source), and our dynamic gain next to theirs. Only use numbers you can</w:t>
      </w:r>
      <w:r>
        <w:t xml:space="preserve"> </w:t>
      </w:r>
      <w:r>
        <w:t xml:space="preserve">cite.</w:t>
      </w:r>
    </w:p>
    <w:bookmarkEnd w:id="24"/>
    <w:bookmarkStart w:id="25" w:name="multiple-comparisons"/>
    <w:p>
      <w:pPr>
        <w:pStyle w:val="Heading1"/>
      </w:pPr>
      <w:r>
        <w:t xml:space="preserve">4. Multiple comparisons</w:t>
      </w:r>
    </w:p>
    <w:p>
      <w:pPr>
        <w:pStyle w:val="FirstParagraph"/>
      </w:pPr>
      <w:r>
        <w:rPr>
          <w:bCs/>
          <w:b/>
        </w:rPr>
        <w:t xml:space="preserve">Severity: Medium-High.</w:t>
      </w:r>
      <w:r>
        <w:t xml:space="preserve"> </w:t>
      </w:r>
      <w:r>
        <w:t xml:space="preserve">The paper runs well over a hundred tests and</w:t>
      </w:r>
      <w:r>
        <w:t xml:space="preserve"> </w:t>
      </w:r>
      <w:r>
        <w:t xml:space="preserve">corrects none. A statistician reviewer will ask what survives correction.</w:t>
      </w:r>
    </w:p>
    <w:p>
      <w:pPr>
        <w:pStyle w:val="BodyText"/>
      </w:pPr>
      <w:r>
        <w:rPr>
          <w:bCs/>
          <w:b/>
        </w:rPr>
        <w:t xml:space="preserve">What survives (computed for this document from the same per-seed</w:t>
      </w:r>
      <w:r>
        <w:rPr>
          <w:bCs/>
          <w:b/>
        </w:rPr>
        <w:t xml:space="preserve"> </w:t>
      </w:r>
      <w:r>
        <w:rPr>
          <w:bCs/>
          <w:b/>
        </w:rPr>
        <w:t xml:space="preserve">values).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A0A0A0"/>
          <w:bottom w:val="single" w:sz="4" w:color="A0A0A0"/>
          <w:insideH w:val="single" w:sz="4" w:color="A0A0A0"/>
          <w:insideV w:val="single" w:sz="4" w:color="A0A0A0"/>
          <w:left w:val="single" w:sz="4" w:color="A0A0A0"/>
          <w:right w:val="single" w:sz="4" w:color="A0A0A0"/>
        </w:tblBorders>
        <w:tblW w:w="9399" w:type="dxa"/>
        <w:tblLayout w:type="fixed"/>
      </w:tblPr>
      <w:tblGrid>
        <w:gridCol w:w="3472"/>
        <w:gridCol w:w="2374"/>
        <w:gridCol w:w="3553"/>
      </w:tblGrid>
      <w:tr>
        <w:trPr>
          <w:tblHeader w:val="true"/>
        </w:trPr>
        <w:tc>
          <w:tcPr>
            <w:tcW w:w="3472" w:type="dxa"/>
          </w:tcPr>
          <w:p>
            <w:pPr>
              <w:pStyle w:val="Compact"/>
              <w:spacing w:after="20"/>
              <w:jc w:val="left"/>
            </w:pPr>
            <w:r>
              <w:rPr>
                <w:b/>
                <w:sz w:val="18"/>
              </w:rPr>
              <w:t xml:space="preserve">Family (15 backbone and condition pairs)</w:t>
            </w:r>
          </w:p>
        </w:tc>
        <w:tc>
          <w:tcPr>
            <w:tcW w:w="2374" w:type="dxa"/>
          </w:tcPr>
          <w:p>
            <w:pPr>
              <w:pStyle w:val="Compact"/>
              <w:spacing w:after="20"/>
              <w:jc w:val="left"/>
            </w:pPr>
            <w:r>
              <w:rPr>
                <w:b/>
                <w:sz w:val="18"/>
              </w:rPr>
              <w:t xml:space="preserve">Significant, uncorrected</w:t>
            </w:r>
          </w:p>
        </w:tc>
        <w:tc>
          <w:tcPr>
            <w:tcW w:w="3553" w:type="dxa"/>
          </w:tcPr>
          <w:p>
            <w:pPr>
              <w:pStyle w:val="Compact"/>
              <w:spacing w:after="20"/>
              <w:jc w:val="left"/>
            </w:pPr>
            <w:r>
              <w:rPr>
                <w:b/>
                <w:sz w:val="18"/>
              </w:rPr>
              <w:t xml:space="preserve">After Holm correction</w:t>
            </w:r>
          </w:p>
        </w:tc>
      </w:tr>
      <w:tr>
        <w:tc>
          <w:tcPr>
            <w:tcW w:w="3472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Routing term &gt; 0 (gap − uniform)</w:t>
            </w:r>
          </w:p>
        </w:tc>
        <w:tc>
          <w:tcPr>
            <w:tcW w:w="2374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13</w:t>
            </w:r>
          </w:p>
        </w:tc>
        <w:tc>
          <w:tcPr>
            <w:tcW w:w="3553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12 (VGG-16 CIFAR-100 width 16 drops)</w:t>
            </w:r>
          </w:p>
        </w:tc>
      </w:tr>
      <w:tr>
        <w:tc>
          <w:tcPr>
            <w:tcW w:w="3472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Dynamic beats plain (gap − static)</w:t>
            </w:r>
          </w:p>
        </w:tc>
        <w:tc>
          <w:tcPr>
            <w:tcW w:w="2374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13</w:t>
            </w:r>
          </w:p>
        </w:tc>
        <w:tc>
          <w:tcPr>
            <w:tcW w:w="3553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12 (MobileNetV2 CIFAR-100 width 16 drops)</w:t>
            </w:r>
          </w:p>
        </w:tc>
      </w:tr>
      <w:tr>
        <w:tc>
          <w:tcPr>
            <w:tcW w:w="3472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Bank term equivalent at ±0.5 pp (TOST)</w:t>
            </w:r>
          </w:p>
        </w:tc>
        <w:tc>
          <w:tcPr>
            <w:tcW w:w="2374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9</w:t>
            </w:r>
          </w:p>
        </w:tc>
        <w:tc>
          <w:tcPr>
            <w:tcW w:w="3553" w:type="dxa"/>
          </w:tcPr>
          <w:p>
            <w:pPr>
              <w:pStyle w:val="Compact"/>
              <w:spacing w:after="20"/>
              <w:jc w:val="left"/>
            </w:pPr>
            <w:r>
              <w:rPr>
                <w:bCs/>
                <w:b/>
                <w:sz w:val="18"/>
              </w:rPr>
              <w:t xml:space="preserve">0</w:t>
            </w:r>
          </w:p>
        </w:tc>
      </w:tr>
      <w:tr>
        <w:tc>
          <w:tcPr>
            <w:tcW w:w="3472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Bank term equivalent at ±0.75 pp</w:t>
            </w:r>
          </w:p>
        </w:tc>
        <w:tc>
          <w:tcPr>
            <w:tcW w:w="2374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14</w:t>
            </w:r>
          </w:p>
        </w:tc>
        <w:tc>
          <w:tcPr>
            <w:tcW w:w="3553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9</w:t>
            </w:r>
          </w:p>
        </w:tc>
      </w:tr>
      <w:tr>
        <w:tc>
          <w:tcPr>
            <w:tcW w:w="3472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Bank term equivalent at ±1.0 pp</w:t>
            </w:r>
          </w:p>
        </w:tc>
        <w:tc>
          <w:tcPr>
            <w:tcW w:w="2374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14</w:t>
            </w:r>
          </w:p>
        </w:tc>
        <w:tc>
          <w:tcPr>
            <w:tcW w:w="3553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14</w:t>
            </w:r>
          </w:p>
        </w:tc>
      </w:tr>
    </w:tbl>
    <w:p>
      <w:pPr>
        <w:pStyle w:val="BodyText"/>
      </w:pPr>
      <w:r>
        <w:t xml:space="preserve">The routing findings survive correction almost intact.</w:t>
      </w:r>
      <w:r>
        <w:t xml:space="preserve"> </w:t>
      </w:r>
      <w:r>
        <w:rPr>
          <w:bCs/>
          <w:b/>
        </w:rPr>
        <w:t xml:space="preserve">The bank</w:t>
      </w:r>
      <w:r>
        <w:rPr>
          <w:bCs/>
          <w:b/>
        </w:rPr>
        <w:t xml:space="preserve"> </w:t>
      </w:r>
      <w:r>
        <w:rPr>
          <w:bCs/>
          <w:b/>
        </w:rPr>
        <w:t xml:space="preserve">equivalences at ±0.5 pp do not survive a per-pair Holm correction.</w:t>
      </w:r>
      <w:r>
        <w:t xml:space="preserve"> </w:t>
      </w:r>
      <w:r>
        <w:t xml:space="preserve">This</w:t>
      </w:r>
      <w:r>
        <w:t xml:space="preserve"> </w:t>
      </w:r>
      <w:r>
        <w:t xml:space="preserve">has to be handled before a reviewer finds it.</w:t>
      </w:r>
    </w:p>
    <w:p>
      <w:pPr>
        <w:pStyle w:val="BodyText"/>
      </w:pPr>
      <w:r>
        <w:rPr>
          <w:bCs/>
          <w:b/>
        </w:rPr>
        <w:t xml:space="preserve">The answer: test the bank claim once, pooled, instead of fifteen times.</w:t>
      </w:r>
      <w:r>
        <w:t xml:space="preserve"> </w:t>
      </w:r>
      <w:r>
        <w:t xml:space="preserve">Finding 1 is a single claim (</w:t>
      </w:r>
      <w:r>
        <w:t xml:space="preserve">“</w:t>
      </w:r>
      <w:r>
        <w:t xml:space="preserve">the bank adds nothing</w:t>
      </w:r>
      <w:r>
        <w:t xml:space="preserve">”</w:t>
      </w:r>
      <w:r>
        <w:t xml:space="preserve">), so it should rest</w:t>
      </w:r>
      <w:r>
        <w:t xml:space="preserve"> </w:t>
      </w:r>
      <w:r>
        <w:t xml:space="preserve">on one test. A random-effects pooled estimate over the 15 pairs gives: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A0A0A0"/>
          <w:bottom w:val="single" w:sz="4" w:color="A0A0A0"/>
          <w:insideH w:val="single" w:sz="4" w:color="A0A0A0"/>
          <w:insideV w:val="single" w:sz="4" w:color="A0A0A0"/>
          <w:left w:val="single" w:sz="4" w:color="A0A0A0"/>
          <w:right w:val="single" w:sz="4" w:color="A0A0A0"/>
        </w:tblBorders>
        <w:tblW w:w="9398" w:type="dxa"/>
        <w:tblLayout w:type="fixed"/>
      </w:tblPr>
      <w:tblGrid>
        <w:gridCol w:w="3749"/>
        <w:gridCol w:w="1883"/>
        <w:gridCol w:w="1883"/>
        <w:gridCol w:w="1883"/>
      </w:tblGrid>
      <w:tr>
        <w:trPr>
          <w:tblHeader w:val="true"/>
        </w:trPr>
        <w:tc>
          <w:tcPr>
            <w:tcW w:w="3749" w:type="dxa"/>
          </w:tcPr>
          <w:p>
            <w:pPr>
              <w:pStyle w:val="Compact"/>
              <w:spacing w:after="20"/>
              <w:jc w:val="left"/>
            </w:pPr>
            <w:r>
              <w:rPr>
                <w:b/>
                <w:sz w:val="18"/>
              </w:rPr>
              <w:t xml:space="preserve">Bank term (uniform − static)</w:t>
            </w:r>
          </w:p>
        </w:tc>
        <w:tc>
          <w:tcPr>
            <w:tcW w:w="1883" w:type="dxa"/>
          </w:tcPr>
          <w:p>
            <w:pPr>
              <w:pStyle w:val="Compact"/>
              <w:spacing w:after="20"/>
              <w:jc w:val="left"/>
            </w:pPr>
            <w:r>
              <w:rPr>
                <w:b/>
                <w:sz w:val="18"/>
              </w:rPr>
              <w:t xml:space="preserve">Estimate</w:t>
            </w:r>
          </w:p>
        </w:tc>
        <w:tc>
          <w:tcPr>
            <w:tcW w:w="1883" w:type="dxa"/>
          </w:tcPr>
          <w:p>
            <w:pPr>
              <w:pStyle w:val="Compact"/>
              <w:spacing w:after="20"/>
              <w:jc w:val="left"/>
            </w:pPr>
            <w:r>
              <w:rPr>
                <w:b/>
                <w:sz w:val="18"/>
              </w:rPr>
              <w:t xml:space="preserve">95 % CI</w:t>
            </w:r>
          </w:p>
        </w:tc>
        <w:tc>
          <w:tcPr>
            <w:tcW w:w="1883" w:type="dxa"/>
          </w:tcPr>
          <w:p>
            <w:pPr>
              <w:pStyle w:val="Compact"/>
              <w:spacing w:after="20"/>
              <w:jc w:val="left"/>
            </w:pPr>
            <w:r>
              <w:rPr>
                <w:b/>
                <w:sz w:val="18"/>
              </w:rPr>
              <w:t xml:space="preserve">90 % CI</w:t>
            </w:r>
          </w:p>
        </w:tc>
      </w:tr>
      <w:tr>
        <w:tc>
          <w:tcPr>
            <w:tcW w:w="3749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Pooled over all 15 pairs</w:t>
            </w:r>
          </w:p>
        </w:tc>
        <w:tc>
          <w:tcPr>
            <w:tcW w:w="1883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−0.007 pp</w:t>
            </w:r>
          </w:p>
        </w:tc>
        <w:tc>
          <w:tcPr>
            <w:tcW w:w="1883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[−0.098, +0.084]</w:t>
            </w:r>
          </w:p>
        </w:tc>
        <w:tc>
          <w:tcPr>
            <w:tcW w:w="1883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[−0.083, +0.070]</w:t>
            </w:r>
          </w:p>
        </w:tc>
      </w:tr>
      <w:tr>
        <w:tc>
          <w:tcPr>
            <w:tcW w:w="3749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ResNet-18 (5 conditions, fixed effect)</w:t>
            </w:r>
          </w:p>
        </w:tc>
        <w:tc>
          <w:tcPr>
            <w:tcW w:w="1883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+0.005 pp</w:t>
            </w:r>
          </w:p>
        </w:tc>
        <w:tc>
          <w:tcPr>
            <w:tcW w:w="1883" w:type="dxa"/>
          </w:tcPr>
          <w:p>
            <w:pPr>
              <w:pStyle w:val="Compact"/>
              <w:spacing w:after="20"/>
            </w:pPr>
          </w:p>
        </w:tc>
        <w:tc>
          <w:tcPr>
            <w:tcW w:w="1883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[−0.092, +0.102]</w:t>
            </w:r>
          </w:p>
        </w:tc>
      </w:tr>
      <w:tr>
        <w:tc>
          <w:tcPr>
            <w:tcW w:w="3749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MobileNetV2 (5 conditions)</w:t>
            </w:r>
          </w:p>
        </w:tc>
        <w:tc>
          <w:tcPr>
            <w:tcW w:w="1883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−0.098 pp</w:t>
            </w:r>
          </w:p>
        </w:tc>
        <w:tc>
          <w:tcPr>
            <w:tcW w:w="1883" w:type="dxa"/>
          </w:tcPr>
          <w:p>
            <w:pPr>
              <w:pStyle w:val="Compact"/>
              <w:spacing w:after="20"/>
            </w:pPr>
          </w:p>
        </w:tc>
        <w:tc>
          <w:tcPr>
            <w:tcW w:w="1883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[−0.242, +0.046]</w:t>
            </w:r>
          </w:p>
        </w:tc>
      </w:tr>
      <w:tr>
        <w:tc>
          <w:tcPr>
            <w:tcW w:w="3749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VGG-16 (5 conditions)</w:t>
            </w:r>
          </w:p>
        </w:tc>
        <w:tc>
          <w:tcPr>
            <w:tcW w:w="1883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+0.019 pp</w:t>
            </w:r>
          </w:p>
        </w:tc>
        <w:tc>
          <w:tcPr>
            <w:tcW w:w="1883" w:type="dxa"/>
          </w:tcPr>
          <w:p>
            <w:pPr>
              <w:pStyle w:val="Compact"/>
              <w:spacing w:after="20"/>
            </w:pPr>
          </w:p>
        </w:tc>
        <w:tc>
          <w:tcPr>
            <w:tcW w:w="1883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[−0.077, +0.114]</w:t>
            </w:r>
          </w:p>
        </w:tc>
      </w:tr>
    </w:tbl>
    <w:p>
      <w:pPr>
        <w:pStyle w:val="BodyText"/>
      </w:pPr>
      <w:r>
        <w:t xml:space="preserve">Between-condition heterogeneity is not significant (Q test p = 0.15). The</w:t>
      </w:r>
      <w:r>
        <w:t xml:space="preserve"> </w:t>
      </w:r>
      <w:r>
        <w:t xml:space="preserve">pooled bank term is equivalent to zero at a margin of 0.1 pp, five times</w:t>
      </w:r>
      <w:r>
        <w:t xml:space="preserve"> </w:t>
      </w:r>
      <w:r>
        <w:t xml:space="preserve">tighter than the pre-registered 0.5 pp, and each backbone separately is</w:t>
      </w:r>
      <w:r>
        <w:t xml:space="preserve"> </w:t>
      </w:r>
      <w:r>
        <w:t xml:space="preserve">inside ±0.25 pp. The routing term, pooled the same way, is +1.23 pp</w:t>
      </w:r>
      <w:r>
        <w:t xml:space="preserve"> </w:t>
      </w:r>
      <w:r>
        <w:t xml:space="preserve">[0.83, 1.64] with strong heterogeneity (p &lt; 0.001), which is exactly the</w:t>
      </w:r>
      <w:r>
        <w:t xml:space="preserve"> </w:t>
      </w:r>
      <w:r>
        <w:t xml:space="preserve">“</w:t>
      </w:r>
      <w:r>
        <w:t xml:space="preserve">depends on the backbone and condition</w:t>
      </w:r>
      <w:r>
        <w:t xml:space="preserve">”</w:t>
      </w:r>
      <w:r>
        <w:t xml:space="preserve"> </w:t>
      </w:r>
      <w:r>
        <w:t xml:space="preserve">message of finding 2.</w:t>
      </w:r>
    </w:p>
    <w:p>
      <w:pPr>
        <w:pStyle w:val="BodyText"/>
      </w:pPr>
      <w:r>
        <w:rPr>
          <w:bCs/>
          <w:b/>
        </w:rPr>
        <w:t xml:space="preserve">Change in the paper (required).</w:t>
      </w:r>
      <w:r>
        <w:t xml:space="preserve"> </w:t>
      </w:r>
      <w:r>
        <w:t xml:space="preserve">Add the pooled analysis to Section 5,</w:t>
      </w:r>
      <w:r>
        <w:t xml:space="preserve"> </w:t>
      </w:r>
      <w:r>
        <w:t xml:space="preserve">add a</w:t>
      </w:r>
      <w:r>
        <w:t xml:space="preserve"> </w:t>
      </w:r>
      <w:r>
        <w:t xml:space="preserve">“</w:t>
      </w:r>
      <w:r>
        <w:t xml:space="preserve">Multiplicity</w:t>
      </w:r>
      <w:r>
        <w:t xml:space="preserve">”</w:t>
      </w:r>
      <w:r>
        <w:t xml:space="preserve"> </w:t>
      </w:r>
      <w:r>
        <w:t xml:space="preserve">paragraph to the statistical protocol (primary claims</w:t>
      </w:r>
      <w:r>
        <w:t xml:space="preserve"> </w:t>
      </w:r>
      <w:r>
        <w:t xml:space="preserve">tested once on pooled estimates; per-condition tests are descriptive;</w:t>
      </w:r>
      <w:r>
        <w:t xml:space="preserve"> </w:t>
      </w:r>
      <w:r>
        <w:t xml:space="preserve">Holm-corrected counts reported), and state the Holm counts above.</w:t>
      </w:r>
    </w:p>
    <w:p>
      <w:pPr>
        <w:pStyle w:val="BodyText"/>
      </w:pPr>
      <w:r>
        <w:rPr>
          <w:bCs/>
          <w:b/>
        </w:rPr>
        <w:t xml:space="preserve">Rebuttal text.</w:t>
      </w:r>
    </w:p>
    <w:p>
      <w:pPr>
        <w:pStyle w:val="BlockText"/>
      </w:pPr>
      <w:r>
        <w:t xml:space="preserve">Finding 1 is one claim and we now test it once: the random-effects</w:t>
      </w:r>
      <w:r>
        <w:t xml:space="preserve"> </w:t>
      </w:r>
      <w:r>
        <w:t xml:space="preserve">pooled bank term over the 15 backbone and condition pairs is −0.007 pp</w:t>
      </w:r>
      <w:r>
        <w:t xml:space="preserve"> </w:t>
      </w:r>
      <w:r>
        <w:t xml:space="preserve">(95 % CI [−0.10, +0.08]), equivalent to zero at a 0.1 pp margin. Per-pair</w:t>
      </w:r>
      <w:r>
        <w:t xml:space="preserve"> </w:t>
      </w:r>
      <w:r>
        <w:t xml:space="preserve">equivalence at ±0.5 pp is reported as descriptive. The routing results</w:t>
      </w:r>
      <w:r>
        <w:t xml:space="preserve"> </w:t>
      </w:r>
      <w:r>
        <w:t xml:space="preserve">survive Holm correction in 12 of the 13 pairs that are significant</w:t>
      </w:r>
      <w:r>
        <w:t xml:space="preserve"> </w:t>
      </w:r>
      <w:r>
        <w:t xml:space="preserve">before correction.</w:t>
      </w:r>
    </w:p>
    <w:bookmarkEnd w:id="25"/>
    <w:bookmarkStart w:id="26" w:name="X81cfc3b232bb1b857418abd5d841b89b9448e73"/>
    <w:p>
      <w:pPr>
        <w:pStyle w:val="Heading1"/>
      </w:pPr>
      <w:r>
        <w:t xml:space="preserve">5.</w:t>
      </w:r>
      <w:r>
        <w:t xml:space="preserve"> </w:t>
      </w:r>
      <w:r>
        <w:t xml:space="preserve">“</w:t>
      </w:r>
      <w:r>
        <w:t xml:space="preserve">The backbones disagree. What should a practitioner do?</w:t>
      </w:r>
      <w:r>
        <w:t xml:space="preserve">”</w:t>
      </w:r>
    </w:p>
    <w:p>
      <w:pPr>
        <w:pStyle w:val="FirstParagraph"/>
      </w:pPr>
      <w:r>
        <w:rPr>
          <w:bCs/>
          <w:b/>
        </w:rPr>
        <w:t xml:space="preserve">Severity: Medium.</w:t>
      </w:r>
      <w:r>
        <w:t xml:space="preserve"> </w:t>
      </w:r>
      <w:r>
        <w:t xml:space="preserve">Ten results, five backbone-dependent, can read as</w:t>
      </w:r>
      <w:r>
        <w:t xml:space="preserve"> </w:t>
      </w:r>
      <w:r>
        <w:t xml:space="preserve">“</w:t>
      </w:r>
      <w:r>
        <w:t xml:space="preserve">no conclusion</w:t>
      </w:r>
      <w:r>
        <w:t xml:space="preserve">”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The answer: the agreements are strong and the disagreements are</w:t>
      </w:r>
      <w:r>
        <w:rPr>
          <w:bCs/>
          <w:b/>
        </w:rPr>
        <w:t xml:space="preserve"> </w:t>
      </w:r>
      <w:r>
        <w:rPr>
          <w:bCs/>
          <w:b/>
        </w:rPr>
        <w:t xml:space="preserve">informative.</w:t>
      </w:r>
      <w:r>
        <w:t xml:space="preserve"> </w:t>
      </w:r>
      <w:r>
        <w:t xml:space="preserve">Give the reader one line per result: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Do not expect the bank to help on its own.</w:t>
      </w:r>
      <w:r>
        <w:t xml:space="preserve"> </w:t>
      </w:r>
      <w:r>
        <w:t xml:space="preserve">Pooled −0.007 pp over</w:t>
      </w:r>
      <w:r>
        <w:t xml:space="preserve"> </w:t>
      </w:r>
      <w:r>
        <w:t xml:space="preserve">three backbones.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If you use dynamic convolution, the gain comes from routing.</w:t>
      </w:r>
      <w:r>
        <w:t xml:space="preserve"> </w:t>
      </w:r>
      <w:r>
        <w:t xml:space="preserve">Routing</w:t>
      </w:r>
      <w:r>
        <w:t xml:space="preserve"> </w:t>
      </w:r>
      <w:r>
        <w:t xml:space="preserve">term pooled +1.23 pp; 12 of 13 survive correction.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K = 2 is enough.</w:t>
      </w:r>
      <w:r>
        <w:t xml:space="preserve"> </w:t>
      </w:r>
      <w:r>
        <w:t xml:space="preserve">Larger banks are not distinguishable from K = 2 on</w:t>
      </w:r>
      <w:r>
        <w:t xml:space="preserve"> </w:t>
      </w:r>
      <w:r>
        <w:t xml:space="preserve">any backbone; on ResNet-18 K = 8 costs 3.9 times the parameters and 2.5</w:t>
      </w:r>
      <w:r>
        <w:t xml:space="preserve"> </w:t>
      </w:r>
      <w:r>
        <w:t xml:space="preserve">times the training time for nothing detectable.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Do not anneal the temperature by default.</w:t>
      </w:r>
      <w:r>
        <w:t xml:space="preserve"> </w:t>
      </w:r>
      <w:r>
        <w:t xml:space="preserve">Never significantly</w:t>
      </w:r>
      <w:r>
        <w:t xml:space="preserve"> </w:t>
      </w:r>
      <w:r>
        <w:t xml:space="preserve">better, lower in 7 of 9 conditions.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At equal parameters, widen the network instead</w:t>
      </w:r>
      <w:r>
        <w:t xml:space="preserve"> </w:t>
      </w:r>
      <w:r>
        <w:t xml:space="preserve">on backbones whose</w:t>
      </w:r>
      <w:r>
        <w:t xml:space="preserve"> </w:t>
      </w:r>
      <w:r>
        <w:t xml:space="preserve">convolutions hold most of the parameters (ResNet-18, VGG-16: plain wins</w:t>
      </w:r>
      <w:r>
        <w:t xml:space="preserve"> </w:t>
      </w:r>
      <w:r>
        <w:t xml:space="preserve">6 of 6).</w:t>
      </w:r>
      <w:r>
        <w:t xml:space="preserve"> </w:t>
      </w:r>
      <w:r>
        <w:rPr>
          <w:bCs/>
          <w:b/>
        </w:rPr>
        <w:t xml:space="preserve">At equal compute, routing is worth it</w:t>
      </w:r>
      <w:r>
        <w:t xml:space="preserve"> </w:t>
      </w:r>
      <w:r>
        <w:t xml:space="preserve">(13 of 15).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Do not use routing entropy to decide whether routing works.</w:t>
      </w:r>
    </w:p>
    <w:p>
      <w:pPr>
        <w:pStyle w:val="FirstParagraph"/>
      </w:pPr>
      <w:r>
        <w:rPr>
          <w:bCs/>
          <w:b/>
        </w:rPr>
        <w:t xml:space="preserve">Change in the paper (recommended).</w:t>
      </w:r>
      <w:r>
        <w:t xml:space="preserve"> </w:t>
      </w:r>
      <w:r>
        <w:t xml:space="preserve">Add a short</w:t>
      </w:r>
      <w:r>
        <w:t xml:space="preserve"> </w:t>
      </w:r>
      <w:r>
        <w:t xml:space="preserve">“</w:t>
      </w:r>
      <w:r>
        <w:t xml:space="preserve">Practical guidance</w:t>
      </w:r>
      <w:r>
        <w:t xml:space="preserve">”</w:t>
      </w:r>
      <w:r>
        <w:t xml:space="preserve"> </w:t>
      </w:r>
      <w:r>
        <w:t xml:space="preserve">paragraph with these lines before the conclusion.</w:t>
      </w:r>
    </w:p>
    <w:bookmarkEnd w:id="26"/>
    <w:bookmarkStart w:id="27" w:name="X631def0aca2beee22720f15d8c76fbbc32fb51d"/>
    <w:p>
      <w:pPr>
        <w:pStyle w:val="Heading1"/>
      </w:pPr>
      <w:r>
        <w:t xml:space="preserve">6.</w:t>
      </w:r>
      <w:r>
        <w:t xml:space="preserve"> </w:t>
      </w:r>
      <w:r>
        <w:t xml:space="preserve">“</w:t>
      </w:r>
      <w:r>
        <w:t xml:space="preserve">The CIFAR-100 width-64 null is unexplained</w:t>
      </w:r>
      <w:r>
        <w:t xml:space="preserve">”</w:t>
      </w:r>
    </w:p>
    <w:p>
      <w:pPr>
        <w:pStyle w:val="FirstParagraph"/>
      </w:pPr>
      <w:r>
        <w:rPr>
          <w:bCs/>
          <w:b/>
        </w:rPr>
        <w:t xml:space="preserve">Severity: Medium.</w:t>
      </w:r>
      <w:r>
        <w:t xml:space="preserve"> </w:t>
      </w:r>
      <w:r>
        <w:t xml:space="preserve">Reviewers dislike anomalies the authors cannot</w:t>
      </w:r>
      <w:r>
        <w:t xml:space="preserve"> </w:t>
      </w:r>
      <w:r>
        <w:t xml:space="preserve">explain, but the paper already tests and rules out two explanations,</w:t>
      </w:r>
      <w:r>
        <w:t xml:space="preserve"> </w:t>
      </w:r>
      <w:r>
        <w:t xml:space="preserve">replicates the null on VGG-16, and shows it is a positive equivalence.</w:t>
      </w:r>
    </w:p>
    <w:p>
      <w:pPr>
        <w:pStyle w:val="BodyText"/>
      </w:pPr>
      <w:r>
        <w:rPr>
          <w:bCs/>
          <w:b/>
        </w:rPr>
        <w:t xml:space="preserve">What the reviewer will ask.</w:t>
      </w:r>
      <w:r>
        <w:t xml:space="preserve"> </w:t>
      </w:r>
      <w:r>
        <w:t xml:space="preserve">Is it resolution, feature-map size, the</w:t>
      </w:r>
      <w:r>
        <w:t xml:space="preserve"> </w:t>
      </w:r>
      <w:r>
        <w:t xml:space="preserve">number of classes, or the dataset itself?</w:t>
      </w:r>
    </w:p>
    <w:p>
      <w:pPr>
        <w:pStyle w:val="BodyText"/>
      </w:pPr>
      <w:r>
        <w:rPr>
          <w:bCs/>
          <w:b/>
        </w:rPr>
        <w:t xml:space="preserve">One cheap experiment answers most of it.</w:t>
      </w:r>
      <w:r>
        <w:t xml:space="preserve"> </w:t>
      </w:r>
      <w:r>
        <w:t xml:space="preserve">Train ResNet-18 at width 64</w:t>
      </w:r>
      <w:r>
        <w:t xml:space="preserve"> </w:t>
      </w:r>
      <w:r>
        <w:t xml:space="preserve">on Tiny-ImageNet</w:t>
      </w:r>
      <w:r>
        <w:t xml:space="preserve"> </w:t>
      </w:r>
      <w:r>
        <w:rPr>
          <w:iCs/>
          <w:i/>
        </w:rPr>
        <w:t xml:space="preserve">downsampled to 32 × 32</w:t>
      </w:r>
      <w:r>
        <w:t xml:space="preserve"> </w:t>
      </w:r>
      <w:r>
        <w:t xml:space="preserve">(</w:t>
      </w:r>
      <w:r>
        <w:rPr>
          <w:rStyle w:val="VerbatimChar"/>
        </w:rPr>
        <w:t xml:space="preserve">static</w:t>
      </w:r>
      <w:r>
        <w:t xml:space="preserve">,</w:t>
      </w:r>
      <w:r>
        <w:t xml:space="preserve"> </w:t>
      </w:r>
      <w:r>
        <w:rPr>
          <w:rStyle w:val="VerbatimChar"/>
        </w:rPr>
        <w:t xml:space="preserve">uniform</w:t>
      </w:r>
      <w:r>
        <w:t xml:space="preserve">,</w:t>
      </w:r>
      <w:r>
        <w:t xml:space="preserve"> </w:t>
      </w:r>
      <w:r>
        <w:rPr>
          <w:rStyle w:val="VerbatimChar"/>
        </w:rPr>
        <w:t xml:space="preserve">gap</w:t>
      </w:r>
      <w:r>
        <w:t xml:space="preserve">, six</w:t>
      </w:r>
      <w:r>
        <w:t xml:space="preserve"> </w:t>
      </w:r>
      <w:r>
        <w:t xml:space="preserve">seeds; about 13 GPU-hours, since it costs like CIFAR-100 width 64). This</w:t>
      </w:r>
      <w:r>
        <w:t xml:space="preserve"> </w:t>
      </w:r>
      <w:r>
        <w:t xml:space="preserve">keeps the 200 Tiny-ImageNet classes and images but uses the CIFAR input</w:t>
      </w:r>
      <w:r>
        <w:t xml:space="preserve"> </w:t>
      </w:r>
      <w:r>
        <w:t xml:space="preserve">size and final feature map.</w:t>
      </w:r>
    </w:p>
    <w:p>
      <w:pPr>
        <w:numPr>
          <w:ilvl w:val="0"/>
          <w:numId w:val="1008"/>
        </w:numPr>
        <w:pStyle w:val="Compact"/>
      </w:pPr>
      <w:r>
        <w:t xml:space="preserve">If the null appears, input resolution or feature-map size is the</w:t>
      </w:r>
      <w:r>
        <w:t xml:space="preserve"> </w:t>
      </w:r>
      <w:r>
        <w:t xml:space="preserve">likely cause.</w:t>
      </w:r>
    </w:p>
    <w:p>
      <w:pPr>
        <w:numPr>
          <w:ilvl w:val="0"/>
          <w:numId w:val="1008"/>
        </w:numPr>
        <w:pStyle w:val="Compact"/>
      </w:pPr>
      <w:r>
        <w:t xml:space="preserve">If the effect stays (about +2 pp), the cause is the dataset or the</w:t>
      </w:r>
      <w:r>
        <w:t xml:space="preserve"> </w:t>
      </w:r>
      <w:r>
        <w:t xml:space="preserve">number of classes, not the resolution.</w:t>
      </w:r>
    </w:p>
    <w:p>
      <w:pPr>
        <w:pStyle w:val="FirstParagraph"/>
      </w:pPr>
      <w:r>
        <w:t xml:space="preserve">Either outcome turns</w:t>
      </w:r>
      <w:r>
        <w:t xml:space="preserve"> </w:t>
      </w:r>
      <w:r>
        <w:t xml:space="preserve">“</w:t>
      </w:r>
      <w:r>
        <w:t xml:space="preserve">unexplained</w:t>
      </w:r>
      <w:r>
        <w:t xml:space="preserve">”</w:t>
      </w:r>
      <w:r>
        <w:t xml:space="preserve"> </w:t>
      </w:r>
      <w:r>
        <w:t xml:space="preserve">into</w:t>
      </w:r>
      <w:r>
        <w:t xml:space="preserve"> </w:t>
      </w:r>
      <w:r>
        <w:t xml:space="preserve">“</w:t>
      </w:r>
      <w:r>
        <w:t xml:space="preserve">narrowed to X</w:t>
      </w:r>
      <w:r>
        <w:t xml:space="preserve">”</w:t>
      </w:r>
      <w:r>
        <w:t xml:space="preserve">. Record the</w:t>
      </w:r>
      <w:r>
        <w:t xml:space="preserve"> </w:t>
      </w:r>
      <w:r>
        <w:t xml:space="preserve">prediction (dated) before running it, as before. VGG-16 can be added for</w:t>
      </w:r>
      <w:r>
        <w:t xml:space="preserve"> </w:t>
      </w:r>
      <w:r>
        <w:t xml:space="preserve">about 8 more GPU-hours.</w:t>
      </w:r>
    </w:p>
    <w:p>
      <w:pPr>
        <w:pStyle w:val="BodyText"/>
      </w:pPr>
      <w:r>
        <w:rPr>
          <w:bCs/>
          <w:b/>
        </w:rPr>
        <w:t xml:space="preserve">Rebuttal text if you do not run it.</w:t>
      </w:r>
    </w:p>
    <w:p>
      <w:pPr>
        <w:pStyle w:val="BlockText"/>
      </w:pPr>
      <w:r>
        <w:t xml:space="preserve">The null is a positive equivalence on two backbones, survives a change</w:t>
      </w:r>
      <w:r>
        <w:t xml:space="preserve"> </w:t>
      </w:r>
      <w:r>
        <w:t xml:space="preserve">of temperature schedule, does not need residual connections, and is not</w:t>
      </w:r>
      <w:r>
        <w:t xml:space="preserve"> </w:t>
      </w:r>
      <w:r>
        <w:t xml:space="preserve">explained by training loss (a recorded prediction failed). We state the</w:t>
      </w:r>
      <w:r>
        <w:t xml:space="preserve"> </w:t>
      </w:r>
      <w:r>
        <w:t xml:space="preserve">remaining candidates (resolution, feature-map size, classes) and leave</w:t>
      </w:r>
      <w:r>
        <w:t xml:space="preserve"> </w:t>
      </w:r>
      <w:r>
        <w:t xml:space="preserve">them untested.</w:t>
      </w:r>
    </w:p>
    <w:bookmarkEnd w:id="27"/>
    <w:bookmarkStart w:id="28" w:name="the-entropy-evidence-is-thin"/>
    <w:p>
      <w:pPr>
        <w:pStyle w:val="Heading1"/>
      </w:pPr>
      <w:r>
        <w:t xml:space="preserve">7. The entropy evidence is thin</w:t>
      </w:r>
    </w:p>
    <w:p>
      <w:pPr>
        <w:pStyle w:val="FirstParagraph"/>
      </w:pPr>
      <w:r>
        <w:rPr>
          <w:bCs/>
          <w:b/>
        </w:rPr>
        <w:t xml:space="preserve">Severity: Medium.</w:t>
      </w:r>
      <w:r>
        <w:t xml:space="preserve"> </w:t>
      </w:r>
      <w:r>
        <w:t xml:space="preserve">Finding 7 rests on entropy measured once, on the</w:t>
      </w:r>
      <w:r>
        <w:t xml:space="preserve"> </w:t>
      </w:r>
      <w:r>
        <w:t xml:space="preserve">last 16 test images; 30 of the ResNet-18 entropy values have no source</w:t>
      </w:r>
      <w:r>
        <w:t xml:space="preserve"> </w:t>
      </w:r>
      <w:r>
        <w:t xml:space="preserve">file in the archive; VGG-16 has no entropy at all in this draft.</w:t>
      </w:r>
    </w:p>
    <w:p>
      <w:pPr>
        <w:pStyle w:val="BodyText"/>
      </w:pPr>
      <w:r>
        <w:rPr>
          <w:bCs/>
          <w:b/>
        </w:rPr>
        <w:t xml:space="preserve">Options, best first.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Upload the result folders</w:t>
      </w:r>
      <w:r>
        <w:t xml:space="preserve"> </w:t>
      </w:r>
      <w:r>
        <w:t xml:space="preserve">(</w:t>
      </w:r>
      <w:r>
        <w:rPr>
          <w:rStyle w:val="VerbatimChar"/>
        </w:rPr>
        <w:t xml:space="preserve">results\</w:t>
      </w:r>
      <w:r>
        <w:t xml:space="preserve"> </w:t>
      </w:r>
      <w:r>
        <w:t xml:space="preserve">for ResNet-18,</w:t>
      </w:r>
      <w:r>
        <w:t xml:space="preserve"> </w:t>
      </w:r>
      <w:r>
        <w:rPr>
          <w:rStyle w:val="VerbatimChar"/>
        </w:rPr>
        <w:t xml:space="preserve">results_models\vgg16\</w:t>
      </w:r>
      <w:r>
        <w:t xml:space="preserve"> </w:t>
      </w:r>
      <w:r>
        <w:t xml:space="preserve">for VGG-16) from the training PC. That closes</w:t>
      </w:r>
      <w:r>
        <w:t xml:space="preserve"> </w:t>
      </w:r>
      <w:r>
        <w:t xml:space="preserve">the provenance gap at no GPU cost and adds VGG-16 to finding 7.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Rerun two groups with full-test-set entropy.</w:t>
      </w:r>
      <w:r>
        <w:t xml:space="preserve"> </w:t>
      </w:r>
      <w:r>
        <w:t xml:space="preserve">Change the recording</w:t>
      </w:r>
      <w:r>
        <w:t xml:space="preserve"> </w:t>
      </w:r>
      <w:r>
        <w:t xml:space="preserve">to accumulate over all test batches (a small code change), then rerun</w:t>
      </w:r>
      <w:r>
        <w:t xml:space="preserve"> </w:t>
      </w:r>
      <w:r>
        <w:t xml:space="preserve">ResNet-18 CIFAR-100 width 16</w:t>
      </w:r>
      <w:r>
        <w:t xml:space="preserve"> </w:t>
      </w:r>
      <w:r>
        <w:rPr>
          <w:rStyle w:val="VerbatimChar"/>
        </w:rPr>
        <w:t xml:space="preserve">gap</w:t>
      </w:r>
      <w:r>
        <w:t xml:space="preserve"> </w:t>
      </w:r>
      <w:r>
        <w:t xml:space="preserve">with constant and annealed</w:t>
      </w:r>
      <w:r>
        <w:t xml:space="preserve"> </w:t>
      </w:r>
      <w:r>
        <w:t xml:space="preserve">temperature (12 runs, about 8 GPU-hours; this is the counterexample)</w:t>
      </w:r>
      <w:r>
        <w:t xml:space="preserve"> </w:t>
      </w:r>
      <w:r>
        <w:t xml:space="preserve">and MobileNetV2 width 64</w:t>
      </w:r>
      <w:r>
        <w:t xml:space="preserve"> </w:t>
      </w:r>
      <w:r>
        <w:rPr>
          <w:rStyle w:val="VerbatimChar"/>
        </w:rPr>
        <w:t xml:space="preserve">gap</w:t>
      </w:r>
      <w:r>
        <w:t xml:space="preserve"> </w:t>
      </w:r>
      <w:r>
        <w:t xml:space="preserve">constant and annealed (12 runs, about 17</w:t>
      </w:r>
      <w:r>
        <w:t xml:space="preserve"> </w:t>
      </w:r>
      <w:r>
        <w:t xml:space="preserve">GPU-hours). If the 16-image values agree with full-test-set values,</w:t>
      </w:r>
      <w:r>
        <w:t xml:space="preserve"> </w:t>
      </w:r>
      <w:r>
        <w:t xml:space="preserve">the objection is gone.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Demote finding 7 to the appendix</w:t>
      </w:r>
      <w:r>
        <w:t xml:space="preserve"> </w:t>
      </w:r>
      <w:r>
        <w:t xml:space="preserve">and keep only the cross-backbone</w:t>
      </w:r>
      <w:r>
        <w:t xml:space="preserve"> </w:t>
      </w:r>
      <w:r>
        <w:t xml:space="preserve">comparison in the main text. Do this if neither 1 nor 2 is possible.</w:t>
      </w:r>
    </w:p>
    <w:p>
      <w:pPr>
        <w:pStyle w:val="FirstParagraph"/>
      </w:pPr>
      <w:r>
        <w:rPr>
          <w:bCs/>
          <w:b/>
        </w:rPr>
        <w:t xml:space="preserve">Rebuttal text (with option 2 done).</w:t>
      </w:r>
    </w:p>
    <w:p>
      <w:pPr>
        <w:pStyle w:val="BlockText"/>
      </w:pPr>
      <w:r>
        <w:t xml:space="preserve">On the two groups that carry the argument we reran training with</w:t>
      </w:r>
      <w:r>
        <w:t xml:space="preserve"> </w:t>
      </w:r>
      <w:r>
        <w:t xml:space="preserve">entropy accumulated over the full test set; the 16-image values agree</w:t>
      </w:r>
      <w:r>
        <w:t xml:space="preserve"> </w:t>
      </w:r>
      <w:r>
        <w:t xml:space="preserve">(report the numbers), so the conclusions do not depend on the sample.</w:t>
      </w:r>
    </w:p>
    <w:bookmarkEnd w:id="28"/>
    <w:bookmarkStart w:id="29" w:name="one-random-draw-of-the-frozen-router"/>
    <w:p>
      <w:pPr>
        <w:pStyle w:val="Heading1"/>
      </w:pPr>
      <w:r>
        <w:t xml:space="preserve">8. One random draw of the frozen router</w:t>
      </w:r>
    </w:p>
    <w:p>
      <w:pPr>
        <w:pStyle w:val="FirstParagraph"/>
      </w:pPr>
      <w:r>
        <w:rPr>
          <w:bCs/>
          <w:b/>
        </w:rPr>
        <w:t xml:space="preserve">Severity: Medium.</w:t>
      </w:r>
      <w:r>
        <w:t xml:space="preserve"> </w:t>
      </w:r>
      <w:r>
        <w:t xml:space="preserve">The frozen router is one fixed random draw, shared</w:t>
      </w:r>
      <w:r>
        <w:t xml:space="preserve"> </w:t>
      </w:r>
      <w:r>
        <w:t xml:space="preserve">by all seeds, in one condition.</w:t>
      </w:r>
      <w:r>
        <w:t xml:space="preserve"> </w:t>
      </w:r>
      <w:r>
        <w:t xml:space="preserve">“</w:t>
      </w:r>
      <w:r>
        <w:t xml:space="preserve">A random router is enough</w:t>
      </w:r>
      <w:r>
        <w:t xml:space="preserve">”</w:t>
      </w:r>
      <w:r>
        <w:t xml:space="preserve"> </w:t>
      </w:r>
      <w:r>
        <w:t xml:space="preserve">(MobileNetV2)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only the trained router departs from the constant mixture</w:t>
      </w:r>
      <w:r>
        <w:t xml:space="preserve">”</w:t>
      </w:r>
      <w:r>
        <w:t xml:space="preserve"> </w:t>
      </w:r>
      <w:r>
        <w:t xml:space="preserve">(VGG-16)</w:t>
      </w:r>
      <w:r>
        <w:t xml:space="preserve"> </w:t>
      </w:r>
      <w:r>
        <w:t xml:space="preserve">could both be properties of that draw.</w:t>
      </w:r>
    </w:p>
    <w:p>
      <w:pPr>
        <w:pStyle w:val="BodyText"/>
      </w:pPr>
      <w:r>
        <w:rPr>
          <w:bCs/>
          <w:b/>
        </w:rPr>
        <w:t xml:space="preserve">Experiment.</w:t>
      </w:r>
      <w:r>
        <w:t xml:space="preserve"> </w:t>
      </w:r>
      <w:r>
        <w:t xml:space="preserve">Two more draws (change</w:t>
      </w:r>
      <w:r>
        <w:t xml:space="preserve"> </w:t>
      </w:r>
      <w:r>
        <w:rPr>
          <w:rStyle w:val="VerbatimChar"/>
        </w:rPr>
        <w:t xml:space="preserve">FROZEN_SEED</w:t>
      </w:r>
      <w:r>
        <w:t xml:space="preserve">), six seeds each, on</w:t>
      </w:r>
      <w:r>
        <w:t xml:space="preserve"> </w:t>
      </w:r>
      <w:r>
        <w:t xml:space="preserve">MobileNetV2 CIFAR-100 width 64 (12 runs, about 16 GPU-hours) and VGG-16</w:t>
      </w:r>
      <w:r>
        <w:t xml:space="preserve"> </w:t>
      </w:r>
      <w:r>
        <w:t xml:space="preserve">CIFAR-100 width 64 (12 runs, about 10 GPU-hours). Report the three draws</w:t>
      </w:r>
      <w:r>
        <w:t xml:space="preserve"> </w:t>
      </w:r>
      <w:r>
        <w:t xml:space="preserve">side by side. This also turns finding 3 from</w:t>
      </w:r>
      <w:r>
        <w:t xml:space="preserve"> </w:t>
      </w:r>
      <w:r>
        <w:t xml:space="preserve">“</w:t>
      </w:r>
      <w:r>
        <w:t xml:space="preserve">one draw</w:t>
      </w:r>
      <w:r>
        <w:t xml:space="preserve">”</w:t>
      </w:r>
      <w:r>
        <w:t xml:space="preserve"> </w:t>
      </w:r>
      <w:r>
        <w:t xml:space="preserve">into</w:t>
      </w:r>
      <w:r>
        <w:t xml:space="preserve"> </w:t>
      </w:r>
      <w:r>
        <w:t xml:space="preserve">“</w:t>
      </w:r>
      <w:r>
        <w:t xml:space="preserve">three</w:t>
      </w:r>
      <w:r>
        <w:t xml:space="preserve"> </w:t>
      </w:r>
      <w:r>
        <w:t xml:space="preserve">draws</w:t>
      </w:r>
      <w:r>
        <w:t xml:space="preserve">”</w:t>
      </w:r>
      <w:r>
        <w:t xml:space="preserve">, which the paper currently has to concede.</w:t>
      </w:r>
    </w:p>
    <w:bookmarkEnd w:id="29"/>
    <w:bookmarkStart w:id="30" w:name="your-mobilenetv2-is-not-dy-mobilenetv2"/>
    <w:p>
      <w:pPr>
        <w:pStyle w:val="Heading1"/>
      </w:pPr>
      <w:r>
        <w:t xml:space="preserve">9.</w:t>
      </w:r>
      <w:r>
        <w:t xml:space="preserve"> </w:t>
      </w:r>
      <w:r>
        <w:t xml:space="preserve">“</w:t>
      </w:r>
      <w:r>
        <w:t xml:space="preserve">Your MobileNetV2 is not DY-MobileNetV2</w:t>
      </w:r>
      <w:r>
        <w:t xml:space="preserve">”</w:t>
      </w:r>
    </w:p>
    <w:p>
      <w:pPr>
        <w:pStyle w:val="FirstParagraph"/>
      </w:pPr>
      <w:r>
        <w:rPr>
          <w:bCs/>
          <w:b/>
        </w:rPr>
        <w:t xml:space="preserve">Severity: Medium.</w:t>
      </w:r>
      <w:r>
        <w:t xml:space="preserve"> </w:t>
      </w:r>
      <w:r>
        <w:t xml:space="preserve">DY-Conv makes every convolution of MobileNetV2</w:t>
      </w:r>
      <w:r>
        <w:t xml:space="preserve"> </w:t>
      </w:r>
      <w:r>
        <w:t xml:space="preserve">dynamic, including the 1 × 1 expansions and projections. Ours makes only</w:t>
      </w:r>
      <w:r>
        <w:t xml:space="preserve"> </w:t>
      </w:r>
      <w:r>
        <w:t xml:space="preserve">the 17 depthwise layers dynamic (3 % of the parameters), so a reviewer can</w:t>
      </w:r>
      <w:r>
        <w:t xml:space="preserve"> </w:t>
      </w:r>
      <w:r>
        <w:t xml:space="preserve">say the MobileNetV2 results are about a different layer placement.</w:t>
      </w:r>
    </w:p>
    <w:p>
      <w:pPr>
        <w:pStyle w:val="BodyText"/>
      </w:pPr>
      <w:r>
        <w:rPr>
          <w:bCs/>
          <w:b/>
        </w:rPr>
        <w:t xml:space="preserve">The answer.</w:t>
      </w:r>
      <w:r>
        <w:t xml:space="preserve"> </w:t>
      </w:r>
      <w:r>
        <w:t xml:space="preserve">The placement rule was fixed in the pre-registration</w:t>
      </w:r>
      <w:r>
        <w:t xml:space="preserve"> </w:t>
      </w:r>
      <w:r>
        <w:t xml:space="preserve">before any MobileNetV2 run, to apply the ResNet-18 rule unchanged</w:t>
      </w:r>
      <w:r>
        <w:t xml:space="preserve"> </w:t>
      </w:r>
      <w:r>
        <w:t xml:space="preserve">(</w:t>
      </w:r>
      <w:r>
        <w:t xml:space="preserve">“</w:t>
      </w:r>
      <w:r>
        <w:t xml:space="preserve">every k × k convolution with k &gt; 1</w:t>
      </w:r>
      <w:r>
        <w:t xml:space="preserve">”</w:t>
      </w:r>
      <w:r>
        <w:t xml:space="preserve">), and its consequence was stated in</w:t>
      </w:r>
      <w:r>
        <w:t xml:space="preserve"> </w:t>
      </w:r>
      <w:r>
        <w:t xml:space="preserve">advance. The paper says so in Threats. The</w:t>
      </w:r>
      <w:r>
        <w:t xml:space="preserve"> </w:t>
      </w:r>
      <w:r>
        <w:t xml:space="preserve">“</w:t>
      </w:r>
      <w:r>
        <w:t xml:space="preserve">all layers</w:t>
      </w:r>
      <w:r>
        <w:t xml:space="preserve">”</w:t>
      </w:r>
      <w:r>
        <w:t xml:space="preserve"> </w:t>
      </w:r>
      <w:r>
        <w:t xml:space="preserve">placement is</w:t>
      </w:r>
      <w:r>
        <w:t xml:space="preserve"> </w:t>
      </w:r>
      <w:r>
        <w:t xml:space="preserve">implemented (</w:t>
      </w:r>
      <w:r>
        <w:rPr>
          <w:rStyle w:val="VerbatimChar"/>
        </w:rPr>
        <w:t xml:space="preserve">--placement all</w:t>
      </w:r>
      <w:r>
        <w:t xml:space="preserve">).</w:t>
      </w:r>
    </w:p>
    <w:p>
      <w:pPr>
        <w:pStyle w:val="BodyText"/>
      </w:pPr>
      <w:r>
        <w:rPr>
          <w:bCs/>
          <w:b/>
        </w:rPr>
        <w:t xml:space="preserve">Optional experiment.</w:t>
      </w:r>
      <w:r>
        <w:t xml:space="preserve"> </w:t>
      </w:r>
      <w:r>
        <w:t xml:space="preserve">MobileNetV2 CIFAR-100 width 64 with</w:t>
      </w:r>
      <w:r>
        <w:t xml:space="preserve"> </w:t>
      </w:r>
      <w:r>
        <w:rPr>
          <w:rStyle w:val="VerbatimChar"/>
        </w:rPr>
        <w:t xml:space="preserve">--placement all</w:t>
      </w:r>
      <w:r>
        <w:t xml:space="preserve">:</w:t>
      </w:r>
      <w:r>
        <w:t xml:space="preserve"> </w:t>
      </w:r>
      <w:r>
        <w:rPr>
          <w:rStyle w:val="VerbatimChar"/>
        </w:rPr>
        <w:t xml:space="preserve">static</w:t>
      </w:r>
      <w:r>
        <w:t xml:space="preserve"> </w:t>
      </w:r>
      <w:r>
        <w:t xml:space="preserve">is unchanged, so</w:t>
      </w:r>
      <w:r>
        <w:t xml:space="preserve"> </w:t>
      </w:r>
      <w:r>
        <w:rPr>
          <w:rStyle w:val="VerbatimChar"/>
        </w:rPr>
        <w:t xml:space="preserve">uniform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gap</w:t>
      </w:r>
      <w:r>
        <w:t xml:space="preserve"> </w:t>
      </w:r>
      <w:r>
        <w:t xml:space="preserve">only, six</w:t>
      </w:r>
      <w:r>
        <w:t xml:space="preserve"> </w:t>
      </w:r>
      <w:r>
        <w:t xml:space="preserve">seeds (12 runs; time unknown because all 52 layers become dynamic,</w:t>
      </w:r>
      <w:r>
        <w:t xml:space="preserve"> </w:t>
      </w:r>
      <w:r>
        <w:t xml:space="preserve">estimate 20 GPU-hours, measure with the runner’s probe). If the bank term</w:t>
      </w:r>
      <w:r>
        <w:t xml:space="preserve"> </w:t>
      </w:r>
      <w:r>
        <w:t xml:space="preserve">stays at zero with 52 dynamic layers, the objection is answered.</w:t>
      </w:r>
    </w:p>
    <w:bookmarkEnd w:id="30"/>
    <w:bookmarkStart w:id="31" w:name="resnet-18-initialisation-mismatch"/>
    <w:p>
      <w:pPr>
        <w:pStyle w:val="Heading1"/>
      </w:pPr>
      <w:r>
        <w:t xml:space="preserve">10. ResNet-18 initialisation mismatch</w:t>
      </w:r>
    </w:p>
    <w:p>
      <w:pPr>
        <w:pStyle w:val="FirstParagraph"/>
      </w:pPr>
      <w:r>
        <w:rPr>
          <w:bCs/>
          <w:b/>
        </w:rPr>
        <w:t xml:space="preserve">Severity: Low-Medium.</w:t>
      </w:r>
      <w:r>
        <w:t xml:space="preserve"> </w:t>
      </w:r>
      <w:r>
        <w:t xml:space="preserve">The paper already discloses that ResNet-18</w:t>
      </w:r>
      <w:r>
        <w:t xml:space="preserve"> </w:t>
      </w:r>
      <w:r>
        <w:t xml:space="preserve">static convolutions used PyTorch’s default initialisation and the bank</w:t>
      </w:r>
      <w:r>
        <w:t xml:space="preserve"> </w:t>
      </w:r>
      <w:r>
        <w:t xml:space="preserve">used Kaiming-normal, so the ResNet-18 bank term mixes two effects.</w:t>
      </w:r>
    </w:p>
    <w:p>
      <w:pPr>
        <w:pStyle w:val="BodyText"/>
      </w:pPr>
      <w:r>
        <w:rPr>
          <w:bCs/>
          <w:b/>
        </w:rPr>
        <w:t xml:space="preserve">The answer.</w:t>
      </w:r>
      <w:r>
        <w:t xml:space="preserve"> </w:t>
      </w:r>
      <w:r>
        <w:t xml:space="preserve">The routing term is unaffected (both arms have the same</w:t>
      </w:r>
      <w:r>
        <w:t xml:space="preserve"> </w:t>
      </w:r>
      <w:r>
        <w:t xml:space="preserve">bank initialisation), and MobileNetV2 and VGG-16, which share one</w:t>
      </w:r>
      <w:r>
        <w:t xml:space="preserve"> </w:t>
      </w:r>
      <w:r>
        <w:t xml:space="preserve">initialisation, give the same bank result.</w:t>
      </w:r>
    </w:p>
    <w:p>
      <w:pPr>
        <w:pStyle w:val="BodyText"/>
      </w:pPr>
      <w:r>
        <w:rPr>
          <w:bCs/>
          <w:b/>
        </w:rPr>
        <w:t xml:space="preserve">Experiment that removes it.</w:t>
      </w:r>
      <w:r>
        <w:t xml:space="preserve"> </w:t>
      </w:r>
      <w:r>
        <w:t xml:space="preserve">Rerun the five ResNet-18</w:t>
      </w:r>
      <w:r>
        <w:t xml:space="preserve"> </w:t>
      </w:r>
      <w:r>
        <w:rPr>
          <w:rStyle w:val="VerbatimChar"/>
        </w:rPr>
        <w:t xml:space="preserve">static</w:t>
      </w:r>
      <w:r>
        <w:t xml:space="preserve"> </w:t>
      </w:r>
      <w:r>
        <w:t xml:space="preserve">groups</w:t>
      </w:r>
      <w:r>
        <w:t xml:space="preserve"> </w:t>
      </w:r>
      <w:r>
        <w:t xml:space="preserve">with Kaiming-normal (30 runs, about 22 GPU-hours). Report both versions.</w:t>
      </w:r>
    </w:p>
    <w:bookmarkEnd w:id="31"/>
    <w:bookmarkStart w:id="32" w:name="the-pre-registration-cannot-be-verified"/>
    <w:p>
      <w:pPr>
        <w:pStyle w:val="Heading1"/>
      </w:pPr>
      <w:r>
        <w:t xml:space="preserve">11.</w:t>
      </w:r>
      <w:r>
        <w:t xml:space="preserve"> </w:t>
      </w:r>
      <w:r>
        <w:t xml:space="preserve">“</w:t>
      </w:r>
      <w:r>
        <w:t xml:space="preserve">The pre-registration cannot be verified</w:t>
      </w:r>
      <w:r>
        <w:t xml:space="preserve">”</w:t>
      </w:r>
    </w:p>
    <w:p>
      <w:pPr>
        <w:pStyle w:val="FirstParagraph"/>
      </w:pPr>
      <w:r>
        <w:rPr>
          <w:bCs/>
          <w:b/>
        </w:rPr>
        <w:t xml:space="preserve">Severity: Medium.</w:t>
      </w:r>
      <w:r>
        <w:t xml:space="preserve"> </w:t>
      </w:r>
      <w:r>
        <w:t xml:space="preserve">The predictions are dated documents in your own</w:t>
      </w:r>
      <w:r>
        <w:t xml:space="preserve"> </w:t>
      </w:r>
      <w:r>
        <w:t xml:space="preserve">repository. A reviewer cannot tell they were written before the runs, and</w:t>
      </w:r>
      <w:r>
        <w:t xml:space="preserve"> </w:t>
      </w:r>
      <w:r>
        <w:t xml:space="preserve">the repository’s commit history starts on 17 October.</w:t>
      </w:r>
    </w:p>
    <w:p>
      <w:pPr>
        <w:pStyle w:val="BodyText"/>
      </w:pPr>
      <w:r>
        <w:rPr>
          <w:bCs/>
          <w:b/>
        </w:rPr>
        <w:t xml:space="preserve">What to do now.</w:t>
      </w:r>
      <w:r>
        <w:t xml:space="preserve"> </w:t>
      </w:r>
      <w:r>
        <w:t xml:space="preserve">ResNet-50 and ConvNeXt-Tiny are still running. Upload</w:t>
      </w:r>
      <w:r>
        <w:t xml:space="preserve"> </w:t>
      </w:r>
      <w:r>
        <w:t xml:space="preserve">their predictions (P1 to P3 and the gates, copied from</w:t>
      </w:r>
      <w:r>
        <w:t xml:space="preserve"> </w:t>
      </w:r>
      <w:r>
        <w:rPr>
          <w:rStyle w:val="VerbatimChar"/>
        </w:rPr>
        <w:t xml:space="preserve">PREREGISTRATION_MODELS.md</w:t>
      </w:r>
      <w:r>
        <w:t xml:space="preserve">) to OSF Registries or AsPredicted today,</w:t>
      </w:r>
      <w:r>
        <w:t xml:space="preserve"> </w:t>
      </w:r>
      <w:r>
        <w:t xml:space="preserve">before their results exist. That gives two backbones with independently</w:t>
      </w:r>
      <w:r>
        <w:t xml:space="preserve"> </w:t>
      </w:r>
      <w:r>
        <w:t xml:space="preserve">time-stamped predictions. For the three finished backbones, say plainly</w:t>
      </w:r>
      <w:r>
        <w:t xml:space="preserve"> </w:t>
      </w:r>
      <w:r>
        <w:t xml:space="preserve">that the predictions were recorded in dated documents, not in a public</w:t>
      </w:r>
      <w:r>
        <w:t xml:space="preserve"> </w:t>
      </w:r>
      <w:r>
        <w:t xml:space="preserve">registry.</w:t>
      </w:r>
    </w:p>
    <w:p>
      <w:pPr>
        <w:pStyle w:val="BodyText"/>
      </w:pPr>
      <w:r>
        <w:rPr>
          <w:bCs/>
          <w:b/>
        </w:rPr>
        <w:t xml:space="preserve">Rebuttal text.</w:t>
      </w:r>
    </w:p>
    <w:p>
      <w:pPr>
        <w:pStyle w:val="BlockText"/>
      </w:pPr>
      <w:r>
        <w:t xml:space="preserve">For ResNet-18, MobileNetV2 and VGG-16 the predictions were recorded in</w:t>
      </w:r>
      <w:r>
        <w:t xml:space="preserve"> </w:t>
      </w:r>
      <w:r>
        <w:t xml:space="preserve">dated documents in the project repository; for ResNet-50 and</w:t>
      </w:r>
      <w:r>
        <w:t xml:space="preserve"> </w:t>
      </w:r>
      <w:r>
        <w:t xml:space="preserve">ConvNeXt-Tiny they were registered publicly (OSF, link) before any of</w:t>
      </w:r>
      <w:r>
        <w:t xml:space="preserve"> </w:t>
      </w:r>
      <w:r>
        <w:t xml:space="preserve">their runs finished.</w:t>
      </w:r>
    </w:p>
    <w:bookmarkEnd w:id="32"/>
    <w:bookmarkStart w:id="33" w:name="the-0.5-pp-margin-is-arbitrary"/>
    <w:p>
      <w:pPr>
        <w:pStyle w:val="Heading1"/>
      </w:pPr>
      <w:r>
        <w:t xml:space="preserve">12.</w:t>
      </w:r>
      <w:r>
        <w:t xml:space="preserve"> </w:t>
      </w:r>
      <w:r>
        <w:t xml:space="preserve">“</w:t>
      </w:r>
      <w:r>
        <w:t xml:space="preserve">The ±0.5 pp margin is arbitrary</w:t>
      </w:r>
      <w:r>
        <w:t xml:space="preserve">”</w:t>
      </w:r>
    </w:p>
    <w:p>
      <w:pPr>
        <w:pStyle w:val="FirstParagraph"/>
      </w:pPr>
      <w:r>
        <w:rPr>
          <w:bCs/>
          <w:b/>
        </w:rPr>
        <w:t xml:space="preserve">Severity: Low-Medium.</w:t>
      </w:r>
      <w:r>
        <w:t xml:space="preserve"> </w:t>
      </w:r>
      <w:r>
        <w:t xml:space="preserve">The paper admits the pre-registration gave no</w:t>
      </w:r>
      <w:r>
        <w:t xml:space="preserve"> </w:t>
      </w:r>
      <w:r>
        <w:t xml:space="preserve">source for 0.5 pp.</w:t>
      </w:r>
    </w:p>
    <w:p>
      <w:pPr>
        <w:pStyle w:val="BodyText"/>
      </w:pPr>
      <w:r>
        <w:rPr>
          <w:bCs/>
          <w:b/>
        </w:rPr>
        <w:t xml:space="preserve">The answer.</w:t>
      </w:r>
      <w:r>
        <w:t xml:space="preserve"> </w:t>
      </w:r>
      <w:r>
        <w:t xml:space="preserve">Report the margin sensitivity (computed for this</w:t>
      </w:r>
      <w:r>
        <w:t xml:space="preserve"> </w:t>
      </w:r>
      <w:r>
        <w:t xml:space="preserve">document): per-pair bank equivalences are 0, 9, 14 and 14 of 15 at</w:t>
      </w:r>
      <w:r>
        <w:t xml:space="preserve"> </w:t>
      </w:r>
      <w:r>
        <w:t xml:space="preserve">margins of 0.25, 0.5, 0.75 and 1.0 pp. The pooled estimate is equivalent</w:t>
      </w:r>
      <w:r>
        <w:t xml:space="preserve"> </w:t>
      </w:r>
      <w:r>
        <w:t xml:space="preserve">at 0.1 pp. No conclusion depends on the choice of 0.5 pp in the direction</w:t>
      </w:r>
      <w:r>
        <w:t xml:space="preserve"> </w:t>
      </w:r>
      <w:r>
        <w:t xml:space="preserve">of favouring the claim: a looser margin only strengthens finding 1.</w:t>
      </w:r>
    </w:p>
    <w:bookmarkEnd w:id="33"/>
    <w:bookmarkStart w:id="34" w:name="Xd9b4e56bb5eea772f3257ffeb6bb0b3d4dcfa59"/>
    <w:p>
      <w:pPr>
        <w:pStyle w:val="Heading1"/>
      </w:pPr>
      <w:r>
        <w:t xml:space="preserve">13.</w:t>
      </w:r>
      <w:r>
        <w:t xml:space="preserve"> </w:t>
      </w:r>
      <w:r>
        <w:t xml:space="preserve">“</w:t>
      </w:r>
      <w:r>
        <w:t xml:space="preserve">One recipe for all backbones; MobileNetV2 underfits</w:t>
      </w:r>
      <w:r>
        <w:t xml:space="preserve">”</w:t>
      </w:r>
    </w:p>
    <w:p>
      <w:pPr>
        <w:pStyle w:val="FirstParagraph"/>
      </w:pPr>
      <w:r>
        <w:rPr>
          <w:bCs/>
          <w:b/>
        </w:rPr>
        <w:t xml:space="preserve">Severity: Low-Medium.</w:t>
      </w:r>
    </w:p>
    <w:p>
      <w:pPr>
        <w:pStyle w:val="BodyText"/>
      </w:pPr>
      <w:r>
        <w:rPr>
          <w:bCs/>
          <w:b/>
        </w:rPr>
        <w:t xml:space="preserve">The answer.</w:t>
      </w:r>
      <w:r>
        <w:t xml:space="preserve"> </w:t>
      </w:r>
      <w:r>
        <w:t xml:space="preserve">The recipe is fixed on purpose so that a difference</w:t>
      </w:r>
      <w:r>
        <w:t xml:space="preserve"> </w:t>
      </w:r>
      <w:r>
        <w:t xml:space="preserve">between backbones cannot come from tuning. The plain baselines are in a</w:t>
      </w:r>
      <w:r>
        <w:t xml:space="preserve"> </w:t>
      </w:r>
      <w:r>
        <w:t xml:space="preserve">normal range for CIFAR-100: ResNet-18 78.34 %, VGG-16 74.81 %, MobileNetV2</w:t>
      </w:r>
      <w:r>
        <w:t xml:space="preserve"> </w:t>
      </w:r>
      <w:r>
        <w:t xml:space="preserve">72.40 % at width 64. The paper already says a MobileNetV2-specific recipe</w:t>
      </w:r>
      <w:r>
        <w:t xml:space="preserve"> </w:t>
      </w:r>
      <w:r>
        <w:t xml:space="preserve">could change where routing helps.</w:t>
      </w:r>
    </w:p>
    <w:bookmarkEnd w:id="34"/>
    <w:bookmarkStart w:id="35" w:name="equal-compute-is-counted-not-measured"/>
    <w:p>
      <w:pPr>
        <w:pStyle w:val="Heading1"/>
      </w:pPr>
      <w:r>
        <w:t xml:space="preserve">14.</w:t>
      </w:r>
      <w:r>
        <w:t xml:space="preserve"> </w:t>
      </w:r>
      <w:r>
        <w:t xml:space="preserve">“</w:t>
      </w:r>
      <w:r>
        <w:t xml:space="preserve">Equal compute is counted, not measured</w:t>
      </w:r>
      <w:r>
        <w:t xml:space="preserve">”</w:t>
      </w:r>
    </w:p>
    <w:p>
      <w:pPr>
        <w:pStyle w:val="FirstParagraph"/>
      </w:pPr>
      <w:r>
        <w:rPr>
          <w:bCs/>
          <w:b/>
        </w:rPr>
        <w:t xml:space="preserve">Severity: Low-Medium.</w:t>
      </w:r>
      <w:r>
        <w:t xml:space="preserve"> </w:t>
      </w:r>
      <w:r>
        <w:t xml:space="preserve">The +8 / +2 / +19 % MACs are counted for an</w:t>
      </w:r>
      <w:r>
        <w:t xml:space="preserve"> </w:t>
      </w:r>
      <w:r>
        <w:t xml:space="preserve">implementation that mixes the kernel per sample; the training code uses a</w:t>
      </w:r>
      <w:r>
        <w:t xml:space="preserve"> </w:t>
      </w:r>
      <w:r>
        <w:t xml:space="preserve">different, slower implementation.</w:t>
      </w:r>
    </w:p>
    <w:p>
      <w:pPr>
        <w:pStyle w:val="BodyText"/>
      </w:pPr>
      <w:r>
        <w:rPr>
          <w:bCs/>
          <w:b/>
        </w:rPr>
        <w:t xml:space="preserve">What to do.</w:t>
      </w:r>
      <w:r>
        <w:t xml:space="preserve"> </w:t>
      </w:r>
      <w:r>
        <w:t xml:space="preserve">Measure inference latency of the per-sample (</w:t>
      </w:r>
      <w:r>
        <w:rPr>
          <w:rStyle w:val="VerbatimChar"/>
        </w:rPr>
        <w:t xml:space="preserve">combine</w:t>
      </w:r>
      <w:r>
        <w:t xml:space="preserve">)</w:t>
      </w:r>
      <w:r>
        <w:t xml:space="preserve"> </w:t>
      </w:r>
      <w:r>
        <w:t xml:space="preserve">path against the plain network for one width per backbone, batch 1 and</w:t>
      </w:r>
      <w:r>
        <w:t xml:space="preserve"> </w:t>
      </w:r>
      <w:r>
        <w:t xml:space="preserve">batch 128, on the RTX 4070 Ti. About one hour. Report it beside the MAC</w:t>
      </w:r>
      <w:r>
        <w:t xml:space="preserve"> </w:t>
      </w:r>
      <w:r>
        <w:t xml:space="preserve">ratio. DY-Conv reports MAdds, so counted MACs are the accepted measure,</w:t>
      </w:r>
      <w:r>
        <w:t xml:space="preserve"> </w:t>
      </w:r>
      <w:r>
        <w:t xml:space="preserve">but a measured number pre-empts the objection.</w:t>
      </w:r>
    </w:p>
    <w:bookmarkEnd w:id="35"/>
    <w:bookmarkStart w:id="36" w:name="Xd2bbb6c15684181ae33b57c046f582683ed5bc7"/>
    <w:p>
      <w:pPr>
        <w:pStyle w:val="Heading1"/>
      </w:pPr>
      <w:r>
        <w:t xml:space="preserve">15.</w:t>
      </w:r>
      <w:r>
        <w:t xml:space="preserve"> </w:t>
      </w:r>
      <w:r>
        <w:t xml:space="preserve">“</w:t>
      </w:r>
      <w:r>
        <w:t xml:space="preserve">Your annealing result contradicts DY-Conv</w:t>
      </w:r>
      <w:r>
        <w:t xml:space="preserve">”</w:t>
      </w:r>
    </w:p>
    <w:p>
      <w:pPr>
        <w:pStyle w:val="FirstParagraph"/>
      </w:pPr>
      <w:r>
        <w:rPr>
          <w:bCs/>
          <w:b/>
        </w:rPr>
        <w:t xml:space="preserve">Severity: Low.</w:t>
      </w:r>
    </w:p>
    <w:p>
      <w:pPr>
        <w:pStyle w:val="BodyText"/>
      </w:pPr>
      <w:r>
        <w:rPr>
          <w:bCs/>
          <w:b/>
        </w:rPr>
        <w:t xml:space="preserve">The answer.</w:t>
      </w:r>
      <w:r>
        <w:t xml:space="preserve"> </w:t>
      </w:r>
      <w:r>
        <w:t xml:space="preserve">DY-Conv’s own Table 6: annealing improves 69.4 % to</w:t>
      </w:r>
      <w:r>
        <w:t xml:space="preserve"> </w:t>
      </w:r>
      <w:r>
        <w:t xml:space="preserve">69.9 % (+0.5 pp) in a single run, with no seed variance reported. In the</w:t>
      </w:r>
      <w:r>
        <w:t xml:space="preserve"> </w:t>
      </w:r>
      <w:r>
        <w:t xml:space="preserve">same table a constant τ = 1 is</w:t>
      </w:r>
      <w:r>
        <w:t xml:space="preserve"> </w:t>
      </w:r>
      <w:r>
        <w:rPr>
          <w:iCs/>
          <w:i/>
        </w:rPr>
        <w:t xml:space="preserve">below</w:t>
      </w:r>
      <w:r>
        <w:t xml:space="preserve"> </w:t>
      </w:r>
      <w:r>
        <w:t xml:space="preserve">the static network (64.8 % against</w:t>
      </w:r>
      <w:r>
        <w:t xml:space="preserve"> </w:t>
      </w:r>
      <w:r>
        <w:t xml:space="preserve">65.4 %), whereas our τ = 1 routed networks beat the plain network in 13 of</w:t>
      </w:r>
      <w:r>
        <w:t xml:space="preserve"> </w:t>
      </w:r>
      <w:r>
        <w:t xml:space="preserve">15 pairs. Our annealing result is six paired seeds per condition on nine</w:t>
      </w:r>
      <w:r>
        <w:t xml:space="preserve"> </w:t>
      </w:r>
      <w:r>
        <w:t xml:space="preserve">conditions. The paper already says the settings differ (backbone, dataset,</w:t>
      </w:r>
      <w:r>
        <w:t xml:space="preserve"> </w:t>
      </w:r>
      <w:r>
        <w:t xml:space="preserve">bank size, schedule length) and does not claim DY-Conv is wrong.</w:t>
      </w:r>
    </w:p>
    <w:bookmarkEnd w:id="36"/>
    <w:bookmarkStart w:id="37" w:name="the-ablations-were-run-on-cifar-100-only"/>
    <w:p>
      <w:pPr>
        <w:pStyle w:val="Heading1"/>
      </w:pPr>
      <w:r>
        <w:t xml:space="preserve">16.</w:t>
      </w:r>
      <w:r>
        <w:t xml:space="preserve"> </w:t>
      </w:r>
      <w:r>
        <w:t xml:space="preserve">“</w:t>
      </w:r>
      <w:r>
        <w:t xml:space="preserve">The ablations were run on CIFAR-100 only</w:t>
      </w:r>
      <w:r>
        <w:t xml:space="preserve">”</w:t>
      </w:r>
    </w:p>
    <w:p>
      <w:pPr>
        <w:pStyle w:val="FirstParagraph"/>
      </w:pPr>
      <w:r>
        <w:rPr>
          <w:bCs/>
          <w:b/>
        </w:rPr>
        <w:t xml:space="preserve">Severity: Low-Medium.</w:t>
      </w:r>
      <w:r>
        <w:t xml:space="preserve"> </w:t>
      </w:r>
      <w:r>
        <w:t xml:space="preserve">Already addressed in the paper (Threats: Scope</w:t>
      </w:r>
      <w:r>
        <w:t xml:space="preserve"> </w:t>
      </w:r>
      <w:r>
        <w:t xml:space="preserve">of the ablations, with measured cost ratios of 4 to 10 times).</w:t>
      </w:r>
    </w:p>
    <w:p>
      <w:pPr>
        <w:pStyle w:val="BodyText"/>
      </w:pPr>
      <w:r>
        <w:rPr>
          <w:bCs/>
          <w:b/>
        </w:rPr>
        <w:t xml:space="preserve">Optional experiment.</w:t>
      </w:r>
      <w:r>
        <w:t xml:space="preserve"> </w:t>
      </w:r>
      <w:r>
        <w:t xml:space="preserve">If one is affordable, the most valuable is the</w:t>
      </w:r>
      <w:r>
        <w:t xml:space="preserve"> </w:t>
      </w:r>
      <w:r>
        <w:t xml:space="preserve">routing controls (</w:t>
      </w:r>
      <w:r>
        <w:rPr>
          <w:rStyle w:val="VerbatimChar"/>
        </w:rPr>
        <w:t xml:space="preserve">shuffled</w:t>
      </w:r>
      <w:r>
        <w:t xml:space="preserve">,</w:t>
      </w:r>
      <w:r>
        <w:t xml:space="preserve"> </w:t>
      </w:r>
      <w:r>
        <w:rPr>
          <w:rStyle w:val="VerbatimChar"/>
        </w:rPr>
        <w:t xml:space="preserve">frozen_random</w:t>
      </w:r>
      <w:r>
        <w:t xml:space="preserve">) on Tiny-ImageNet width 32</w:t>
      </w:r>
      <w:r>
        <w:t xml:space="preserve"> </w:t>
      </w:r>
      <w:r>
        <w:t xml:space="preserve">for ResNet-18, where routing has its largest effect (+2.2 pp): 12 runs,</w:t>
      </w:r>
      <w:r>
        <w:t xml:space="preserve"> </w:t>
      </w:r>
      <w:r>
        <w:t xml:space="preserve">about 57 GPU-hours. It makes finding 3 testable on ResNet-18, where it is</w:t>
      </w:r>
      <w:r>
        <w:t xml:space="preserve"> </w:t>
      </w:r>
      <w:r>
        <w:t xml:space="preserve">currently uninformative.</w:t>
      </w:r>
    </w:p>
    <w:bookmarkEnd w:id="37"/>
    <w:bookmarkStart w:id="38" w:name="X77ccf1bc04f9bcf1ba383dc0eddcb09883dcaaf"/>
    <w:p>
      <w:pPr>
        <w:pStyle w:val="Heading1"/>
      </w:pPr>
      <w:r>
        <w:t xml:space="preserve">17.</w:t>
      </w:r>
      <w:r>
        <w:t xml:space="preserve"> </w:t>
      </w:r>
      <w:r>
        <w:t xml:space="preserve">“</w:t>
      </w:r>
      <w:r>
        <w:t xml:space="preserve">Results were transcribed from logs; result files are missing</w:t>
      </w:r>
      <w:r>
        <w:t xml:space="preserve">”</w:t>
      </w:r>
    </w:p>
    <w:p>
      <w:pPr>
        <w:pStyle w:val="FirstParagraph"/>
      </w:pPr>
      <w:r>
        <w:rPr>
          <w:bCs/>
          <w:b/>
        </w:rPr>
        <w:t xml:space="preserve">Severity: Medium.</w:t>
      </w:r>
      <w:r>
        <w:t xml:space="preserve"> </w:t>
      </w:r>
      <w:r>
        <w:t xml:space="preserve">The archive has the result files for MobileNetV2</w:t>
      </w:r>
      <w:r>
        <w:t xml:space="preserve"> </w:t>
      </w:r>
      <w:r>
        <w:t xml:space="preserve">(132) and ResNet-18 CIFAR-100 width 64 (24) only. The other 108 ResNet-18</w:t>
      </w:r>
      <w:r>
        <w:t xml:space="preserve"> </w:t>
      </w:r>
      <w:r>
        <w:t xml:space="preserve">runs and all 132 VGG-16 runs are represented by their logs.</w:t>
      </w:r>
    </w:p>
    <w:p>
      <w:pPr>
        <w:pStyle w:val="BodyText"/>
      </w:pPr>
      <w:r>
        <w:rPr>
          <w:bCs/>
          <w:b/>
        </w:rPr>
        <w:t xml:space="preserve">What to do.</w:t>
      </w:r>
      <w:r>
        <w:t xml:space="preserve"> </w:t>
      </w:r>
      <w:r>
        <w:t xml:space="preserve">Copy the full</w:t>
      </w:r>
      <w:r>
        <w:t xml:space="preserve"> </w:t>
      </w:r>
      <w:r>
        <w:rPr>
          <w:rStyle w:val="VerbatimChar"/>
        </w:rPr>
        <w:t xml:space="preserve">results\</w:t>
      </w:r>
      <w:r>
        <w:t xml:space="preserve"> </w:t>
      </w:r>
      <w:r>
        <w:t xml:space="preserve">(ResNet-18) and</w:t>
      </w:r>
      <w:r>
        <w:t xml:space="preserve"> </w:t>
      </w:r>
      <w:r>
        <w:rPr>
          <w:rStyle w:val="VerbatimChar"/>
        </w:rPr>
        <w:t xml:space="preserve">results_models\vgg16\</w:t>
      </w:r>
      <w:r>
        <w:t xml:space="preserve"> </w:t>
      </w:r>
      <w:r>
        <w:t xml:space="preserve">folders from the training PC into the archive.</w:t>
      </w:r>
      <w:r>
        <w:t xml:space="preserve"> </w:t>
      </w:r>
      <w:r>
        <w:t xml:space="preserve">The build already checks every result file against the logs and stops on</w:t>
      </w:r>
      <w:r>
        <w:t xml:space="preserve"> </w:t>
      </w:r>
      <w:r>
        <w:t xml:space="preserve">any mismatch, so this costs nothing and removes the objection entirely.</w:t>
      </w:r>
    </w:p>
    <w:bookmarkEnd w:id="38"/>
    <w:bookmarkStart w:id="39" w:name="format-length-and-venue"/>
    <w:p>
      <w:pPr>
        <w:pStyle w:val="Heading1"/>
      </w:pPr>
      <w:r>
        <w:t xml:space="preserve">18. Format, length and venue</w:t>
      </w:r>
    </w:p>
    <w:p>
      <w:pPr>
        <w:pStyle w:val="FirstParagraph"/>
      </w:pPr>
      <w:r>
        <w:rPr>
          <w:bCs/>
          <w:b/>
        </w:rPr>
        <w:t xml:space="preserve">Severity: Medium.</w:t>
      </w:r>
      <w:r>
        <w:t xml:space="preserve"> </w:t>
      </w:r>
      <w:r>
        <w:t xml:space="preserve">The draft is 30 pages with 37 tables, written as a</w:t>
      </w:r>
      <w:r>
        <w:t xml:space="preserve"> </w:t>
      </w:r>
      <w:r>
        <w:t xml:space="preserve">report. A conference reviewer will see that as unfocused.</w:t>
      </w:r>
    </w:p>
    <w:p>
      <w:pPr>
        <w:pStyle w:val="BodyText"/>
      </w:pPr>
      <w:r>
        <w:rPr>
          <w:bCs/>
          <w:b/>
        </w:rPr>
        <w:t xml:space="preserve">Venue.</w:t>
      </w:r>
      <w:r>
        <w:t xml:space="preserve"> </w:t>
      </w:r>
      <w:r>
        <w:t xml:space="preserve">Transactions on Machine Learning Research (TMLR) fits this</w:t>
      </w:r>
      <w:r>
        <w:t xml:space="preserve"> </w:t>
      </w:r>
      <w:r>
        <w:t xml:space="preserve">paper best. Its acceptance criteria are whether the claims are supported</w:t>
      </w:r>
      <w:r>
        <w:t xml:space="preserve"> </w:t>
      </w:r>
      <w:r>
        <w:t xml:space="preserve">by accurate and convincing evidence and whether some of its audience would</w:t>
      </w:r>
      <w:r>
        <w:t xml:space="preserve"> </w:t>
      </w:r>
      <w:r>
        <w:t xml:space="preserve">be interested; novelty of the method is explicitly not required, and</w:t>
      </w:r>
      <w:r>
        <w:t xml:space="preserve"> </w:t>
      </w:r>
      <w:r>
        <w:t xml:space="preserve">papers are not rejected for lacking</w:t>
      </w:r>
      <w:r>
        <w:t xml:space="preserve"> </w:t>
      </w:r>
      <w:r>
        <w:t xml:space="preserve">“</w:t>
      </w:r>
      <w:r>
        <w:t xml:space="preserve">significant</w:t>
      </w:r>
      <w:r>
        <w:t xml:space="preserve">”</w:t>
      </w:r>
      <w:r>
        <w:t xml:space="preserve"> </w:t>
      </w:r>
      <w:r>
        <w:t xml:space="preserve">results. A careful</w:t>
      </w:r>
      <w:r>
        <w:t xml:space="preserve"> </w:t>
      </w:r>
      <w:r>
        <w:t xml:space="preserve">controlled study with negative and mixed results is exactly what that</w:t>
      </w:r>
      <w:r>
        <w:t xml:space="preserve"> </w:t>
      </w:r>
      <w:r>
        <w:t xml:space="preserve">policy protects. Main-track computer-vision conferences are the hardest</w:t>
      </w:r>
      <w:r>
        <w:t xml:space="preserve"> </w:t>
      </w:r>
      <w:r>
        <w:t xml:space="preserve">fit because of the scale objection.</w:t>
      </w:r>
    </w:p>
    <w:p>
      <w:pPr>
        <w:pStyle w:val="BodyText"/>
      </w:pPr>
      <w:r>
        <w:rPr>
          <w:bCs/>
          <w:b/>
        </w:rPr>
        <w:t xml:space="preserve">Restructure.</w:t>
      </w:r>
      <w:r>
        <w:t xml:space="preserve"> </w:t>
      </w:r>
      <w:r>
        <w:t xml:space="preserve">Main text of about 12 to 15 pages: introduction with the</w:t>
      </w:r>
      <w:r>
        <w:t xml:space="preserve"> </w:t>
      </w:r>
      <w:r>
        <w:t xml:space="preserve">seven findings, method, one section per finding with one figure and at</w:t>
      </w:r>
      <w:r>
        <w:t xml:space="preserve"> </w:t>
      </w:r>
      <w:r>
        <w:t xml:space="preserve">most one table each, practical guidance, threats. Move per-backbone</w:t>
      </w:r>
      <w:r>
        <w:t xml:space="preserve"> </w:t>
      </w:r>
      <w:r>
        <w:t xml:space="preserve">tables, the run inventories and the provenance history to the appendix.</w:t>
      </w:r>
    </w:p>
    <w:bookmarkEnd w:id="39"/>
    <w:bookmarkStart w:id="40" w:name="six-seeds-is-small"/>
    <w:p>
      <w:pPr>
        <w:pStyle w:val="Heading1"/>
      </w:pPr>
      <w:r>
        <w:t xml:space="preserve">19.</w:t>
      </w:r>
      <w:r>
        <w:t xml:space="preserve"> </w:t>
      </w:r>
      <w:r>
        <w:t xml:space="preserve">“</w:t>
      </w:r>
      <w:r>
        <w:t xml:space="preserve">Six seeds is small</w:t>
      </w:r>
      <w:r>
        <w:t xml:space="preserve">”</w:t>
      </w:r>
    </w:p>
    <w:p>
      <w:pPr>
        <w:pStyle w:val="FirstParagraph"/>
      </w:pPr>
      <w:r>
        <w:rPr>
          <w:bCs/>
          <w:b/>
        </w:rPr>
        <w:t xml:space="preserve">Severity: Low.</w:t>
      </w:r>
      <w:r>
        <w:t xml:space="preserve"> </w:t>
      </w:r>
      <w:r>
        <w:t xml:space="preserve">The paper already reports a power analysis: minimum</w:t>
      </w:r>
      <w:r>
        <w:t xml:space="preserve"> </w:t>
      </w:r>
      <w:r>
        <w:t xml:space="preserve">detectable routing term 0.27 pp at n = 6; power 96 % at 0.5 pp. Six is</w:t>
      </w:r>
      <w:r>
        <w:t xml:space="preserve"> </w:t>
      </w:r>
      <w:r>
        <w:t xml:space="preserve">also the smallest n at which the Wilcoxon test can reach p &lt; 0.05.</w:t>
      </w:r>
    </w:p>
    <w:bookmarkEnd w:id="40"/>
    <w:bookmarkStart w:id="41" w:name="cnns-only"/>
    <w:p>
      <w:pPr>
        <w:pStyle w:val="Heading1"/>
      </w:pPr>
      <w:r>
        <w:t xml:space="preserve">20.</w:t>
      </w:r>
      <w:r>
        <w:t xml:space="preserve"> </w:t>
      </w:r>
      <w:r>
        <w:t xml:space="preserve">“</w:t>
      </w:r>
      <w:r>
        <w:t xml:space="preserve">CNNs only</w:t>
      </w:r>
      <w:r>
        <w:t xml:space="preserve">”</w:t>
      </w:r>
    </w:p>
    <w:p>
      <w:pPr>
        <w:pStyle w:val="FirstParagraph"/>
      </w:pPr>
      <w:r>
        <w:rPr>
          <w:bCs/>
          <w:b/>
        </w:rPr>
        <w:t xml:space="preserve">Severity: Low-Medium.</w:t>
      </w:r>
      <w:r>
        <w:t xml:space="preserve"> </w:t>
      </w:r>
      <w:r>
        <w:t xml:space="preserve">Dynamic convolution is a convolutional layer,</w:t>
      </w:r>
      <w:r>
        <w:t xml:space="preserve"> </w:t>
      </w:r>
      <w:r>
        <w:t xml:space="preserve">and the backbones cover residual, plain (VGG-16), depthwise (MobileNetV2)</w:t>
      </w:r>
      <w:r>
        <w:t xml:space="preserve"> </w:t>
      </w:r>
      <w:r>
        <w:t xml:space="preserve">and, when finished, bottleneck (ResNet-50) and ConvNeXt designs. State</w:t>
      </w:r>
      <w:r>
        <w:t xml:space="preserve"> </w:t>
      </w:r>
      <w:r>
        <w:t xml:space="preserve">that dynamic attention in transformers and downstream tasks (detection,</w:t>
      </w:r>
      <w:r>
        <w:t xml:space="preserve"> </w:t>
      </w:r>
      <w:r>
        <w:t xml:space="preserve">segmentation) are out of scope.</w:t>
      </w:r>
    </w:p>
    <w:bookmarkEnd w:id="41"/>
    <w:bookmarkStart w:id="42" w:name="action-plan-before-submission"/>
    <w:p>
      <w:pPr>
        <w:pStyle w:val="Heading1"/>
      </w:pPr>
      <w:r>
        <w:t xml:space="preserve">Action plan before submission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A0A0A0"/>
          <w:bottom w:val="single" w:sz="4" w:color="A0A0A0"/>
          <w:insideH w:val="single" w:sz="4" w:color="A0A0A0"/>
          <w:insideV w:val="single" w:sz="4" w:color="A0A0A0"/>
          <w:left w:val="single" w:sz="4" w:color="A0A0A0"/>
          <w:right w:val="single" w:sz="4" w:color="A0A0A0"/>
        </w:tblBorders>
        <w:tblW w:w="9398" w:type="dxa"/>
        <w:tblLayout w:type="fixed"/>
      </w:tblPr>
      <w:tblGrid>
        <w:gridCol w:w="1701"/>
        <w:gridCol w:w="5203"/>
        <w:gridCol w:w="1156"/>
        <w:gridCol w:w="1338"/>
      </w:tblGrid>
      <w:tr>
        <w:trPr>
          <w:tblHeader w:val="true"/>
        </w:trPr>
        <w:tc>
          <w:tcPr>
            <w:tcW w:w="1701" w:type="dxa"/>
          </w:tcPr>
          <w:p>
            <w:pPr>
              <w:pStyle w:val="Compact"/>
              <w:spacing w:after="20"/>
              <w:jc w:val="left"/>
            </w:pPr>
            <w:r>
              <w:rPr>
                <w:b/>
                <w:sz w:val="18"/>
              </w:rPr>
              <w:t xml:space="preserve">Priority</w:t>
            </w:r>
          </w:p>
        </w:tc>
        <w:tc>
          <w:tcPr>
            <w:tcW w:w="5203" w:type="dxa"/>
          </w:tcPr>
          <w:p>
            <w:pPr>
              <w:pStyle w:val="Compact"/>
              <w:spacing w:after="20"/>
              <w:jc w:val="left"/>
            </w:pPr>
            <w:r>
              <w:rPr>
                <w:b/>
                <w:sz w:val="18"/>
              </w:rPr>
              <w:t xml:space="preserve">Action</w:t>
            </w:r>
          </w:p>
        </w:tc>
        <w:tc>
          <w:tcPr>
            <w:tcW w:w="1156" w:type="dxa"/>
          </w:tcPr>
          <w:p>
            <w:pPr>
              <w:pStyle w:val="Compact"/>
              <w:spacing w:after="20"/>
              <w:jc w:val="left"/>
            </w:pPr>
            <w:r>
              <w:rPr>
                <w:b/>
                <w:sz w:val="18"/>
              </w:rPr>
              <w:t xml:space="preserve">GPU time</w:t>
            </w:r>
          </w:p>
        </w:tc>
        <w:tc>
          <w:tcPr>
            <w:tcW w:w="1338" w:type="dxa"/>
          </w:tcPr>
          <w:p>
            <w:pPr>
              <w:pStyle w:val="Compact"/>
              <w:spacing w:after="20"/>
              <w:jc w:val="left"/>
            </w:pPr>
            <w:r>
              <w:rPr>
                <w:b/>
                <w:sz w:val="18"/>
              </w:rPr>
              <w:t xml:space="preserve">Closes</w:t>
            </w:r>
          </w:p>
        </w:tc>
      </w:tr>
      <w:tr>
        <w:tc>
          <w:tcPr>
            <w:tcW w:w="1701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1</w:t>
            </w:r>
          </w:p>
        </w:tc>
        <w:tc>
          <w:tcPr>
            <w:tcW w:w="5203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Add DY-Conv Table 3 and CondConv Section 3 to Related work; cite CondConv for Proposition 1; cite the Han et al. survey</w:t>
            </w:r>
          </w:p>
        </w:tc>
        <w:tc>
          <w:tcPr>
            <w:tcW w:w="1156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38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1</w:t>
            </w:r>
          </w:p>
        </w:tc>
      </w:tr>
      <w:tr>
        <w:tc>
          <w:tcPr>
            <w:tcW w:w="1701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5203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Add the pooled bank and routing estimates, the multiplicity paragraph and the Holm counts</w:t>
            </w:r>
          </w:p>
        </w:tc>
        <w:tc>
          <w:tcPr>
            <w:tcW w:w="1156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38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4, 12</w:t>
            </w:r>
          </w:p>
        </w:tc>
      </w:tr>
      <w:tr>
        <w:tc>
          <w:tcPr>
            <w:tcW w:w="1701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3</w:t>
            </w:r>
          </w:p>
        </w:tc>
        <w:tc>
          <w:tcPr>
            <w:tcW w:w="5203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Add the plain-baseline comparison table and the practical-guidance paragraph</w:t>
            </w:r>
          </w:p>
        </w:tc>
        <w:tc>
          <w:tcPr>
            <w:tcW w:w="1156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38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3, 5</w:t>
            </w:r>
          </w:p>
        </w:tc>
      </w:tr>
      <w:tr>
        <w:tc>
          <w:tcPr>
            <w:tcW w:w="1701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4</w:t>
            </w:r>
          </w:p>
        </w:tc>
        <w:tc>
          <w:tcPr>
            <w:tcW w:w="5203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Upload the ResNet-18 and VGG-16 result folders</w:t>
            </w:r>
          </w:p>
        </w:tc>
        <w:tc>
          <w:tcPr>
            <w:tcW w:w="1156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38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7, 17</w:t>
            </w:r>
          </w:p>
        </w:tc>
      </w:tr>
      <w:tr>
        <w:tc>
          <w:tcPr>
            <w:tcW w:w="1701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5</w:t>
            </w:r>
          </w:p>
        </w:tc>
        <w:tc>
          <w:tcPr>
            <w:tcW w:w="5203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Register the ResNet-50 and ConvNeXt-Tiny predictions on OSF now</w:t>
            </w:r>
          </w:p>
        </w:tc>
        <w:tc>
          <w:tcPr>
            <w:tcW w:w="1156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338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11</w:t>
            </w:r>
          </w:p>
        </w:tc>
      </w:tr>
      <w:tr>
        <w:tc>
          <w:tcPr>
            <w:tcW w:w="1701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6</w:t>
            </w:r>
          </w:p>
        </w:tc>
        <w:tc>
          <w:tcPr>
            <w:tcW w:w="5203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Tiny-ImageNet at 32 × 32, ResNet-18 width 64 (dated prediction first)</w:t>
            </w:r>
          </w:p>
        </w:tc>
        <w:tc>
          <w:tcPr>
            <w:tcW w:w="1156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about 13 h</w:t>
            </w:r>
          </w:p>
        </w:tc>
        <w:tc>
          <w:tcPr>
            <w:tcW w:w="1338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6</w:t>
            </w:r>
          </w:p>
        </w:tc>
      </w:tr>
      <w:tr>
        <w:tc>
          <w:tcPr>
            <w:tcW w:w="1701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7</w:t>
            </w:r>
          </w:p>
        </w:tc>
        <w:tc>
          <w:tcPr>
            <w:tcW w:w="5203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Two more frozen-router draws, MobileNetV2 and VGG-16</w:t>
            </w:r>
          </w:p>
        </w:tc>
        <w:tc>
          <w:tcPr>
            <w:tcW w:w="1156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about 26 h</w:t>
            </w:r>
          </w:p>
        </w:tc>
        <w:tc>
          <w:tcPr>
            <w:tcW w:w="1338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8</w:t>
            </w:r>
          </w:p>
        </w:tc>
      </w:tr>
      <w:tr>
        <w:tc>
          <w:tcPr>
            <w:tcW w:w="1701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8</w:t>
            </w:r>
          </w:p>
        </w:tc>
        <w:tc>
          <w:tcPr>
            <w:tcW w:w="5203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Full-test-set entropy for the two key groups</w:t>
            </w:r>
          </w:p>
        </w:tc>
        <w:tc>
          <w:tcPr>
            <w:tcW w:w="1156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about 25 h</w:t>
            </w:r>
          </w:p>
        </w:tc>
        <w:tc>
          <w:tcPr>
            <w:tcW w:w="1338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7</w:t>
            </w:r>
          </w:p>
        </w:tc>
      </w:tr>
      <w:tr>
        <w:tc>
          <w:tcPr>
            <w:tcW w:w="1701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9</w:t>
            </w:r>
          </w:p>
        </w:tc>
        <w:tc>
          <w:tcPr>
            <w:tcW w:w="5203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ResNet-18 static arms with Kaiming-normal</w:t>
            </w:r>
          </w:p>
        </w:tc>
        <w:tc>
          <w:tcPr>
            <w:tcW w:w="1156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about 22 h</w:t>
            </w:r>
          </w:p>
        </w:tc>
        <w:tc>
          <w:tcPr>
            <w:tcW w:w="1338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10</w:t>
            </w:r>
          </w:p>
        </w:tc>
      </w:tr>
      <w:tr>
        <w:tc>
          <w:tcPr>
            <w:tcW w:w="1701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10</w:t>
            </w:r>
          </w:p>
        </w:tc>
        <w:tc>
          <w:tcPr>
            <w:tcW w:w="5203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Latency measurement of the per-sample path</w:t>
            </w:r>
          </w:p>
        </w:tc>
        <w:tc>
          <w:tcPr>
            <w:tcW w:w="1156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about 1 h</w:t>
            </w:r>
          </w:p>
        </w:tc>
        <w:tc>
          <w:tcPr>
            <w:tcW w:w="1338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14</w:t>
            </w:r>
          </w:p>
        </w:tc>
      </w:tr>
      <w:tr>
        <w:tc>
          <w:tcPr>
            <w:tcW w:w="1701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Optional</w:t>
            </w:r>
          </w:p>
        </w:tc>
        <w:tc>
          <w:tcPr>
            <w:tcW w:w="5203" w:type="dxa"/>
          </w:tcPr>
          <w:p>
            <w:pPr>
              <w:pStyle w:val="Compact"/>
              <w:spacing w:after="20"/>
              <w:jc w:val="left"/>
            </w:pPr>
            <w:r>
              <w:rPr>
                <w:rStyle w:val="VerbatimChar"/>
                <w:sz w:val="18"/>
              </w:rPr>
              <w:t xml:space="preserve">--placement all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on MobileNetV2</w:t>
            </w:r>
          </w:p>
        </w:tc>
        <w:tc>
          <w:tcPr>
            <w:tcW w:w="1156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about 20 h</w:t>
            </w:r>
          </w:p>
        </w:tc>
        <w:tc>
          <w:tcPr>
            <w:tcW w:w="1338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9</w:t>
            </w:r>
          </w:p>
        </w:tc>
      </w:tr>
      <w:tr>
        <w:tc>
          <w:tcPr>
            <w:tcW w:w="1701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Optional</w:t>
            </w:r>
          </w:p>
        </w:tc>
        <w:tc>
          <w:tcPr>
            <w:tcW w:w="5203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Routing controls on Tiny-ImageNet width 32, ResNet-18</w:t>
            </w:r>
          </w:p>
        </w:tc>
        <w:tc>
          <w:tcPr>
            <w:tcW w:w="1156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about 57 h</w:t>
            </w:r>
          </w:p>
        </w:tc>
        <w:tc>
          <w:tcPr>
            <w:tcW w:w="1338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16</w:t>
            </w:r>
          </w:p>
        </w:tc>
      </w:tr>
      <w:tr>
        <w:tc>
          <w:tcPr>
            <w:tcW w:w="1701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Optional</w:t>
            </w:r>
          </w:p>
        </w:tc>
        <w:tc>
          <w:tcPr>
            <w:tcW w:w="5203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ImageNet-100 at 64 pixels, ResNet-18</w:t>
            </w:r>
          </w:p>
        </w:tc>
        <w:tc>
          <w:tcPr>
            <w:tcW w:w="1156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about 120 h</w:t>
            </w:r>
          </w:p>
        </w:tc>
        <w:tc>
          <w:tcPr>
            <w:tcW w:w="1338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18"/>
              </w:rPr>
              <w:t xml:space="preserve">2</w:t>
            </w:r>
          </w:p>
        </w:tc>
      </w:tr>
    </w:tbl>
    <w:p>
      <w:pPr>
        <w:pStyle w:val="BodyText"/>
      </w:pPr>
      <w:r>
        <w:t xml:space="preserve">Items 1 to 5 need no GPU time and address the three objections most</w:t>
      </w:r>
      <w:r>
        <w:t xml:space="preserve"> </w:t>
      </w:r>
      <w:r>
        <w:t xml:space="preserve">likely to reject the paper. Items 6 to 10 together need about 87</w:t>
      </w:r>
      <w:r>
        <w:t xml:space="preserve"> </w:t>
      </w:r>
      <w:r>
        <w:t xml:space="preserve">GPU-hours, under four days on the RTX 4070 Ti, and can run after</w:t>
      </w:r>
      <w:r>
        <w:t xml:space="preserve"> </w:t>
      </w:r>
      <w:r>
        <w:t xml:space="preserve">ResNet-50 and ConvNeXt-Tiny finish. GPU times are scaled from the logged</w:t>
      </w:r>
      <w:r>
        <w:t xml:space="preserve"> </w:t>
      </w:r>
      <w:r>
        <w:t xml:space="preserve">minutes of the same groups and are estimates.</w:t>
      </w:r>
    </w:p>
    <w:bookmarkEnd w:id="42"/>
    <w:bookmarkStart w:id="43" w:name="X71f080e19a28cc3535128ebb2521cd2ea24f8b9"/>
    <w:p>
      <w:pPr>
        <w:pStyle w:val="Heading1"/>
      </w:pPr>
      <w:r>
        <w:t xml:space="preserve">Where the numbers in this document come from</w:t>
      </w:r>
    </w:p>
    <w:p>
      <w:pPr>
        <w:numPr>
          <w:ilvl w:val="0"/>
          <w:numId w:val="1010"/>
        </w:numPr>
        <w:pStyle w:val="Compact"/>
      </w:pPr>
      <w:r>
        <w:t xml:space="preserve">Holm-corrected counts, margin sensitivity and pooled estimates were</w:t>
      </w:r>
      <w:r>
        <w:t xml:space="preserve"> </w:t>
      </w:r>
      <w:r>
        <w:t xml:space="preserve">computed on 22 October 2026 from the same per-seed final accuracies the</w:t>
      </w:r>
      <w:r>
        <w:t xml:space="preserve"> </w:t>
      </w:r>
      <w:r>
        <w:t xml:space="preserve">paper is built on (ResNet-18 from the transcribed values, MobileNetV2</w:t>
      </w:r>
      <w:r>
        <w:t xml:space="preserve"> </w:t>
      </w:r>
      <w:r>
        <w:t xml:space="preserve">and VGG-16 from their training logs), with paired t-tests, TOST at the</w:t>
      </w:r>
      <w:r>
        <w:t xml:space="preserve"> </w:t>
      </w:r>
      <w:r>
        <w:t xml:space="preserve">stated margin, Holm’s step-down procedure over the 15 pairs of each</w:t>
      </w:r>
      <w:r>
        <w:t xml:space="preserve"> </w:t>
      </w:r>
      <w:r>
        <w:t xml:space="preserve">family, and a DerSimonian-Laird random-effects pool of the 15 per-pair</w:t>
      </w:r>
      <w:r>
        <w:t xml:space="preserve"> </w:t>
      </w:r>
      <w:r>
        <w:t xml:space="preserve">mean differences.</w:t>
      </w:r>
    </w:p>
    <w:p>
      <w:pPr>
        <w:numPr>
          <w:ilvl w:val="0"/>
          <w:numId w:val="1010"/>
        </w:numPr>
        <w:pStyle w:val="Compact"/>
      </w:pPr>
      <w:r>
        <w:t xml:space="preserve">DY-Conv numbers: Chen et al.,</w:t>
      </w:r>
      <w:r>
        <w:t xml:space="preserve"> </w:t>
      </w:r>
      <w:r>
        <w:rPr>
          <w:iCs/>
          <w:i/>
        </w:rPr>
        <w:t xml:space="preserve">Dynamic Convolution: Attention over</w:t>
      </w:r>
      <w:r>
        <w:rPr>
          <w:iCs/>
          <w:i/>
        </w:rPr>
        <w:t xml:space="preserve"> </w:t>
      </w:r>
      <w:r>
        <w:rPr>
          <w:iCs/>
          <w:i/>
        </w:rPr>
        <w:t xml:space="preserve">Convolution Kernels</w:t>
      </w:r>
      <w:r>
        <w:t xml:space="preserve">, CVPR 2020, Tables 3, 6 and 8</w:t>
      </w:r>
      <w:r>
        <w:t xml:space="preserve"> </w:t>
      </w:r>
      <w:r>
        <w:t xml:space="preserve">(arxiv.org/abs/1912.03458).</w:t>
      </w:r>
    </w:p>
    <w:p>
      <w:pPr>
        <w:numPr>
          <w:ilvl w:val="0"/>
          <w:numId w:val="1010"/>
        </w:numPr>
        <w:pStyle w:val="Compact"/>
      </w:pPr>
      <w:r>
        <w:t xml:space="preserve">CondConv: Yang et al.,</w:t>
      </w:r>
      <w:r>
        <w:t xml:space="preserve"> </w:t>
      </w:r>
      <w:r>
        <w:rPr>
          <w:iCs/>
          <w:i/>
        </w:rPr>
        <w:t xml:space="preserve">CondConv: Conditionally Parameterized</w:t>
      </w:r>
      <w:r>
        <w:rPr>
          <w:iCs/>
          <w:i/>
        </w:rPr>
        <w:t xml:space="preserve"> </w:t>
      </w:r>
      <w:r>
        <w:rPr>
          <w:iCs/>
          <w:i/>
        </w:rPr>
        <w:t xml:space="preserve">Convolutions for Efficient Inference</w:t>
      </w:r>
      <w:r>
        <w:t xml:space="preserve">, NeurIPS 2019, Section 3</w:t>
      </w:r>
      <w:r>
        <w:t xml:space="preserve"> </w:t>
      </w:r>
      <w:r>
        <w:t xml:space="preserve">(arxiv.org/abs/1904.04971).</w:t>
      </w:r>
    </w:p>
    <w:p>
      <w:pPr>
        <w:numPr>
          <w:ilvl w:val="0"/>
          <w:numId w:val="1010"/>
        </w:numPr>
        <w:pStyle w:val="Compact"/>
      </w:pPr>
      <w:r>
        <w:t xml:space="preserve">SD-Conv numbers: He et al.,</w:t>
      </w:r>
      <w:r>
        <w:t xml:space="preserve"> </w:t>
      </w:r>
      <w:r>
        <w:rPr>
          <w:iCs/>
          <w:i/>
        </w:rPr>
        <w:t xml:space="preserve">SD-Conv: Towards the Parameter-Efficiency</w:t>
      </w:r>
      <w:r>
        <w:rPr>
          <w:iCs/>
          <w:i/>
        </w:rPr>
        <w:t xml:space="preserve"> </w:t>
      </w:r>
      <w:r>
        <w:rPr>
          <w:iCs/>
          <w:i/>
        </w:rPr>
        <w:t xml:space="preserve">of Dynamic Convolution</w:t>
      </w:r>
      <w:r>
        <w:t xml:space="preserve">, WACV 2023, Table 1 (arxiv.org/abs/2204.02227).</w:t>
      </w:r>
    </w:p>
    <w:p>
      <w:pPr>
        <w:numPr>
          <w:ilvl w:val="0"/>
          <w:numId w:val="1010"/>
        </w:numPr>
        <w:pStyle w:val="Compact"/>
      </w:pPr>
      <w:r>
        <w:t xml:space="preserve">TMLR acceptance criteria: jmlr.org/tmlr/acceptance-criteria.html.</w:t>
      </w:r>
    </w:p>
    <w:bookmarkEnd w:id="43"/>
    <w:sectPr>
      <w:pgMar w:left="1247" w:right="1247" w:top="1247" w:bottom="124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hAnsi="Calibri"/>
      <w:sz w:val="21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Calibri" w:hAnsi="Calibri"/>
      <w:sz w:val="21"/>
    </w:rPr>
  </w:style>
  <w:style w:customStyle="1" w:styleId="FirstParagraph" w:type="paragraph">
    <w:name w:val="First Paragraph"/>
    <w:basedOn w:val="BodyText"/>
    <w:next w:val="BodyText"/>
    <w:qFormat/>
    <w:rPr>
      <w:rFonts w:ascii="Calibri" w:hAnsi="Calibri"/>
      <w:sz w:val="21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Calibri" w:hAnsi="Calibri"/>
      <w:sz w:val="21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Calibri" w:asciiTheme="majorHAnsi" w:cstheme="majorBidi" w:eastAsiaTheme="majorEastAsia" w:hAnsi="Calibri" w:hAnsiTheme="majorHAnsi"/>
      <w:b/>
      <w:bCs/>
      <w:color w:val="1F3A5F"/>
      <w:sz w:val="40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Calibri" w:hAnsi="Calibri"/>
      <w:color w:val="1F3A5F"/>
      <w:sz w:val="24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Calibri" w:hAnsi="Calibri"/>
      <w:sz w:val="21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KernelRoute: how the paper could be rejected, and how to answer</dc:title>
  <dc:creator/>
  <cp:keywords/>
  <dcterms:created xsi:type="dcterms:W3CDTF">2026-10-21T23:34:59Z</dcterms:created>
  <dcterms:modified xsi:type="dcterms:W3CDTF">2026-10-21T23:34:59Z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Reviewer risk analysis for the three-backbone draft of 21 October 2026</vt:lpwstr>
  </property>
</Properties>
</file>