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1F1F"/>
          <w:sz w:val="34"/>
          <w:szCs w:val="34"/>
        </w:rPr>
        <w:t xml:space="preserve">Conditions Générales de Vente</w:t>
      </w:r>
    </w:p>
    <w:p>
      <w:pPr>
        <w:spacing w:after="80"/>
        <w:jc w:val="center"/>
      </w:pPr>
      <w:r>
        <w:rPr>
          <w:rFonts w:ascii="Calibri" w:cs="Calibri" w:eastAsia="Calibri" w:hAnsi="Calibri"/>
          <w:color w:val="444444"/>
          <w:sz w:val="24"/>
          <w:szCs w:val="24"/>
        </w:rPr>
        <w:t xml:space="preserve">Accompagnement Hyper Fractional</w:t>
      </w:r>
    </w:p>
    <w:p>
      <w:pPr>
        <w:spacing w:after="360"/>
        <w:jc w:val="center"/>
      </w:pPr>
      <w:r>
        <w:rPr>
          <w:rFonts w:ascii="Calibri" w:cs="Calibri" w:eastAsia="Calibri" w:hAnsi="Calibri"/>
          <w:i/>
          <w:iCs/>
          <w:color w:val="666666"/>
          <w:sz w:val="19"/>
          <w:szCs w:val="19"/>
        </w:rPr>
        <w:t xml:space="preserve">Version 2, en vigueur à compter du 2 octobre 2026</w:t>
      </w:r>
    </w:p>
    <w:p>
      <w:pPr>
        <w:spacing w:after="120" w:line="276"/>
        <w:jc w:val="both"/>
      </w:pPr>
      <w:r>
        <w:rPr>
          <w:rFonts w:ascii="Calibri" w:cs="Calibri" w:eastAsia="Calibri" w:hAnsi="Calibri"/>
          <w:sz w:val="21"/>
          <w:szCs w:val="21"/>
        </w:rPr>
        <w:t xml:space="preserve">Les présentes Conditions Générales de Vente (CGV) encadrent la vente de l'accompagnement « Hyper Fractional » proposé par Brice Vinocour, président de la société Dose of Marketing (SASU immatriculée sous le n° 952 536 423 RCS Nanterre), à destination exclusive de professionnels : des freelances, ou des entreprises qui le souscrivent au profit d'un freelance.</w:t>
      </w:r>
    </w:p>
    <w:p>
      <w:pPr>
        <w:keepNext/>
        <w:pBdr>
          <w:bottom w:val="single" w:color="BBBBBB" w:sz="4" w:space="2"/>
        </w:pBdr>
        <w:spacing w:after="100" w:before="280"/>
      </w:pPr>
      <w:r>
        <w:rPr>
          <w:rFonts w:ascii="Calibri" w:cs="Calibri" w:eastAsia="Calibri" w:hAnsi="Calibri"/>
          <w:b/>
          <w:bCs/>
          <w:color w:val="1F1F1F"/>
          <w:sz w:val="22"/>
          <w:szCs w:val="22"/>
        </w:rPr>
        <w:t xml:space="preserve">DÉFINITIONS</w:t>
      </w:r>
    </w:p>
    <w:p>
      <w:pPr>
        <w:spacing w:after="120" w:line="276"/>
        <w:jc w:val="both"/>
      </w:pPr>
      <w:r>
        <w:rPr>
          <w:rFonts w:ascii="Calibri" w:cs="Calibri" w:eastAsia="Calibri" w:hAnsi="Calibri"/>
          <w:sz w:val="21"/>
          <w:szCs w:val="21"/>
        </w:rPr>
        <w:t xml:space="preserve">La « Société » désigne la SASU Dose of Marketing, présidée par Brice Vinocour.</w:t>
      </w:r>
    </w:p>
    <w:p>
      <w:pPr>
        <w:spacing w:after="120" w:line="276"/>
        <w:jc w:val="both"/>
      </w:pPr>
      <w:r>
        <w:rPr>
          <w:rFonts w:ascii="Calibri" w:cs="Calibri" w:eastAsia="Calibri" w:hAnsi="Calibri"/>
          <w:sz w:val="21"/>
          <w:szCs w:val="21"/>
        </w:rPr>
        <w:t xml:space="preserve">Le « Client » est le professionnel, personne physique ou morale, qui commande le Service et en règle le prix.</w:t>
      </w:r>
    </w:p>
    <w:p>
      <w:pPr>
        <w:spacing w:after="120" w:line="276"/>
        <w:jc w:val="both"/>
      </w:pPr>
      <w:r>
        <w:rPr>
          <w:rFonts w:ascii="Calibri" w:cs="Calibri" w:eastAsia="Calibri" w:hAnsi="Calibri"/>
          <w:sz w:val="21"/>
          <w:szCs w:val="21"/>
        </w:rPr>
        <w:t xml:space="preserve">Le « Bénéficiaire » est le freelance qui suit le Service. Sauf mention contraire dans le Devis, le Bénéficiaire est le Client.</w:t>
      </w:r>
    </w:p>
    <w:p>
      <w:pPr>
        <w:spacing w:after="120" w:line="276"/>
        <w:jc w:val="both"/>
      </w:pPr>
      <w:r>
        <w:rPr>
          <w:rFonts w:ascii="Calibri" w:cs="Calibri" w:eastAsia="Calibri" w:hAnsi="Calibri"/>
          <w:sz w:val="21"/>
          <w:szCs w:val="21"/>
        </w:rPr>
        <w:t xml:space="preserve">Le « Service » désigne l'accompagnement « Hyper Fractional » incluant formation, coaching, support écrit, sessions de groupe, suivi individualisé, accès communautaire.</w:t>
      </w:r>
    </w:p>
    <w:p>
      <w:pPr>
        <w:spacing w:after="120" w:line="276"/>
        <w:jc w:val="both"/>
      </w:pPr>
      <w:r>
        <w:rPr>
          <w:rFonts w:ascii="Calibri" w:cs="Calibri" w:eastAsia="Calibri" w:hAnsi="Calibri"/>
          <w:sz w:val="21"/>
          <w:szCs w:val="21"/>
        </w:rPr>
        <w:t xml:space="preserve">La « Commande » est l'acte d'achat du Service. Elle est formée par le paiement accepté ou, lorsqu'un Devis a été émis, par son acceptation écrite par le Client (signature, ou email de bon pour accord).</w:t>
      </w:r>
    </w:p>
    <w:p>
      <w:pPr>
        <w:spacing w:after="120" w:line="276"/>
        <w:jc w:val="both"/>
      </w:pPr>
      <w:r>
        <w:rPr>
          <w:rFonts w:ascii="Calibri" w:cs="Calibri" w:eastAsia="Calibri" w:hAnsi="Calibri"/>
          <w:sz w:val="21"/>
          <w:szCs w:val="21"/>
        </w:rPr>
        <w:t xml:space="preserve">Le « Devis » désigne, le cas échéant, la proposition commerciale émise par la Société pour une Commande donnée.</w:t>
      </w:r>
    </w:p>
    <w:p>
      <w:pPr>
        <w:keepNext/>
        <w:pBdr>
          <w:bottom w:val="single" w:color="BBBBBB" w:sz="4" w:space="2"/>
        </w:pBdr>
        <w:spacing w:after="100" w:before="280"/>
      </w:pPr>
      <w:r>
        <w:rPr>
          <w:rFonts w:ascii="Calibri" w:cs="Calibri" w:eastAsia="Calibri" w:hAnsi="Calibri"/>
          <w:b/>
          <w:bCs/>
          <w:color w:val="1F1F1F"/>
          <w:sz w:val="22"/>
          <w:szCs w:val="22"/>
        </w:rPr>
        <w:t xml:space="preserve">OBJET</w:t>
      </w:r>
    </w:p>
    <w:p>
      <w:pPr>
        <w:spacing w:after="120" w:line="276"/>
        <w:jc w:val="both"/>
      </w:pPr>
      <w:r>
        <w:rPr>
          <w:rFonts w:ascii="Calibri" w:cs="Calibri" w:eastAsia="Calibri" w:hAnsi="Calibri"/>
          <w:sz w:val="21"/>
          <w:szCs w:val="21"/>
        </w:rPr>
        <w:t xml:space="preserve">Les CGV encadrent la fourniture du Service entre la Société et le Client. Toute Commande implique l'acceptation sans réserve des présentes CGV. Aucun consommateur au sens du Code de la consommation ne peut souscrire.</w:t>
      </w:r>
    </w:p>
    <w:p>
      <w:pPr>
        <w:spacing w:after="120" w:line="276"/>
        <w:jc w:val="both"/>
      </w:pPr>
      <w:r>
        <w:rPr>
          <w:rFonts w:ascii="Calibri" w:cs="Calibri" w:eastAsia="Calibri" w:hAnsi="Calibri"/>
          <w:sz w:val="21"/>
          <w:szCs w:val="21"/>
        </w:rPr>
        <w:t xml:space="preserve">Le Devis peut préciser ou adapter les présentes CGV pour une Commande donnée, notamment la date de démarrage, le délai de paiement, le Bénéficiaire ou des sessions complémentaires. En cas de contradiction, le Devis accepté prévaut.</w:t>
      </w:r>
    </w:p>
    <w:p>
      <w:pPr>
        <w:keepNext/>
        <w:pBdr>
          <w:bottom w:val="single" w:color="BBBBBB" w:sz="4" w:space="2"/>
        </w:pBdr>
        <w:spacing w:after="100" w:before="280"/>
      </w:pPr>
      <w:r>
        <w:rPr>
          <w:rFonts w:ascii="Calibri" w:cs="Calibri" w:eastAsia="Calibri" w:hAnsi="Calibri"/>
          <w:b/>
          <w:bCs/>
          <w:color w:val="1F1F1F"/>
          <w:sz w:val="22"/>
          <w:szCs w:val="22"/>
        </w:rPr>
        <w:t xml:space="preserve">SOUSCRIPTION AU PROFIT D'UN BÉNÉFICIAIRE</w:t>
      </w:r>
    </w:p>
    <w:p>
      <w:pPr>
        <w:spacing w:after="120" w:line="276"/>
        <w:jc w:val="both"/>
      </w:pPr>
      <w:r>
        <w:rPr>
          <w:rFonts w:ascii="Calibri" w:cs="Calibri" w:eastAsia="Calibri" w:hAnsi="Calibri"/>
          <w:sz w:val="21"/>
          <w:szCs w:val="21"/>
        </w:rPr>
        <w:t xml:space="preserve">Le Client peut commander le Service au profit d'un Bénéficiaire désigné dans le Devis. Le Client est alors seul redevable du prix. Le Bénéficiaire accepte les présentes CGV en accédant au Service, et le Client se porte fort de leur respect par le Bénéficiaire.</w:t>
      </w:r>
    </w:p>
    <w:p>
      <w:pPr>
        <w:spacing w:after="120" w:line="276"/>
        <w:jc w:val="both"/>
      </w:pPr>
      <w:r>
        <w:rPr>
          <w:rFonts w:ascii="Calibri" w:cs="Calibri" w:eastAsia="Calibri" w:hAnsi="Calibri"/>
          <w:sz w:val="21"/>
          <w:szCs w:val="21"/>
        </w:rPr>
        <w:t xml:space="preserve">L'accès au Service et les droits d'usage prévus aux présentes sont personnels au Bénéficiaire. Le Client ne peut ni suspendre cet accès, ni désigner un autre Bénéficiaire en cours de Service, sans l'accord écrit de la Société.</w:t>
      </w:r>
    </w:p>
    <w:p>
      <w:pPr>
        <w:spacing w:after="120" w:line="276"/>
        <w:jc w:val="both"/>
      </w:pPr>
      <w:r>
        <w:rPr>
          <w:rFonts w:ascii="Calibri" w:cs="Calibri" w:eastAsia="Calibri" w:hAnsi="Calibri"/>
          <w:sz w:val="21"/>
          <w:szCs w:val="21"/>
        </w:rPr>
        <w:t xml:space="preserve">Dans les articles relatifs à l'accès, aux conditions d'utilisation, à la propriété intellectuelle et aux données personnelles, le terme « Client » vise également le Bénéficiaire.</w:t>
      </w:r>
    </w:p>
    <w:p>
      <w:pPr>
        <w:keepNext/>
        <w:pBdr>
          <w:bottom w:val="single" w:color="BBBBBB" w:sz="4" w:space="2"/>
        </w:pBdr>
        <w:spacing w:after="100" w:before="280"/>
      </w:pPr>
      <w:r>
        <w:rPr>
          <w:rFonts w:ascii="Calibri" w:cs="Calibri" w:eastAsia="Calibri" w:hAnsi="Calibri"/>
          <w:b/>
          <w:bCs/>
          <w:color w:val="1F1F1F"/>
          <w:sz w:val="22"/>
          <w:szCs w:val="22"/>
        </w:rPr>
        <w:t xml:space="preserve">DESCRIPTION DU SERVICE</w:t>
      </w:r>
    </w:p>
    <w:p>
      <w:pPr>
        <w:spacing w:after="120" w:line="276"/>
        <w:jc w:val="both"/>
      </w:pPr>
      <w:r>
        <w:rPr>
          <w:rFonts w:ascii="Calibri" w:cs="Calibri" w:eastAsia="Calibri" w:hAnsi="Calibri"/>
          <w:sz w:val="21"/>
          <w:szCs w:val="21"/>
        </w:rPr>
        <w:t xml:space="preserve">Le Service comprend :</w:t>
      </w:r>
    </w:p>
    <w:p>
      <w:pPr>
        <w:pStyle w:val="ListParagraph"/>
        <w:numPr>
          <w:ilvl w:val="0"/>
          <w:numId w:val="2"/>
        </w:numPr>
        <w:spacing w:after="60"/>
      </w:pPr>
      <w:r>
        <w:rPr>
          <w:rFonts w:ascii="Calibri" w:cs="Calibri" w:eastAsia="Calibri" w:hAnsi="Calibri"/>
          <w:sz w:val="21"/>
          <w:szCs w:val="21"/>
        </w:rPr>
        <w:t xml:space="preserve">Une formation en ligne sur la méthode Hyper Fractional</w:t>
      </w:r>
    </w:p>
    <w:p>
      <w:pPr>
        <w:pStyle w:val="ListParagraph"/>
        <w:numPr>
          <w:ilvl w:val="0"/>
          <w:numId w:val="2"/>
        </w:numPr>
        <w:spacing w:after="60"/>
      </w:pPr>
      <w:r>
        <w:rPr>
          <w:rFonts w:ascii="Calibri" w:cs="Calibri" w:eastAsia="Calibri" w:hAnsi="Calibri"/>
          <w:sz w:val="21"/>
          <w:szCs w:val="21"/>
        </w:rPr>
        <w:t xml:space="preserve">Un suivi personnalisé avec plan d'action</w:t>
      </w:r>
    </w:p>
    <w:p>
      <w:pPr>
        <w:pStyle w:val="ListParagraph"/>
        <w:numPr>
          <w:ilvl w:val="0"/>
          <w:numId w:val="2"/>
        </w:numPr>
        <w:spacing w:after="60"/>
      </w:pPr>
      <w:r>
        <w:rPr>
          <w:rFonts w:ascii="Calibri" w:cs="Calibri" w:eastAsia="Calibri" w:hAnsi="Calibri"/>
          <w:sz w:val="21"/>
          <w:szCs w:val="21"/>
        </w:rPr>
        <w:t xml:space="preserve">Une session individuelle de lancement (kick-off) avec Brice Vinocour, préparée à partir du plan d'action rempli par le Client</w:t>
      </w:r>
    </w:p>
    <w:p>
      <w:pPr>
        <w:pStyle w:val="ListParagraph"/>
        <w:numPr>
          <w:ilvl w:val="0"/>
          <w:numId w:val="2"/>
        </w:numPr>
        <w:spacing w:after="60"/>
      </w:pPr>
      <w:r>
        <w:rPr>
          <w:rFonts w:ascii="Calibri" w:cs="Calibri" w:eastAsia="Calibri" w:hAnsi="Calibri"/>
          <w:sz w:val="21"/>
          <w:szCs w:val="21"/>
        </w:rPr>
        <w:t xml:space="preserve">Un support écrit via la plateforme communautaire de la Société (Slack ou Circle), sans limitation du nombre de messages, les jours ouvrés, avec un délai de réponse habituel de vingt-quatre (24) heures ouvrées</w:t>
      </w:r>
    </w:p>
    <w:p>
      <w:pPr>
        <w:pStyle w:val="ListParagraph"/>
        <w:numPr>
          <w:ilvl w:val="0"/>
          <w:numId w:val="2"/>
        </w:numPr>
        <w:spacing w:after="60"/>
      </w:pPr>
      <w:r>
        <w:rPr>
          <w:rFonts w:ascii="Calibri" w:cs="Calibri" w:eastAsia="Calibri" w:hAnsi="Calibri"/>
          <w:sz w:val="21"/>
          <w:szCs w:val="21"/>
        </w:rPr>
        <w:t xml:space="preserve">Trois sessions de permanences en groupe par semaine, hors périodes de fermeture annoncées au Client avec un préavis raisonnable</w:t>
      </w:r>
    </w:p>
    <w:p>
      <w:pPr>
        <w:pStyle w:val="ListParagraph"/>
        <w:numPr>
          <w:ilvl w:val="0"/>
          <w:numId w:val="2"/>
        </w:numPr>
        <w:spacing w:after="60"/>
      </w:pPr>
      <w:r>
        <w:rPr>
          <w:rFonts w:ascii="Calibri" w:cs="Calibri" w:eastAsia="Calibri" w:hAnsi="Calibri"/>
          <w:sz w:val="21"/>
          <w:szCs w:val="21"/>
        </w:rPr>
        <w:t xml:space="preserve">L'accès à la communauté Hyper Fractional Club, sur cette même plateforme</w:t>
      </w:r>
    </w:p>
    <w:p>
      <w:pPr>
        <w:pStyle w:val="ListParagraph"/>
        <w:numPr>
          <w:ilvl w:val="0"/>
          <w:numId w:val="2"/>
        </w:numPr>
        <w:spacing w:after="60"/>
      </w:pPr>
      <w:r>
        <w:rPr>
          <w:rFonts w:ascii="Calibri" w:cs="Calibri" w:eastAsia="Calibri" w:hAnsi="Calibri"/>
          <w:sz w:val="21"/>
          <w:szCs w:val="21"/>
        </w:rPr>
        <w:t xml:space="preserve">Des sessions de coaching individuel complémentaires, proposées à la discrétion de la Société lorsqu'un besoin spécifique est identifié pour débloquer la progression du Client</w:t>
      </w:r>
    </w:p>
    <w:p>
      <w:pPr>
        <w:spacing w:after="120" w:line="276"/>
        <w:jc w:val="both"/>
      </w:pPr>
      <w:r>
        <w:rPr>
          <w:rFonts w:ascii="Calibri" w:cs="Calibri" w:eastAsia="Calibri" w:hAnsi="Calibri"/>
          <w:sz w:val="21"/>
          <w:szCs w:val="21"/>
        </w:rPr>
        <w:t xml:space="preserve">Le Service est fourni uniquement en français.</w:t>
      </w:r>
    </w:p>
    <w:p>
      <w:pPr>
        <w:keepNext/>
        <w:pBdr>
          <w:bottom w:val="single" w:color="BBBBBB" w:sz="4" w:space="2"/>
        </w:pBdr>
        <w:spacing w:after="100" w:before="280"/>
      </w:pPr>
      <w:r>
        <w:rPr>
          <w:rFonts w:ascii="Calibri" w:cs="Calibri" w:eastAsia="Calibri" w:hAnsi="Calibri"/>
          <w:b/>
          <w:bCs/>
          <w:color w:val="1F1F1F"/>
          <w:sz w:val="22"/>
          <w:szCs w:val="22"/>
        </w:rPr>
        <w:t xml:space="preserve">PRIX ET MODALITÉS DE PAIEMENT</w:t>
      </w:r>
    </w:p>
    <w:p>
      <w:pPr>
        <w:spacing w:after="120" w:line="276"/>
        <w:jc w:val="both"/>
      </w:pPr>
      <w:r>
        <w:rPr>
          <w:rFonts w:ascii="Calibri" w:cs="Calibri" w:eastAsia="Calibri" w:hAnsi="Calibri"/>
          <w:sz w:val="21"/>
          <w:szCs w:val="21"/>
        </w:rPr>
        <w:t xml:space="preserve">Deux options de paiement sont proposées au Client :</w:t>
      </w:r>
    </w:p>
    <w:p>
      <w:pPr>
        <w:keepNext/>
        <w:spacing w:after="60" w:before="160"/>
      </w:pPr>
      <w:r>
        <w:rPr>
          <w:rFonts w:ascii="Calibri" w:cs="Calibri" w:eastAsia="Calibri" w:hAnsi="Calibri"/>
          <w:b/>
          <w:bCs/>
          <w:i/>
          <w:iCs/>
          <w:sz w:val="21"/>
          <w:szCs w:val="21"/>
        </w:rPr>
        <w:t xml:space="preserve">Option 1 : paiement en une fois par virement bancaire</w:t>
      </w:r>
    </w:p>
    <w:p>
      <w:pPr>
        <w:spacing w:after="120" w:line="276"/>
        <w:jc w:val="both"/>
      </w:pPr>
      <w:r>
        <w:rPr>
          <w:rFonts w:ascii="Calibri" w:cs="Calibri" w:eastAsia="Calibri" w:hAnsi="Calibri"/>
          <w:sz w:val="21"/>
          <w:szCs w:val="21"/>
        </w:rPr>
        <w:t xml:space="preserve">5 000 € HT, soit 6 000 € TTC (TVA 20 %), payable par virement bancaire à la Société (Dose of Marketing). Les coordonnées bancaires (RIB) sont communiquées par email au Client après validation de la Commande. Le paiement vaut acceptation ferme et définitive.</w:t>
      </w:r>
    </w:p>
    <w:p>
      <w:pPr>
        <w:keepNext/>
        <w:spacing w:after="60" w:before="160"/>
      </w:pPr>
      <w:r>
        <w:rPr>
          <w:rFonts w:ascii="Calibri" w:cs="Calibri" w:eastAsia="Calibri" w:hAnsi="Calibri"/>
          <w:b/>
          <w:bCs/>
          <w:i/>
          <w:iCs/>
          <w:sz w:val="21"/>
          <w:szCs w:val="21"/>
        </w:rPr>
        <w:t xml:space="preserve">Option 2 : paiement échelonné en 3 fois par prélèvement GoCardless</w:t>
      </w:r>
    </w:p>
    <w:p>
      <w:pPr>
        <w:spacing w:after="120" w:line="276"/>
        <w:jc w:val="both"/>
      </w:pPr>
      <w:r>
        <w:rPr>
          <w:rFonts w:ascii="Calibri" w:cs="Calibri" w:eastAsia="Calibri" w:hAnsi="Calibri"/>
          <w:sz w:val="21"/>
          <w:szCs w:val="21"/>
        </w:rPr>
        <w:t xml:space="preserve">6 000 € HT, soit 7 200 € TTC (TVA 20 %), répartis comme suit :</w:t>
      </w:r>
    </w:p>
    <w:p>
      <w:pPr>
        <w:pStyle w:val="ListParagraph"/>
        <w:numPr>
          <w:ilvl w:val="0"/>
          <w:numId w:val="2"/>
        </w:numPr>
        <w:spacing w:after="60"/>
      </w:pPr>
      <w:r>
        <w:rPr>
          <w:rFonts w:ascii="Calibri" w:cs="Calibri" w:eastAsia="Calibri" w:hAnsi="Calibri"/>
          <w:sz w:val="21"/>
          <w:szCs w:val="21"/>
        </w:rPr>
        <w:t xml:space="preserve">1er prélèvement de 2 400 € TTC à la Commande</w:t>
      </w:r>
    </w:p>
    <w:p>
      <w:pPr>
        <w:pStyle w:val="ListParagraph"/>
        <w:numPr>
          <w:ilvl w:val="0"/>
          <w:numId w:val="2"/>
        </w:numPr>
        <w:spacing w:after="60"/>
      </w:pPr>
      <w:r>
        <w:rPr>
          <w:rFonts w:ascii="Calibri" w:cs="Calibri" w:eastAsia="Calibri" w:hAnsi="Calibri"/>
          <w:sz w:val="21"/>
          <w:szCs w:val="21"/>
        </w:rPr>
        <w:t xml:space="preserve">2ème prélèvement de 2 400 € TTC trente (30) jours après la Commande</w:t>
      </w:r>
    </w:p>
    <w:p>
      <w:pPr>
        <w:pStyle w:val="ListParagraph"/>
        <w:numPr>
          <w:ilvl w:val="0"/>
          <w:numId w:val="2"/>
        </w:numPr>
        <w:spacing w:after="60"/>
      </w:pPr>
      <w:r>
        <w:rPr>
          <w:rFonts w:ascii="Calibri" w:cs="Calibri" w:eastAsia="Calibri" w:hAnsi="Calibri"/>
          <w:sz w:val="21"/>
          <w:szCs w:val="21"/>
        </w:rPr>
        <w:t xml:space="preserve">3ème prélèvement de 2 400 € TTC soixante (60) jours après la Commande</w:t>
      </w:r>
    </w:p>
    <w:p>
      <w:pPr>
        <w:spacing w:after="120" w:line="276"/>
        <w:jc w:val="both"/>
      </w:pPr>
      <w:r>
        <w:rPr>
          <w:rFonts w:ascii="Calibri" w:cs="Calibri" w:eastAsia="Calibri" w:hAnsi="Calibri"/>
          <w:sz w:val="21"/>
          <w:szCs w:val="21"/>
        </w:rPr>
        <w:t xml:space="preserve">Les prélèvements sont effectués via la plateforme de paiement GoCardless. Le Client autorise la mise en place du mandat de prélèvement SEPA correspondant.</w:t>
      </w:r>
    </w:p>
    <w:p>
      <w:pPr>
        <w:spacing w:after="120" w:line="276"/>
        <w:jc w:val="both"/>
      </w:pPr>
      <w:r>
        <w:rPr>
          <w:rFonts w:ascii="Calibri" w:cs="Calibri" w:eastAsia="Calibri" w:hAnsi="Calibri"/>
          <w:sz w:val="21"/>
          <w:szCs w:val="21"/>
        </w:rPr>
        <w:t xml:space="preserve">Tout paiement échelonné constitue un engagement ferme et irrévocable de régler l'intégralité du prix convenu, indépendamment du mode de paiement choisi.</w:t>
      </w:r>
    </w:p>
    <w:p>
      <w:pPr>
        <w:spacing w:after="120" w:line="276"/>
        <w:jc w:val="both"/>
      </w:pPr>
      <w:r>
        <w:rPr>
          <w:rFonts w:ascii="Calibri" w:cs="Calibri" w:eastAsia="Calibri" w:hAnsi="Calibri"/>
          <w:sz w:val="21"/>
          <w:szCs w:val="21"/>
        </w:rPr>
        <w:t xml:space="preserve">En cas de non-paiement d'une échéance, la totalité du montant restant dû devient immédiatement exigible.</w:t>
      </w:r>
    </w:p>
    <w:p>
      <w:pPr>
        <w:keepNext/>
        <w:spacing w:after="60" w:before="160"/>
      </w:pPr>
      <w:r>
        <w:rPr>
          <w:rFonts w:ascii="Calibri" w:cs="Calibri" w:eastAsia="Calibri" w:hAnsi="Calibri"/>
          <w:b/>
          <w:bCs/>
          <w:i/>
          <w:iCs/>
          <w:sz w:val="21"/>
          <w:szCs w:val="21"/>
        </w:rPr>
        <w:t xml:space="preserve">Retard de paiement</w:t>
      </w:r>
    </w:p>
    <w:p>
      <w:pPr>
        <w:spacing w:after="120" w:line="276"/>
        <w:jc w:val="both"/>
      </w:pPr>
      <w:r>
        <w:rPr>
          <w:rFonts w:ascii="Calibri" w:cs="Calibri" w:eastAsia="Calibri" w:hAnsi="Calibri"/>
          <w:sz w:val="21"/>
          <w:szCs w:val="21"/>
        </w:rPr>
        <w:t xml:space="preserve">Tout retard de paiement entraîne de plein droit, dès le lendemain de la date d'échéance et sans qu'un rappel soit nécessaire, l'application de pénalités de retard calculées au taux de trois (3) fois le taux d'intérêt légal en vigueur, ainsi qu'une indemnité forfaitaire pour frais de recouvrement de quarante (40) euros, conformément aux articles L441-10 et D441-5 du Code de commerce. Lorsque les frais de recouvrement exposés sont supérieurs à ce montant, la Société peut demander une indemnisation complémentaire sur justification.</w:t>
      </w:r>
    </w:p>
    <w:p>
      <w:pPr>
        <w:spacing w:after="120" w:line="276"/>
        <w:jc w:val="both"/>
      </w:pPr>
      <w:r>
        <w:rPr>
          <w:rFonts w:ascii="Calibri" w:cs="Calibri" w:eastAsia="Calibri" w:hAnsi="Calibri"/>
          <w:sz w:val="21"/>
          <w:szCs w:val="21"/>
        </w:rPr>
        <w:t xml:space="preserve">Aucun escompte n'est accordé en cas de paiement anticipé.</w:t>
      </w:r>
    </w:p>
    <w:p>
      <w:pPr>
        <w:keepNext/>
        <w:pBdr>
          <w:bottom w:val="single" w:color="BBBBBB" w:sz="4" w:space="2"/>
        </w:pBdr>
        <w:spacing w:after="100" w:before="280"/>
      </w:pPr>
      <w:r>
        <w:rPr>
          <w:rFonts w:ascii="Calibri" w:cs="Calibri" w:eastAsia="Calibri" w:hAnsi="Calibri"/>
          <w:b/>
          <w:bCs/>
          <w:color w:val="1F1F1F"/>
          <w:sz w:val="22"/>
          <w:szCs w:val="22"/>
        </w:rPr>
        <w:t xml:space="preserve">ACCÈS AU SERVICE</w:t>
      </w:r>
    </w:p>
    <w:p>
      <w:pPr>
        <w:spacing w:after="120" w:line="276"/>
        <w:jc w:val="both"/>
      </w:pPr>
      <w:r>
        <w:rPr>
          <w:rFonts w:ascii="Calibri" w:cs="Calibri" w:eastAsia="Calibri" w:hAnsi="Calibri"/>
          <w:sz w:val="21"/>
          <w:szCs w:val="21"/>
        </w:rPr>
        <w:t xml:space="preserve">L'accès à la formation, à la plateforme communautaire et aux rendez-vous est fourni dans un délai de 48 heures ouvrées après la Commande, ou à la date de démarrage prévue au Devis. Les identifiants fournis sont personnels et non cessibles.</w:t>
      </w:r>
    </w:p>
    <w:p>
      <w:pPr>
        <w:keepNext/>
        <w:pBdr>
          <w:bottom w:val="single" w:color="BBBBBB" w:sz="4" w:space="2"/>
        </w:pBdr>
        <w:spacing w:after="100" w:before="280"/>
      </w:pPr>
      <w:r>
        <w:rPr>
          <w:rFonts w:ascii="Calibri" w:cs="Calibri" w:eastAsia="Calibri" w:hAnsi="Calibri"/>
          <w:b/>
          <w:bCs/>
          <w:color w:val="1F1F1F"/>
          <w:sz w:val="22"/>
          <w:szCs w:val="22"/>
        </w:rPr>
        <w:t xml:space="preserve">DURÉE</w:t>
      </w:r>
    </w:p>
    <w:p>
      <w:pPr>
        <w:spacing w:after="120" w:line="276"/>
        <w:jc w:val="both"/>
      </w:pPr>
      <w:r>
        <w:rPr>
          <w:rFonts w:ascii="Calibri" w:cs="Calibri" w:eastAsia="Calibri" w:hAnsi="Calibri"/>
          <w:sz w:val="21"/>
          <w:szCs w:val="21"/>
        </w:rPr>
        <w:t xml:space="preserve">L'accès au Service est valable pour une durée de 6 mois à compter de la date de démarrage communiquée au Client.</w:t>
      </w:r>
    </w:p>
    <w:p>
      <w:pPr>
        <w:keepNext/>
        <w:pBdr>
          <w:bottom w:val="single" w:color="BBBBBB" w:sz="4" w:space="2"/>
        </w:pBdr>
        <w:spacing w:after="100" w:before="280"/>
      </w:pPr>
      <w:r>
        <w:rPr>
          <w:rFonts w:ascii="Calibri" w:cs="Calibri" w:eastAsia="Calibri" w:hAnsi="Calibri"/>
          <w:b/>
          <w:bCs/>
          <w:color w:val="1F1F1F"/>
          <w:sz w:val="22"/>
          <w:szCs w:val="22"/>
        </w:rPr>
        <w:t xml:space="preserve">CONDITIONS D'UTILISATION</w:t>
      </w:r>
    </w:p>
    <w:p>
      <w:pPr>
        <w:spacing w:after="120" w:line="276"/>
        <w:jc w:val="both"/>
      </w:pPr>
      <w:r>
        <w:rPr>
          <w:rFonts w:ascii="Calibri" w:cs="Calibri" w:eastAsia="Calibri" w:hAnsi="Calibri"/>
          <w:sz w:val="21"/>
          <w:szCs w:val="21"/>
        </w:rPr>
        <w:t xml:space="preserve">Le Client s'engage à participer activement et respecter les autres membres. Aucun propos haineux, diffamatoire ou d'autopromotion n'est toléré. En cas de manquement, l'accès pourra être suspendu sans remboursement.</w:t>
      </w:r>
    </w:p>
    <w:p>
      <w:pPr>
        <w:keepNext/>
        <w:pBdr>
          <w:bottom w:val="single" w:color="BBBBBB" w:sz="4" w:space="2"/>
        </w:pBdr>
        <w:spacing w:after="100" w:before="280"/>
      </w:pPr>
      <w:r>
        <w:rPr>
          <w:rFonts w:ascii="Calibri" w:cs="Calibri" w:eastAsia="Calibri" w:hAnsi="Calibri"/>
          <w:b/>
          <w:bCs/>
          <w:color w:val="1F1F1F"/>
          <w:sz w:val="22"/>
          <w:szCs w:val="22"/>
        </w:rPr>
        <w:t xml:space="preserve">ABSENCE DE GARANTIE DE RÉSULTAT</w:t>
      </w:r>
    </w:p>
    <w:p>
      <w:pPr>
        <w:spacing w:after="120" w:line="276"/>
        <w:jc w:val="both"/>
      </w:pPr>
      <w:r>
        <w:rPr>
          <w:rFonts w:ascii="Calibri" w:cs="Calibri" w:eastAsia="Calibri" w:hAnsi="Calibri"/>
          <w:sz w:val="21"/>
          <w:szCs w:val="21"/>
        </w:rPr>
        <w:t xml:space="preserve">Le Service constitue une obligation de moyens. La Société s'engage à mettre tous les moyens raisonnables en œuvre pour accompagner le Client, mais ne garantit aucun résultat. Aucune promesse de chiffre d'affaires, de signature client ou de croissance n'est faite, ni ne peut être déduite des contenus commerciaux, témoignages ou échanges préalables à la Commande.</w:t>
      </w:r>
    </w:p>
    <w:p>
      <w:pPr>
        <w:keepNext/>
        <w:pBdr>
          <w:bottom w:val="single" w:color="BBBBBB" w:sz="4" w:space="2"/>
        </w:pBdr>
        <w:spacing w:after="100" w:before="280"/>
      </w:pPr>
      <w:r>
        <w:rPr>
          <w:rFonts w:ascii="Calibri" w:cs="Calibri" w:eastAsia="Calibri" w:hAnsi="Calibri"/>
          <w:b/>
          <w:bCs/>
          <w:color w:val="1F1F1F"/>
          <w:sz w:val="22"/>
          <w:szCs w:val="22"/>
        </w:rPr>
        <w:t xml:space="preserve">PROPRIÉTÉ INTELLECTUELLE</w:t>
      </w:r>
    </w:p>
    <w:p>
      <w:pPr>
        <w:spacing w:after="120" w:line="276"/>
        <w:jc w:val="both"/>
      </w:pPr>
      <w:r>
        <w:rPr>
          <w:rFonts w:ascii="Calibri" w:cs="Calibri" w:eastAsia="Calibri" w:hAnsi="Calibri"/>
          <w:sz w:val="21"/>
          <w:szCs w:val="21"/>
        </w:rPr>
        <w:t xml:space="preserve">La formation, les vidéos, les supports, les modèles, les outils, les frameworks, les enregistrements des permanences et, plus généralement, la méthode Hyper Fractional sont la propriété exclusive de la Société. Le Client en dispose pour son usage personnel pendant la durée du Service. Toute reproduction, diffusion ou exploitation, même partielle, sans autorisation écrite de la Société est interdite.</w:t>
      </w:r>
    </w:p>
    <w:p>
      <w:pPr>
        <w:spacing w:after="120" w:line="276"/>
        <w:jc w:val="both"/>
      </w:pPr>
      <w:r>
        <w:rPr>
          <w:rFonts w:ascii="Calibri" w:cs="Calibri" w:eastAsia="Calibri" w:hAnsi="Calibri"/>
          <w:sz w:val="21"/>
          <w:szCs w:val="21"/>
        </w:rPr>
        <w:t xml:space="preserve">Les livrables établis spécifiquement pour le Client dans le cadre du Service (notamment les synthèses de sessions, les propositions de positionnement, d'offre, de profil LinkedIn ou de messages) peuvent être librement utilisés et modifiés par le Client pour les besoins de sa propre activité professionnelle, y compris après la fin du Service. Cette autorisation ne s'étend pas aux éléments de méthode, modèles et frameworks génériques qu'ils contiennent, qui restent la propriété de la Société, ni à leur revente ou à leur diffusion à des tiers à titre de formation ou d'accompagnement.</w:t>
      </w:r>
    </w:p>
    <w:p>
      <w:pPr>
        <w:keepNext/>
        <w:pBdr>
          <w:bottom w:val="single" w:color="BBBBBB" w:sz="4" w:space="2"/>
        </w:pBdr>
        <w:spacing w:after="100" w:before="280"/>
      </w:pPr>
      <w:r>
        <w:rPr>
          <w:rFonts w:ascii="Calibri" w:cs="Calibri" w:eastAsia="Calibri" w:hAnsi="Calibri"/>
          <w:b/>
          <w:bCs/>
          <w:color w:val="1F1F1F"/>
          <w:sz w:val="22"/>
          <w:szCs w:val="22"/>
        </w:rPr>
        <w:t xml:space="preserve">DONNÉES PERSONNELLES</w:t>
      </w:r>
    </w:p>
    <w:p>
      <w:pPr>
        <w:spacing w:after="120" w:line="276"/>
        <w:jc w:val="both"/>
      </w:pPr>
      <w:r>
        <w:rPr>
          <w:rFonts w:ascii="Calibri" w:cs="Calibri" w:eastAsia="Calibri" w:hAnsi="Calibri"/>
          <w:sz w:val="21"/>
          <w:szCs w:val="21"/>
        </w:rPr>
        <w:t xml:space="preserve">La Société traite les données personnelles du Client (identité, coordonnées, données de facturation, informations professionnelles et échanges liés à l'accompagnement) pour l'exécution du Service, sa facturation et le suivi de la relation commerciale. Ce traitement repose sur l'exécution du contrat et sur les obligations légales de la Société.</w:t>
      </w:r>
    </w:p>
    <w:p>
      <w:pPr>
        <w:spacing w:after="120" w:line="276"/>
        <w:jc w:val="both"/>
      </w:pPr>
      <w:r>
        <w:rPr>
          <w:rFonts w:ascii="Calibri" w:cs="Calibri" w:eastAsia="Calibri" w:hAnsi="Calibri"/>
          <w:sz w:val="21"/>
          <w:szCs w:val="21"/>
        </w:rPr>
        <w:t xml:space="preserve">Les permanences en groupe sont enregistrées et mises à disposition des membres en replay. En y participant, le Client accepte que son image et sa voix y figurent. Il peut participer caméra coupée et demander le retrait d'un passage le concernant. Les sessions individuelles peuvent faire l'objet d'une transcription et d'une synthèse écrite, conservées pour assurer le suivi du Client.</w:t>
      </w:r>
    </w:p>
    <w:p>
      <w:pPr>
        <w:spacing w:after="120" w:line="276"/>
        <w:jc w:val="both"/>
      </w:pPr>
      <w:r>
        <w:rPr>
          <w:rFonts w:ascii="Calibri" w:cs="Calibri" w:eastAsia="Calibri" w:hAnsi="Calibri"/>
          <w:sz w:val="21"/>
          <w:szCs w:val="21"/>
        </w:rPr>
        <w:t xml:space="preserve">Les données sont destinées à la Société et à ses prestataires techniques (hébergement, plateforme communautaire, messagerie, visioconférence, paiement, outils de traitement de données), dans la limite de ce qui est nécessaire à leur mission. Certains de ces prestataires peuvent être établis hors de l'Union européenne ; les transferts correspondants sont encadrés par des garanties appropriées (décision d'adéquation ou clauses contractuelles types de la Commission européenne).</w:t>
      </w:r>
    </w:p>
    <w:p>
      <w:pPr>
        <w:spacing w:after="120" w:line="276"/>
        <w:jc w:val="both"/>
      </w:pPr>
      <w:r>
        <w:rPr>
          <w:rFonts w:ascii="Calibri" w:cs="Calibri" w:eastAsia="Calibri" w:hAnsi="Calibri"/>
          <w:sz w:val="21"/>
          <w:szCs w:val="21"/>
        </w:rPr>
        <w:t xml:space="preserve">Les données liées au Service sont conservées pendant la durée du Service puis trois (3) ans à compter du dernier contact. Les données de facturation sont conservées dix (10) ans conformément aux obligations comptables. Les enregistrements des permanences sont conservés un (1) an à compter de leur enregistrement.</w:t>
      </w:r>
    </w:p>
    <w:p>
      <w:pPr>
        <w:spacing w:after="120" w:line="276"/>
        <w:jc w:val="both"/>
      </w:pPr>
      <w:r>
        <w:rPr>
          <w:rFonts w:ascii="Calibri" w:cs="Calibri" w:eastAsia="Calibri" w:hAnsi="Calibri"/>
          <w:sz w:val="21"/>
          <w:szCs w:val="21"/>
        </w:rPr>
        <w:t xml:space="preserve">Le Client peut exercer ses droits d'accès, de rectification, d'effacement, de limitation, d'opposition et de portabilité par mail à brice@doseofmarketing.com. Il peut également introduire une réclamation auprès de la CNIL (www.cnil.fr).</w:t>
      </w:r>
    </w:p>
    <w:p>
      <w:pPr>
        <w:keepNext/>
        <w:pBdr>
          <w:bottom w:val="single" w:color="BBBBBB" w:sz="4" w:space="2"/>
        </w:pBdr>
        <w:spacing w:after="100" w:before="280"/>
      </w:pPr>
      <w:r>
        <w:rPr>
          <w:rFonts w:ascii="Calibri" w:cs="Calibri" w:eastAsia="Calibri" w:hAnsi="Calibri"/>
          <w:b/>
          <w:bCs/>
          <w:color w:val="1F1F1F"/>
          <w:sz w:val="22"/>
          <w:szCs w:val="22"/>
        </w:rPr>
        <w:t xml:space="preserve">RESPONSABILITÉ</w:t>
      </w:r>
    </w:p>
    <w:p>
      <w:pPr>
        <w:spacing w:after="120" w:line="276"/>
        <w:jc w:val="both"/>
      </w:pPr>
      <w:r>
        <w:rPr>
          <w:rFonts w:ascii="Calibri" w:cs="Calibri" w:eastAsia="Calibri" w:hAnsi="Calibri"/>
          <w:sz w:val="21"/>
          <w:szCs w:val="21"/>
        </w:rPr>
        <w:t xml:space="preserve">La Société est tenue d'une obligation de moyens. Le Client demeure seul responsable des décisions prises dans la conduite de son activité (positionnement, prix, offres, contrats, prospection), y compris lorsqu'elles s'appuient sur les recommandations reçues dans le cadre du Service.</w:t>
      </w:r>
    </w:p>
    <w:p>
      <w:pPr>
        <w:spacing w:after="120" w:line="276"/>
        <w:jc w:val="both"/>
      </w:pPr>
      <w:r>
        <w:rPr>
          <w:rFonts w:ascii="Calibri" w:cs="Calibri" w:eastAsia="Calibri" w:hAnsi="Calibri"/>
          <w:sz w:val="21"/>
          <w:szCs w:val="21"/>
        </w:rPr>
        <w:t xml:space="preserve">La responsabilité de la Société, toutes causes confondues, est limitée au montant effectivement payé par le Client au titre du Service. La Société ne répond pas des dommages indirects, notamment perte de chiffre d'affaires, de clientèle, de chance ou d'image.</w:t>
      </w:r>
    </w:p>
    <w:p>
      <w:pPr>
        <w:spacing w:after="120" w:line="276"/>
        <w:jc w:val="both"/>
      </w:pPr>
      <w:r>
        <w:rPr>
          <w:rFonts w:ascii="Calibri" w:cs="Calibri" w:eastAsia="Calibri" w:hAnsi="Calibri"/>
          <w:sz w:val="21"/>
          <w:szCs w:val="21"/>
        </w:rPr>
        <w:t xml:space="preserve">Ces limitations ne s'appliquent pas en cas de faute lourde ou dolosive.</w:t>
      </w:r>
    </w:p>
    <w:p>
      <w:pPr>
        <w:keepNext/>
        <w:pBdr>
          <w:bottom w:val="single" w:color="BBBBBB" w:sz="4" w:space="2"/>
        </w:pBdr>
        <w:spacing w:after="100" w:before="280"/>
      </w:pPr>
      <w:r>
        <w:rPr>
          <w:rFonts w:ascii="Calibri" w:cs="Calibri" w:eastAsia="Calibri" w:hAnsi="Calibri"/>
          <w:b/>
          <w:bCs/>
          <w:color w:val="1F1F1F"/>
          <w:sz w:val="22"/>
          <w:szCs w:val="22"/>
        </w:rPr>
        <w:t xml:space="preserve">DROIT APPLICABLE ET LITIGES</w:t>
      </w:r>
    </w:p>
    <w:p>
      <w:pPr>
        <w:spacing w:after="120" w:line="276"/>
        <w:jc w:val="both"/>
      </w:pPr>
      <w:r>
        <w:rPr>
          <w:rFonts w:ascii="Calibri" w:cs="Calibri" w:eastAsia="Calibri" w:hAnsi="Calibri"/>
          <w:sz w:val="21"/>
          <w:szCs w:val="21"/>
        </w:rPr>
        <w:t xml:space="preserve">Les présentes CGV sont régies par le droit français. En cas de différend relatif à la formation, l'interprétation ou l'exécution des présentes, les Parties s'engagent, préalablement à toute action contentieuse, à rechercher une solution amiable par la voie de la médiation. La Partie la plus diligente en informe l'autre par écrit ; à défaut d'accord sur le choix du médiateur dans un délai de quinze (15) jours à compter de cette notification, celui-ci sera désigné par un centre de médiation. Les frais de médiation sont partagés par moitié entre les Parties, sauf accord contraire. La présente clause ne fait pas obstacle aux mesures conservatoires ou d'urgence. À défaut de résolution amiable dans un délai de deux (2) mois à compter de la première réunion de médiation, tout litige sera de la compétence exclusive du tribunal de commerce de Nanterre.</w:t>
      </w:r>
    </w:p>
    <w:p>
      <w:pPr>
        <w:spacing w:after="120" w:line="276"/>
        <w:jc w:val="both"/>
      </w:pPr>
      <w:r>
        <w:rPr>
          <w:rFonts w:ascii="Calibri" w:cs="Calibri" w:eastAsia="Calibri" w:hAnsi="Calibri"/>
          <w:sz w:val="21"/>
          <w:szCs w:val="21"/>
        </w:rPr>
        <w:t xml:space="preserve">Pour toute question, vous pouvez contacter la Société à brice@doseofmarketing.com</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Dose of Marketing · Hyper Fractional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2026-10-02T15:01:24.543Z</dcterms:created>
  <dcterms:modified xsi:type="dcterms:W3CDTF">2026-10-02T15:01:24.556Z</dcterms:modified>
</cp:coreProperties>
</file>

<file path=docProps/custom.xml><?xml version="1.0" encoding="utf-8"?>
<Properties xmlns="http://schemas.openxmlformats.org/officeDocument/2006/custom-properties" xmlns:vt="http://schemas.openxmlformats.org/officeDocument/2006/docPropsVTypes"/>
</file>