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200" w:firstLineChars="71"/>
        <w:jc w:val="center"/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</w:pP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f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GB"/>
        </w:rPr>
        <w:t xml:space="preserve">U19EC046 | DIC LAB </w:t>
      </w:r>
      <w:r>
        <w:rPr>
          <w:rFonts w:hint="default" w:ascii="Franklin Gothic Heavy" w:hAnsi="Franklin Gothic Heavy" w:cs="Franklin Gothic Heavy"/>
          <w:b/>
          <w:bCs/>
          <w:sz w:val="28"/>
          <w:szCs w:val="28"/>
          <w:lang w:val="en-IN"/>
        </w:rPr>
        <w:t>7</w:t>
      </w:r>
    </w:p>
    <w:p>
      <w:pPr>
        <w:ind w:left="0" w:leftChars="0" w:firstLine="142" w:firstLineChars="71"/>
        <w:rPr>
          <w:rFonts w:hint="default"/>
          <w:lang w:val="en-GB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125095</wp:posOffset>
                </wp:positionV>
                <wp:extent cx="58661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78840" y="1177290"/>
                          <a:ext cx="58661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9.85pt;height:0pt;width:461.9pt;z-index:251660288;mso-width-relative:page;mso-height-relative:page;" filled="f" stroked="t" coordsize="21600,21600" o:gfxdata="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91rg59YAAAAJAQAADwAA&#10;AAAAAAABACAAAAAiAAAAZHJzL2Rvd25yZXYueG1sUEsBAhQAFAAAAAgAh07iQHGaBMbfAQAAwAMA&#10;AA4AAAAAAAAAAQAgAAAAJQEAAGRycy9lMm9Eb2MueG1sUEsFBgAAAAAGAAYAWQEAAHYFAAAAAA==&#10;">
                <v:fill on="f" focussize="0,0"/>
                <v:stroke weight="1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0" w:leftChars="0" w:firstLine="0" w:firstLineChars="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AIM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Design and verify the performance of given saturated loaded NMOS inverter circuit 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to obtain Vih-2.9, for the given design parameter VDD=5V, Kn’=20ua/v2, Vtl-0.8V, </w:t>
      </w:r>
    </w:p>
    <w:p>
      <w:pPr>
        <w:ind w:left="0" w:leftChars="0" w:firstLine="142" w:firstLineChars="71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Vtl=0.8V,(W/L)driver=2um/lum. </w:t>
      </w:r>
    </w:p>
    <w:p>
      <w:pPr>
        <w:ind w:left="598" w:leftChars="170" w:hanging="258" w:hangingChars="129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a) Compare the theoretical and practical values of the critical voltages on VTC&amp; find noise margins of the circuit.</w:t>
      </w:r>
    </w:p>
    <w:p>
      <w:pPr>
        <w:ind w:left="598" w:leftChars="170" w:hanging="258" w:hangingChars="129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b) observe the effect of change in (W/L)loaded on noise margin &amp;comment on it. </w:t>
      </w:r>
    </w:p>
    <w:p>
      <w:pPr>
        <w:ind w:left="598" w:leftChars="170" w:hanging="258" w:hangingChars="129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 xml:space="preserve">c) Also compare the results of noise with resistive loaded NMOS inverter for </w:t>
      </w:r>
    </w:p>
    <w:p>
      <w:pPr>
        <w:ind w:left="598" w:leftChars="170" w:hanging="258" w:hangingChars="129"/>
        <w:rPr>
          <w:rFonts w:hint="default" w:ascii="Verdana" w:hAnsi="Verdana"/>
          <w:lang w:val="en-GB"/>
        </w:rPr>
      </w:pPr>
      <w:r>
        <w:rPr>
          <w:rFonts w:hint="default" w:ascii="Verdana" w:hAnsi="Verdana"/>
          <w:lang w:val="en-GB"/>
        </w:rPr>
        <w:t>RL=200k</w:t>
      </w:r>
    </w:p>
    <w:p>
      <w:pPr>
        <w:ind w:left="598" w:leftChars="170" w:hanging="258" w:hangingChars="129"/>
        <w:rPr>
          <w:rFonts w:hint="default" w:ascii="Verdana" w:hAnsi="Verdana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THEORY</w:t>
      </w:r>
    </w:p>
    <w:p>
      <w:pPr>
        <w:rPr>
          <w:rFonts w:hint="default" w:ascii="Verdana" w:hAnsi="Verdana"/>
          <w:b w:val="0"/>
          <w:bCs w:val="0"/>
          <w:lang w:val="en-GB"/>
        </w:rPr>
      </w:pPr>
      <w:r>
        <w:rPr>
          <w:rFonts w:hint="default" w:ascii="Verdana" w:hAnsi="Verdana"/>
          <w:b w:val="0"/>
          <w:bCs w:val="0"/>
          <w:lang w:val="en-IN"/>
        </w:rPr>
        <w:t>Sa</w:t>
      </w:r>
      <w:r>
        <w:rPr>
          <w:rFonts w:hint="default" w:ascii="Verdana" w:hAnsi="Verdana"/>
          <w:b w:val="0"/>
          <w:bCs w:val="0"/>
          <w:lang w:val="en-GB"/>
        </w:rPr>
        <w:t>turated load device. An n-channel enhancement-mode MOSFET with the gate</w:t>
      </w:r>
      <w:r>
        <w:rPr>
          <w:rFonts w:hint="default" w:ascii="Verdana" w:hAnsi="Verdana"/>
          <w:b w:val="0"/>
          <w:bCs w:val="0"/>
          <w:lang w:val="en-IN"/>
        </w:rPr>
        <w:t xml:space="preserve"> </w:t>
      </w:r>
      <w:r>
        <w:rPr>
          <w:rFonts w:hint="default" w:ascii="Verdana" w:hAnsi="Verdana"/>
          <w:b w:val="0"/>
          <w:bCs w:val="0"/>
          <w:lang w:val="en-GB"/>
        </w:rPr>
        <w:t>connected to the drain can be used as load device in an NMOS inverter. Since the gate and drain of the transistor are connected, we have V GS-V DS When V GS-V DS&gt;V TN, a non zero drain current is induced in the transistor and thus the transistor operates in saturation only.</w:t>
      </w:r>
    </w:p>
    <w:p>
      <w:pPr>
        <w:rPr>
          <w:rFonts w:hint="default" w:ascii="Verdana" w:hAnsi="Verdana"/>
          <w:b w:val="0"/>
          <w:bCs w:val="0"/>
          <w:lang w:val="en-GB"/>
        </w:rPr>
      </w:pPr>
    </w:p>
    <w:p>
      <w:pPr>
        <w:ind w:left="1" w:leftChars="-100" w:hanging="201" w:hangingChars="100"/>
        <w:rPr>
          <w:rFonts w:hint="default" w:ascii="Verdana" w:hAnsi="Verdana"/>
          <w:b/>
          <w:bCs/>
          <w:lang w:val="en-IN"/>
        </w:rPr>
      </w:pPr>
      <w:r>
        <w:rPr>
          <w:rFonts w:hint="default" w:ascii="Verdana" w:hAnsi="Verdana"/>
          <w:b/>
          <w:bCs/>
          <w:lang w:val="en-IN"/>
        </w:rPr>
        <w:t>CIRCUIT</w:t>
      </w: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ind w:left="0" w:leftChars="-100" w:hanging="200" w:hangingChars="100"/>
        <w:jc w:val="center"/>
      </w:pPr>
    </w:p>
    <w:p>
      <w:pPr>
        <w:jc w:val="both"/>
      </w:pPr>
    </w:p>
    <w:p>
      <w:pPr>
        <w:ind w:left="0" w:leftChars="-100" w:hanging="200" w:hangingChars="100"/>
        <w:jc w:val="left"/>
        <w:rPr>
          <w:rFonts w:hint="default"/>
          <w:lang w:val="en-IN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IN"/>
        </w:rPr>
      </w:pPr>
      <w:r>
        <w:rPr>
          <w:rFonts w:hint="default" w:ascii="Verdana" w:hAnsi="Verdana" w:cs="Verdana"/>
          <w:b/>
          <w:bCs/>
          <w:lang w:val="en-IN"/>
        </w:rPr>
        <w:t>CALCULATIONS</w:t>
      </w:r>
    </w:p>
    <w:p>
      <w:pPr>
        <w:rPr>
          <w:rFonts w:hint="default" w:ascii="Verdana" w:hAnsi="Verdana" w:cs="Verdana"/>
          <w:b/>
          <w:bCs/>
          <w:lang w:val="en-IN"/>
        </w:rPr>
      </w:pPr>
      <w:r>
        <w:rPr>
          <w:rFonts w:hint="default" w:ascii="Verdana" w:hAnsi="Verdana" w:cs="Verdana"/>
          <w:b/>
          <w:bCs/>
          <w:lang w:val="en-IN"/>
        </w:rPr>
        <w:br w:type="page"/>
      </w:r>
    </w:p>
    <w:p>
      <w:pPr>
        <w:rPr>
          <w:rFonts w:hint="default" w:ascii="Verdana" w:hAnsi="Verdana" w:cs="Verdana"/>
          <w:b/>
          <w:bCs/>
          <w:lang w:val="en-IN"/>
        </w:rPr>
      </w:pPr>
      <w:r>
        <w:rPr>
          <w:rFonts w:hint="default" w:ascii="Verdana" w:hAnsi="Verdana" w:cs="Verdana"/>
          <w:b/>
          <w:bCs/>
          <w:lang w:val="en-IN"/>
        </w:rPr>
        <w:br w:type="page"/>
      </w: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IN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SPICE CODE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7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*saturated load inverter static analysis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.model mymos NMOS (Vt0=0.8 kp=20u)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 1 1 out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 out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 1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Vin in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.dc Vin 0 5 0.05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.control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run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plot V(out) V(in)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.endc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FFFFFF" w:themeColor="background1"/>
                <w:kern w:val="0"/>
                <w:sz w:val="21"/>
                <w:szCs w:val="21"/>
                <w:shd w:val="clear" w:fill="282C34"/>
                <w:lang w:val="en-GB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</w:p>
    <w:tbl>
      <w:tblPr>
        <w:tblStyle w:val="7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*saturated load inverter static analysis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.model mymos NMOS (Vt0=0.8 kp=20u)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 d1 d1 out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 out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Vdd1 d1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M11 d2 d2 out1 0 mymos l=1u w=4u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M21 out1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Vdd2 d2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M12 d3 d3 out2 0 mymos l=1u w=6u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M22 out2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Vdd3 d3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M13 d4 d4 out3 0 mymos l=1u w=8u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M23 out3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Vdd4 d4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Vin in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.dc Vin 0 5 0.05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.control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run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plot V(out) V(out1) V(out2) V(out3) V(in)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.endc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.end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FFFFFF" w:themeColor="background1"/>
                <w:kern w:val="0"/>
                <w:sz w:val="21"/>
                <w:szCs w:val="21"/>
                <w:shd w:val="clear" w:fill="282C34"/>
                <w:lang w:val="en-GB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Verdana" w:hAnsi="Verdana" w:cs="Verdana"/>
          <w:lang w:val="en-IN"/>
        </w:rPr>
      </w:pPr>
    </w:p>
    <w:p>
      <w:pPr>
        <w:numPr>
          <w:ilvl w:val="0"/>
          <w:numId w:val="1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 xml:space="preserve"> </w:t>
      </w:r>
    </w:p>
    <w:tbl>
      <w:tblPr>
        <w:tblStyle w:val="7"/>
        <w:tblW w:w="8426" w:type="dxa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82C34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82C34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6" w:type="dxa"/>
            <w:shd w:val="clear" w:color="auto" w:fill="282C3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*saturated load inverter static analysis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.model mymos NMOS (Vt0=0.8 kp=20u)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 d1 d1 out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 out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Vdd1 d1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M11 d2 d2 out1 0 mymos l=1u w=4u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M21 out1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Vdd2 d2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M12 d3 d3 out2 0 mymos l=1u w=6u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M22 out2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Vdd3 d3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M13 d4 d4 out3 0 mymos l=1u w=8u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M23 out3 in 0 0 mymos l=1u w=2u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Vdd4 d4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Vin in 0 5V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.dc Vin 0 5 0.05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.control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run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plot V(out) V(out1) V(out2) V(out3) V(in)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.endc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mbria" w:hAnsi="Cambria" w:eastAsia="Cambria" w:cs="Cambria"/>
                <w:color w:val="FFFFFF" w:themeColor="background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.end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82C34"/>
              <w:spacing w:line="285" w:lineRule="atLeast"/>
              <w:jc w:val="left"/>
              <w:rPr>
                <w:rFonts w:hint="default" w:ascii="Consolas" w:hAnsi="Consolas" w:eastAsia="Consolas" w:cs="Consolas"/>
                <w:b/>
                <w:bCs/>
                <w:i/>
                <w:iCs/>
                <w:color w:val="FFFFFF" w:themeColor="background1"/>
                <w:kern w:val="0"/>
                <w:sz w:val="21"/>
                <w:szCs w:val="21"/>
                <w:shd w:val="clear" w:fill="282C34"/>
                <w:lang w:val="en-GB" w:eastAsia="zh-CN" w:bidi="ar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71"/>
        <w:rPr>
          <w:rFonts w:hint="default" w:ascii="Verdana" w:hAnsi="Verdana" w:cs="Verdana"/>
          <w:lang w:val="en-IN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SIMULATION RESULTS AND PRACTICAL CALCULATIONS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1.</w:t>
      </w:r>
    </w:p>
    <w:p>
      <w:p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5585460" cy="3330575"/>
            <wp:effectExtent l="0" t="0" r="15240" b="31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rPr>
          <w:rFonts w:hint="default" w:ascii="Verdana" w:hAnsi="Verdana" w:cs="Verdana"/>
          <w:lang w:val="en-GB"/>
        </w:rPr>
        <w:t>2.</w:t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GB"/>
        </w:rPr>
      </w:pPr>
      <w:r>
        <w:drawing>
          <wp:inline distT="0" distB="0" distL="114300" distR="114300">
            <wp:extent cx="5579745" cy="3051175"/>
            <wp:effectExtent l="0" t="0" r="1905" b="158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 w:ascii="Verdana" w:hAnsi="Verdana" w:cs="Verdana"/>
          <w:lang w:val="en-IN"/>
        </w:rPr>
      </w:pPr>
      <w:r>
        <w:rPr>
          <w:rFonts w:hint="default" w:ascii="Verdana" w:hAnsi="Verdana" w:cs="Verdana"/>
          <w:lang w:val="en-IN"/>
        </w:rPr>
        <w:t xml:space="preserve">3.  </w:t>
      </w:r>
    </w:p>
    <w:p>
      <w:pPr>
        <w:numPr>
          <w:ilvl w:val="0"/>
          <w:numId w:val="0"/>
        </w:numPr>
        <w:ind w:left="0" w:leftChars="0" w:firstLine="142" w:firstLineChars="71"/>
      </w:pPr>
      <w:r>
        <w:drawing>
          <wp:inline distT="0" distB="0" distL="114300" distR="114300">
            <wp:extent cx="5582285" cy="2756535"/>
            <wp:effectExtent l="0" t="0" r="18415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142" w:firstLineChars="71"/>
        <w:rPr>
          <w:rFonts w:hint="default"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TABLE OF THEORETICAL AND PRACTICAL CALCULATION</w:t>
      </w:r>
    </w:p>
    <w:tbl>
      <w:tblPr>
        <w:tblStyle w:val="3"/>
        <w:tblW w:w="0" w:type="auto"/>
        <w:tblInd w:w="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6"/>
        <w:gridCol w:w="3260"/>
        <w:gridCol w:w="26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3116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Parameters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Theoretical</w:t>
            </w:r>
            <w:r>
              <w:rPr>
                <w:rFonts w:hint="default" w:ascii="Verdana" w:hAnsi="Verdana" w:cs="Verdana"/>
                <w:b w:val="0"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values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Practically</w:t>
            </w:r>
            <w:r>
              <w:rPr>
                <w:rFonts w:hint="default" w:ascii="Verdana" w:hAnsi="Verdana" w:cs="Verdana"/>
                <w:b w:val="0"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Values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116" w:type="dxa"/>
          </w:tcPr>
          <w:p>
            <w:pPr>
              <w:pStyle w:val="8"/>
              <w:spacing w:line="328" w:lineRule="exact"/>
              <w:ind w:left="1257" w:right="1251"/>
              <w:jc w:val="center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position w:val="2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OL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2.1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1.23</w:t>
            </w:r>
            <w:r>
              <w:rPr>
                <w:rFonts w:hint="default" w:ascii="Verdana" w:hAnsi="Verdana" w:cs="Verdana"/>
                <w:b w:val="0"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6" w:type="dxa"/>
          </w:tcPr>
          <w:p>
            <w:pPr>
              <w:pStyle w:val="8"/>
              <w:spacing w:line="328" w:lineRule="exact"/>
              <w:ind w:left="1254" w:right="1251"/>
              <w:jc w:val="center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position w:val="2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OH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4.2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4.2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3116" w:type="dxa"/>
          </w:tcPr>
          <w:p>
            <w:pPr>
              <w:pStyle w:val="8"/>
              <w:spacing w:line="328" w:lineRule="exact"/>
              <w:ind w:left="1252" w:right="1251"/>
              <w:jc w:val="center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position w:val="2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IL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0.8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0.85</w:t>
            </w:r>
            <w:r>
              <w:rPr>
                <w:rFonts w:hint="default" w:ascii="Verdana" w:hAnsi="Verdana" w:cs="Verdana"/>
                <w:b w:val="0"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3116" w:type="dxa"/>
          </w:tcPr>
          <w:p>
            <w:pPr>
              <w:pStyle w:val="8"/>
              <w:spacing w:line="328" w:lineRule="exact"/>
              <w:ind w:left="1254" w:right="1251"/>
              <w:jc w:val="center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position w:val="2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IH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2.9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3.2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116" w:type="dxa"/>
          </w:tcPr>
          <w:p>
            <w:pPr>
              <w:pStyle w:val="8"/>
              <w:spacing w:line="328" w:lineRule="exact"/>
              <w:ind w:left="1255" w:right="1251"/>
              <w:jc w:val="center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position w:val="2"/>
                <w:sz w:val="20"/>
                <w:szCs w:val="20"/>
              </w:rPr>
              <w:t>V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TH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2.5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2.5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116" w:type="dxa"/>
          </w:tcPr>
          <w:p>
            <w:pPr>
              <w:pStyle w:val="8"/>
              <w:spacing w:line="328" w:lineRule="exact"/>
              <w:ind w:left="1257" w:right="1248"/>
              <w:jc w:val="center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position w:val="2"/>
                <w:sz w:val="20"/>
                <w:szCs w:val="20"/>
              </w:rPr>
              <w:t>NM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L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1.3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0.38</w:t>
            </w:r>
            <w:r>
              <w:rPr>
                <w:rFonts w:hint="default" w:ascii="Verdana" w:hAnsi="Verdana" w:cs="Verdana"/>
                <w:b w:val="0"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3116" w:type="dxa"/>
          </w:tcPr>
          <w:p>
            <w:pPr>
              <w:pStyle w:val="8"/>
              <w:spacing w:line="328" w:lineRule="exact"/>
              <w:ind w:left="1257" w:right="1251"/>
              <w:jc w:val="center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position w:val="2"/>
                <w:sz w:val="20"/>
                <w:szCs w:val="20"/>
              </w:rPr>
              <w:t>NM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H</w:t>
            </w:r>
          </w:p>
        </w:tc>
        <w:tc>
          <w:tcPr>
            <w:tcW w:w="3260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1.3</w:t>
            </w:r>
            <w:r>
              <w:rPr>
                <w:rFonts w:hint="default" w:ascii="Verdana" w:hAnsi="Verdana" w:cs="Verdana"/>
                <w:b w:val="0"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  <w:tc>
          <w:tcPr>
            <w:tcW w:w="2643" w:type="dxa"/>
          </w:tcPr>
          <w:p>
            <w:pPr>
              <w:pStyle w:val="8"/>
              <w:ind w:left="107"/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</w:pP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1.18</w:t>
            </w:r>
            <w:r>
              <w:rPr>
                <w:rFonts w:hint="default" w:ascii="Verdana" w:hAnsi="Verdana" w:cs="Verdana"/>
                <w:b w:val="0"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bCs/>
                <w:sz w:val="20"/>
                <w:szCs w:val="20"/>
              </w:rPr>
              <w:t>V</w:t>
            </w:r>
          </w:p>
        </w:tc>
      </w:tr>
    </w:tbl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</w:p>
    <w:p>
      <w:pPr>
        <w:pStyle w:val="4"/>
        <w:spacing w:line="261" w:lineRule="auto"/>
        <w:ind w:left="320" w:right="851"/>
        <w:rPr>
          <w:rFonts w:hint="default" w:ascii="Verdana" w:hAnsi="Verdana" w:cs="Verdana"/>
          <w:sz w:val="20"/>
          <w:szCs w:val="20"/>
          <w:lang w:val="en-IN"/>
        </w:rPr>
      </w:pPr>
      <w:r>
        <w:rPr>
          <w:rFonts w:hint="default" w:ascii="Verdana" w:hAnsi="Verdana" w:cs="Verdana"/>
          <w:sz w:val="20"/>
          <w:szCs w:val="20"/>
        </w:rPr>
        <w:t>Comparison Of Noise Margin of Resistively and Saturated Loaded NMOS</w:t>
      </w:r>
      <w:r>
        <w:rPr>
          <w:rFonts w:hint="default" w:ascii="Verdana" w:hAnsi="Verdana" w:cs="Verdana"/>
          <w:spacing w:val="-50"/>
          <w:sz w:val="20"/>
          <w:szCs w:val="20"/>
        </w:rPr>
        <w:t xml:space="preserve"> </w:t>
      </w:r>
      <w:r>
        <w:rPr>
          <w:rFonts w:hint="default" w:ascii="Verdana" w:hAnsi="Verdana" w:cs="Verdana"/>
          <w:sz w:val="20"/>
          <w:szCs w:val="20"/>
        </w:rPr>
        <w:t>inverter.</w:t>
      </w:r>
    </w:p>
    <w:p>
      <w:pPr>
        <w:pStyle w:val="4"/>
        <w:rPr>
          <w:rFonts w:hint="default" w:ascii="Verdana" w:hAnsi="Verdana" w:cs="Verdana"/>
          <w:sz w:val="20"/>
          <w:szCs w:val="20"/>
        </w:rPr>
      </w:pPr>
    </w:p>
    <w:p>
      <w:pPr>
        <w:pStyle w:val="4"/>
        <w:spacing w:before="3"/>
        <w:rPr>
          <w:rFonts w:hint="default" w:ascii="Verdana" w:hAnsi="Verdana" w:cs="Verdana"/>
          <w:sz w:val="20"/>
          <w:szCs w:val="20"/>
        </w:rPr>
      </w:pPr>
    </w:p>
    <w:tbl>
      <w:tblPr>
        <w:tblStyle w:val="3"/>
        <w:tblW w:w="0" w:type="auto"/>
        <w:tblInd w:w="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  <w:gridCol w:w="2693"/>
        <w:gridCol w:w="23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3965" w:type="dxa"/>
          </w:tcPr>
          <w:p>
            <w:pPr>
              <w:pStyle w:val="8"/>
              <w:rPr>
                <w:rFonts w:hint="default" w:ascii="Verdana" w:hAnsi="Verdana" w:cs="Verdana"/>
                <w:sz w:val="20"/>
                <w:szCs w:val="20"/>
              </w:rPr>
            </w:pPr>
          </w:p>
        </w:tc>
        <w:tc>
          <w:tcPr>
            <w:tcW w:w="2693" w:type="dxa"/>
          </w:tcPr>
          <w:p>
            <w:pPr>
              <w:pStyle w:val="8"/>
              <w:spacing w:line="328" w:lineRule="exact"/>
              <w:ind w:left="938" w:right="927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position w:val="2"/>
                <w:sz w:val="20"/>
                <w:szCs w:val="20"/>
              </w:rPr>
              <w:t>NM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L</w:t>
            </w:r>
          </w:p>
        </w:tc>
        <w:tc>
          <w:tcPr>
            <w:tcW w:w="2360" w:type="dxa"/>
          </w:tcPr>
          <w:p>
            <w:pPr>
              <w:pStyle w:val="8"/>
              <w:spacing w:line="328" w:lineRule="exact"/>
              <w:ind w:left="882" w:right="871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position w:val="2"/>
                <w:sz w:val="20"/>
                <w:szCs w:val="20"/>
              </w:rPr>
              <w:t>NM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3965" w:type="dxa"/>
          </w:tcPr>
          <w:p>
            <w:pPr>
              <w:pStyle w:val="8"/>
              <w:spacing w:line="281" w:lineRule="exact"/>
              <w:ind w:left="576" w:right="565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Resistively</w:t>
            </w:r>
            <w:r>
              <w:rPr>
                <w:rFonts w:hint="default" w:ascii="Verdana" w:hAnsi="Verdana" w:cs="Verdana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Loaded</w:t>
            </w:r>
            <w:r>
              <w:rPr>
                <w:rFonts w:hint="default" w:ascii="Verdana" w:hAnsi="Verdana" w:cs="Verdana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NMOS</w:t>
            </w:r>
          </w:p>
        </w:tc>
        <w:tc>
          <w:tcPr>
            <w:tcW w:w="2693" w:type="dxa"/>
          </w:tcPr>
          <w:p>
            <w:pPr>
              <w:pStyle w:val="8"/>
              <w:spacing w:line="281" w:lineRule="exact"/>
              <w:ind w:left="938" w:right="929"/>
              <w:jc w:val="center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0.802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</w:t>
            </w:r>
          </w:p>
        </w:tc>
        <w:tc>
          <w:tcPr>
            <w:tcW w:w="2360" w:type="dxa"/>
          </w:tcPr>
          <w:p>
            <w:pPr>
              <w:pStyle w:val="8"/>
              <w:spacing w:line="281" w:lineRule="exact"/>
              <w:ind w:left="857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3.12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3965" w:type="dxa"/>
          </w:tcPr>
          <w:p>
            <w:pPr>
              <w:pStyle w:val="8"/>
              <w:spacing w:line="281" w:lineRule="exact"/>
              <w:ind w:left="573" w:right="565"/>
              <w:jc w:val="center"/>
              <w:rPr>
                <w:rFonts w:hint="default" w:ascii="Verdana" w:hAnsi="Verdana" w:cs="Verdana"/>
                <w:b/>
                <w:sz w:val="20"/>
                <w:szCs w:val="20"/>
              </w:rPr>
            </w:pPr>
            <w:r>
              <w:rPr>
                <w:rFonts w:hint="default" w:ascii="Verdana" w:hAnsi="Verdana" w:cs="Verdana"/>
                <w:b/>
                <w:sz w:val="20"/>
                <w:szCs w:val="20"/>
              </w:rPr>
              <w:t>Saturated</w:t>
            </w:r>
            <w:r>
              <w:rPr>
                <w:rFonts w:hint="default" w:ascii="Verdana" w:hAnsi="Verdana" w:cs="Verdana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Loaded</w:t>
            </w:r>
            <w:r>
              <w:rPr>
                <w:rFonts w:hint="default" w:ascii="Verdana" w:hAnsi="Verdana" w:cs="Verdana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b/>
                <w:sz w:val="20"/>
                <w:szCs w:val="20"/>
              </w:rPr>
              <w:t>NMOS</w:t>
            </w:r>
          </w:p>
        </w:tc>
        <w:tc>
          <w:tcPr>
            <w:tcW w:w="2693" w:type="dxa"/>
          </w:tcPr>
          <w:p>
            <w:pPr>
              <w:pStyle w:val="8"/>
              <w:spacing w:line="281" w:lineRule="exact"/>
              <w:ind w:left="958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0.302</w:t>
            </w:r>
            <w:r>
              <w:rPr>
                <w:rFonts w:hint="default" w:ascii="Verdana" w:hAnsi="Verdana" w:cs="Verdana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</w:t>
            </w:r>
          </w:p>
        </w:tc>
        <w:tc>
          <w:tcPr>
            <w:tcW w:w="2360" w:type="dxa"/>
          </w:tcPr>
          <w:p>
            <w:pPr>
              <w:pStyle w:val="8"/>
              <w:spacing w:line="281" w:lineRule="exact"/>
              <w:ind w:left="857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1.18</w:t>
            </w:r>
            <w:r>
              <w:rPr>
                <w:rFonts w:hint="default" w:ascii="Verdana" w:hAnsi="Verdana" w:cs="Verdana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Verdana" w:hAnsi="Verdana" w:cs="Verdana"/>
                <w:sz w:val="20"/>
                <w:szCs w:val="20"/>
              </w:rPr>
              <w:t>V</w:t>
            </w:r>
          </w:p>
        </w:tc>
      </w:tr>
    </w:tbl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</w:p>
    <w:p>
      <w:pPr>
        <w:ind w:left="1" w:leftChars="-100" w:hanging="201" w:hangingChars="100"/>
        <w:rPr>
          <w:rFonts w:hint="default" w:ascii="Verdana" w:hAnsi="Verdana" w:cs="Verdana"/>
          <w:b/>
          <w:bCs/>
          <w:lang w:val="en-GB"/>
        </w:rPr>
      </w:pPr>
      <w:r>
        <w:rPr>
          <w:rFonts w:hint="default" w:ascii="Verdana" w:hAnsi="Verdana" w:cs="Verdana"/>
          <w:b/>
          <w:bCs/>
          <w:lang w:val="en-GB"/>
        </w:rPr>
        <w:t>CONCLUSION</w:t>
      </w:r>
    </w:p>
    <w:p>
      <w:pPr>
        <w:ind w:left="0" w:leftChars="-100" w:hanging="200" w:hangingChars="100"/>
        <w:rPr>
          <w:rFonts w:hint="default" w:ascii="Verdana" w:hAnsi="Verdana" w:cs="Verdana"/>
          <w:b w:val="0"/>
          <w:bCs w:val="0"/>
          <w:lang w:val="en-IN"/>
        </w:rPr>
      </w:pPr>
      <w:r>
        <w:rPr>
          <w:rFonts w:hint="default" w:ascii="Verdana" w:hAnsi="Verdana" w:cs="Verdana"/>
          <w:b w:val="0"/>
          <w:bCs w:val="0"/>
          <w:lang w:val="en-IN"/>
        </w:rPr>
        <w:t xml:space="preserve">  </w:t>
      </w:r>
      <w:bookmarkStart w:id="0" w:name="_GoBack"/>
      <w:bookmarkEnd w:id="0"/>
    </w:p>
    <w:sectPr>
      <w:footerReference r:id="rId3" w:type="default"/>
      <w:pgSz w:w="11906" w:h="16838"/>
      <w:pgMar w:top="1040" w:right="1506" w:bottom="1198" w:left="1600" w:header="720" w:footer="520" w:gutter="0"/>
      <w:pgBorders>
        <w:top w:val="thinThickSmallGap" w:color="auto" w:sz="12" w:space="10"/>
        <w:left w:val="thinThickSmallGap" w:color="auto" w:sz="12" w:space="30"/>
        <w:bottom w:val="thinThickSmallGap" w:color="auto" w:sz="12" w:space="10"/>
        <w:right w:val="thinThickSmallGap" w:color="auto" w:sz="12" w:space="30"/>
      </w:pgBorders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hd w:val="clear"/>
      <w:ind w:left="68" w:leftChars="-200" w:hanging="468" w:hangingChars="222"/>
      <w:rPr>
        <w:rFonts w:hint="default"/>
        <w:b/>
        <w:bCs/>
        <w:color w:val="767171" w:themeColor="background2" w:themeShade="80"/>
        <w:sz w:val="21"/>
        <w:szCs w:val="21"/>
        <w:lang w:val="en-GB"/>
      </w:rPr>
    </w:pPr>
    <w:r>
      <w:rPr>
        <w:b/>
        <w:bCs/>
        <w:color w:val="767171" w:themeColor="background2" w:themeShade="80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5711825</wp:posOffset>
              </wp:positionH>
              <wp:positionV relativeFrom="paragraph">
                <wp:posOffset>-6985</wp:posOffset>
              </wp:positionV>
              <wp:extent cx="280670" cy="2165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670" cy="2165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9.75pt;margin-top:-0.55pt;height:17.05pt;width:22.1pt;mso-position-horizontal-relative:margin;z-index:251659264;mso-width-relative:page;mso-height-relative:page;" filled="f" stroked="f" coordsize="21600,21600" o:gfxdata="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/IG59kAAAAJAQAADwAAAAAAAAABACAAAAAiAAAAZHJzL2Rvd25yZXYueG1sUEsBAhQAFAAA&#10;AAgAh07iQIOZHe4nAgAAY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767171" w:themeColor="background2" w:themeShade="80"/>
        <w:sz w:val="21"/>
        <w:szCs w:val="21"/>
        <w:lang w:val="en-GB"/>
      </w:rPr>
      <w:t>U19EC046 | Harsh Suthar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BAAE7"/>
    <w:multiLevelType w:val="singleLevel"/>
    <w:tmpl w:val="1C4BAA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62FA"/>
    <w:rsid w:val="019621A8"/>
    <w:rsid w:val="07C96E96"/>
    <w:rsid w:val="0CCC1BD3"/>
    <w:rsid w:val="13B131E8"/>
    <w:rsid w:val="144D3F95"/>
    <w:rsid w:val="2004097C"/>
    <w:rsid w:val="267F5EB0"/>
    <w:rsid w:val="3310154D"/>
    <w:rsid w:val="3F6112AB"/>
    <w:rsid w:val="4D3D6E98"/>
    <w:rsid w:val="5A2D09FC"/>
    <w:rsid w:val="5AB96D8C"/>
    <w:rsid w:val="66434A11"/>
    <w:rsid w:val="6AAD4032"/>
    <w:rsid w:val="7208470F"/>
    <w:rsid w:val="731035C9"/>
    <w:rsid w:val="76976B8E"/>
    <w:rsid w:val="7BA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2021-10-03T06:51:00Z</dcterms:created>
  <dc:creator>Sceke</dc:creator>
  <cp:lastModifiedBy>BERNAULLI</cp:lastModifiedBy>
  <dcterms:modified xsi:type="dcterms:W3CDTF">2022-04-20T06:46:09Z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0FCAEB97BCD4416A85309C0C8CD70D65</vt:lpwstr>
  </property>
</Properties>
</file>