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U19EC046 | WMC</w:t>
      </w:r>
      <w:bookmarkStart w:id="0" w:name="_GoBack"/>
      <w:bookmarkEnd w:id="0"/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 | LAB X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MATLAB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1.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2.</w:t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2004097C"/>
    <w:rsid w:val="4D3D6E98"/>
    <w:rsid w:val="66434A11"/>
    <w:rsid w:val="6A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2022-01-16T13:42:29Z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0FCAEB97BCD4416A85309C0C8CD70D65</vt:lpwstr>
  </property>
</Properties>
</file>