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76B55" w14:textId="08DA969D" w:rsidR="0053396E" w:rsidRDefault="0053396E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Актуальность</w:t>
      </w:r>
    </w:p>
    <w:p w14:paraId="24E71F01" w14:textId="77777777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Утопление является третьей по значимости причиной смерти от непреднамеренных травм в мире — на него приходится 7% всех случаев смерти, связанных с травмами.</w:t>
      </w:r>
    </w:p>
    <w:p w14:paraId="519D2BAD" w14:textId="77777777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По оценкам, от 320 000 человек в год умирают от утоплений.</w:t>
      </w:r>
    </w:p>
    <w:p w14:paraId="15A15C2C" w14:textId="77777777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Глобальные оценки могут значительно недооценивать реальную проблему общественного здравоохранения, связанную с утоплением.</w:t>
      </w:r>
    </w:p>
    <w:p w14:paraId="44D0C58C" w14:textId="6A59D308" w:rsidR="0053396E" w:rsidRPr="0053396E" w:rsidRDefault="0053396E" w:rsidP="0053396E">
      <w:pPr>
        <w:pStyle w:val="a3"/>
        <w:spacing w:before="0" w:beforeAutospacing="0" w:after="0" w:afterAutospacing="0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53396E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Наибольшему риску утопления подвергаются дети, мужчины и люди с расширенным доступом к воде.</w:t>
      </w:r>
    </w:p>
    <w:p w14:paraId="2135CD51" w14:textId="61003E6B" w:rsidR="00177472" w:rsidRPr="00177472" w:rsidRDefault="00177472" w:rsidP="00177472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Аналоги</w:t>
      </w:r>
    </w:p>
    <w:p w14:paraId="494B6B90" w14:textId="255AA92F" w:rsidR="00177472" w:rsidRPr="00177472" w:rsidRDefault="00177472" w:rsidP="0017747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Существующие </w:t>
      </w:r>
      <w:r w:rsidRPr="00177472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  <w:lang w:eastAsia="ru-RU"/>
        </w:rPr>
        <w:t>аналоги проекта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: 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GUARDIAN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(браслет с капсулой, всплывающей и издающей громкий звук при нахождении человека под водой слишком долго – без замера пульса и 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Sp</w:t>
      </w:r>
      <w:r w:rsidR="003A3D4D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O</w:t>
      </w:r>
      <w:r w:rsidR="003A3D4D" w:rsidRPr="003A3D4D">
        <w:rPr>
          <w:rFonts w:eastAsiaTheme="minorEastAsia" w:hAnsi="Calibri"/>
          <w:color w:val="000000" w:themeColor="text1"/>
          <w:kern w:val="24"/>
          <w:sz w:val="32"/>
          <w:szCs w:val="32"/>
          <w:vertAlign w:val="subscript"/>
          <w:lang w:eastAsia="ru-RU"/>
        </w:rPr>
        <w:t>2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); 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SwimEye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(использует данные только с камер, поэтому пригодна только в условиях прозрачной воды бассейна); 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val="en-US" w:eastAsia="ru-RU"/>
        </w:rPr>
        <w:t>Sentag</w:t>
      </w:r>
      <w:r w:rsidRPr="00177472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 xml:space="preserve"> (также ориентируется только на глубину).</w:t>
      </w:r>
    </w:p>
    <w:p w14:paraId="62581151" w14:textId="77777777" w:rsidR="00177472" w:rsidRDefault="00177472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</w:p>
    <w:p w14:paraId="35218E88" w14:textId="7DCDFC61" w:rsidR="00634686" w:rsidRP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Аппаратная часть</w:t>
      </w:r>
    </w:p>
    <w:p w14:paraId="2826803D" w14:textId="0A29C83D" w:rsidR="00A94C79" w:rsidRDefault="00140800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качестве центрального узла системы был выбран микрокомпьютер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Orange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Pi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из-за небольшого размера, энергоэффективности (по сравнению с обычным ПК) и цены. Его производительности вполне хватит, чтобы отобразить веб-страницу.</w:t>
      </w:r>
    </w:p>
    <w:p w14:paraId="7FF38D6B" w14:textId="6B1E9113" w:rsidR="00A94C79" w:rsidRPr="00A94C79" w:rsidRDefault="00A94C79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Т.к. необходима постоянная связь устройств по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то удобнее всего оказалось использовать микроконтроллер со встроенным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—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Wemos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D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1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mini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41EAA256" w14:textId="77777777" w:rsidR="00634686" w:rsidRP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Программная</w:t>
      </w: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 xml:space="preserve"> часть</w:t>
      </w:r>
    </w:p>
    <w:p w14:paraId="61628519" w14:textId="77777777" w:rsidR="00634686" w:rsidRPr="00140800" w:rsidRDefault="00634686" w:rsidP="00634686">
      <w:pPr>
        <w:pStyle w:val="a3"/>
        <w:spacing w:before="0" w:beforeAutospacing="0" w:after="0" w:afterAutospacing="0"/>
        <w:rPr>
          <w:sz w:val="12"/>
          <w:szCs w:val="1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связи между устройствами используется протокол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Сервер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принимает сообщения по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и выдаёт маякам команды на испускание ультразвука. Клиентская часть, предназначенная для показа спасателю местоположений пловцов и выдачи в случае чего сигнала тревоги написана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веб-стеке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HTML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CSS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используется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Webpack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для сборки), для связи с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-бэкендом используется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Socket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io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</w:p>
    <w:p w14:paraId="1B98F157" w14:textId="411B75FC" w:rsidR="00634686" w:rsidRDefault="00634686" w:rsidP="0063468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Прошивки для микроконтроллеров написаны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++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PlatformIO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).</w:t>
      </w:r>
    </w:p>
    <w:p w14:paraId="558A2774" w14:textId="30185DFD" w:rsidR="00AD10C7" w:rsidRDefault="00AD10C7" w:rsidP="0063468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</w:p>
    <w:p w14:paraId="31DA8C60" w14:textId="0915CD14" w:rsidR="00AD10C7" w:rsidRPr="00AD10C7" w:rsidRDefault="00AD10C7" w:rsidP="00AD10C7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</w:pPr>
      <w:r w:rsidRPr="00AD10C7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lastRenderedPageBreak/>
        <w:t>Стоимость системы</w:t>
      </w:r>
    </w:p>
    <w:p w14:paraId="50E3B212" w14:textId="06E81A0E" w:rsidR="00433DE2" w:rsidRPr="009D34BA" w:rsidRDefault="00AD10C7" w:rsidP="009D34B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D10C7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>Рассчитаем стоимость системы</w:t>
      </w:r>
      <w:r w:rsidR="009D34BA">
        <w:rPr>
          <w:rFonts w:eastAsiaTheme="minorEastAsia" w:hAnsi="Calibri"/>
          <w:color w:val="000000" w:themeColor="text1"/>
          <w:kern w:val="24"/>
          <w:sz w:val="32"/>
          <w:szCs w:val="32"/>
          <w:lang w:eastAsia="ru-RU"/>
        </w:rPr>
        <w:t>.</w:t>
      </w:r>
    </w:p>
    <w:sectPr w:rsidR="00433DE2" w:rsidRPr="009D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2C"/>
    <w:rsid w:val="000E36BC"/>
    <w:rsid w:val="00140800"/>
    <w:rsid w:val="00177472"/>
    <w:rsid w:val="0032292C"/>
    <w:rsid w:val="003A3D4D"/>
    <w:rsid w:val="00433DE2"/>
    <w:rsid w:val="0053396E"/>
    <w:rsid w:val="00634686"/>
    <w:rsid w:val="009A4646"/>
    <w:rsid w:val="009D34BA"/>
    <w:rsid w:val="00A94C79"/>
    <w:rsid w:val="00AD10C7"/>
    <w:rsid w:val="00C6462D"/>
    <w:rsid w:val="00F0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1D2A"/>
  <w15:chartTrackingRefBased/>
  <w15:docId w15:val="{AB129176-B381-4218-B9CD-3F62F063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</cp:lastModifiedBy>
  <cp:revision>18</cp:revision>
  <dcterms:created xsi:type="dcterms:W3CDTF">2020-06-05T06:45:00Z</dcterms:created>
  <dcterms:modified xsi:type="dcterms:W3CDTF">2020-06-05T12:04:00Z</dcterms:modified>
</cp:coreProperties>
</file>