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Recorde test page</w:t>
      </w:r>
    </w:p>
    <w:p>
      <w:r>
        <w:t>Work through the markers ⟨n⟩ in order. For each: click on the marker line, delete the marker text, set the pane as described, paste the LaTeX, Insert. Tick the result in the table at the end. Pane settings not mentioned stay at their defaults (Termes, Match selection, black).</w:t>
      </w:r>
    </w:p>
    <w:p>
      <w:pPr>
        <w:pStyle w:val="Heading1"/>
      </w:pPr>
      <w:r>
        <w:t>1. Inline equations in running text</w:t>
      </w:r>
    </w:p>
    <w:p>
      <w:r>
        <w:t xml:space="preserve">Consider a particle of mass m in a potential V(x). Its energy is conserved, </w:t>
      </w:r>
    </w:p>
    <w:p>
      <w:r>
        <w:rPr>
          <w:b/>
          <w:color w:val="B5321E"/>
        </w:rPr>
        <w:t xml:space="preserve">⟨1⟩ </w:t>
      </w:r>
      <w:r>
        <w:rPr>
          <w:i/>
        </w:rPr>
        <w:t xml:space="preserve">Inline · Termes · Match selection — </w:t>
      </w:r>
      <w:r>
        <w:rPr>
          <w:rFonts w:ascii="Consolas" w:hAnsi="Consolas"/>
          <w:sz w:val="19"/>
        </w:rPr>
        <w:t>E = \frac{p^2}{2m} + V(x)</w:t>
      </w:r>
      <w:r>
        <w:rPr>
          <w:color w:val="616161"/>
          <w:sz w:val="18"/>
        </w:rPr>
        <w:t xml:space="preserve">  baseline should sit on the text line</w:t>
      </w:r>
    </w:p>
    <w:p>
      <w:r>
        <w:t xml:space="preserve">and for a harmonic well the frequency follows from the curvature at the minimum, </w:t>
      </w:r>
    </w:p>
    <w:p>
      <w:r>
        <w:rPr>
          <w:b/>
          <w:color w:val="B5321E"/>
        </w:rPr>
        <w:t xml:space="preserve">⟨2⟩ </w:t>
      </w:r>
      <w:r>
        <w:rPr>
          <w:i/>
        </w:rPr>
        <w:t xml:space="preserve">Inline · New Computer Modern · Match body — </w:t>
      </w:r>
      <w:r>
        <w:rPr>
          <w:rFonts w:ascii="Consolas" w:hAnsi="Consolas"/>
          <w:sz w:val="19"/>
        </w:rPr>
        <w:t>\omega = \sqrt{V(x_0)/m}</w:t>
      </w:r>
      <w:r>
        <w:rPr>
          <w:color w:val="616161"/>
          <w:sz w:val="18"/>
        </w:rPr>
        <w:t xml:space="preserve">  different font than ⟨1⟩</w:t>
      </w:r>
    </w:p>
    <w:p>
      <w:r>
        <w:t xml:space="preserve">The imaginary unit and Euler’s number come from the document preamble: </w:t>
      </w:r>
    </w:p>
    <w:p>
      <w:r>
        <w:rPr>
          <w:b/>
          <w:color w:val="B5321E"/>
        </w:rPr>
        <w:t xml:space="preserve">⟨3⟩ </w:t>
      </w:r>
      <w:r>
        <w:rPr>
          <w:i/>
        </w:rPr>
        <w:t xml:space="preserve">Inline · Termes · Fixed 14 pt · colour dark red (#8B0000) — </w:t>
      </w:r>
      <w:r>
        <w:rPr>
          <w:rFonts w:ascii="Consolas" w:hAnsi="Consolas"/>
          <w:sz w:val="19"/>
        </w:rPr>
        <w:t>\E^{\I\pi} + 1 = 0</w:t>
      </w:r>
      <w:r>
        <w:rPr>
          <w:color w:val="616161"/>
          <w:sz w:val="18"/>
        </w:rPr>
        <w:t xml:space="preserve">  larger + coloured; uses \E and \I macros</w:t>
      </w:r>
    </w:p>
    <w:p>
      <w:pPr>
        <w:pStyle w:val="Heading1"/>
      </w:pPr>
      <w:r>
        <w:t>2. Display equations, unnumbered</w:t>
      </w:r>
    </w:p>
    <w:p>
      <w:r>
        <w:t>The propagator of the free particle in one dimension is</w:t>
      </w:r>
    </w:p>
    <w:p>
      <w:r>
        <w:rPr>
          <w:b/>
          <w:color w:val="B5321E"/>
        </w:rPr>
        <w:t xml:space="preserve">⟨4⟩ </w:t>
      </w:r>
      <w:r>
        <w:rPr>
          <w:i/>
        </w:rPr>
        <w:t xml:space="preserve">Display · STIX Two · Match body — </w:t>
      </w:r>
      <w:r>
        <w:rPr>
          <w:rFonts w:ascii="Consolas" w:hAnsi="Consolas"/>
          <w:sz w:val="19"/>
        </w:rPr>
        <w:t>K(x_f,t_f;x_i,t_i) = \sqrt{\frac{m}{2\pi\I\hbar\,(t_f-t_i)}}\;\exp\!\left[\frac{\I m (x_f-x_i)^2}{2\hbar (t_f-t_i)}\right]</w:t>
      </w:r>
      <w:r>
        <w:rPr>
          <w:color w:val="616161"/>
          <w:sz w:val="18"/>
        </w:rPr>
        <w:t xml:space="preserve">  centred on its own paragraph; the prose stays left-aligned</w:t>
      </w:r>
    </w:p>
    <w:p>
      <w:pPr>
        <w:pStyle w:val="Heading1"/>
      </w:pPr>
      <w:r>
        <w:t>3. Numbering: inline style</w:t>
      </w:r>
    </w:p>
    <w:p>
      <w:r>
        <w:t>Set Numbering to “Inline (after equation)” and tick “Number this equation”.</w:t>
      </w:r>
    </w:p>
    <w:p>
      <w:r>
        <w:rPr>
          <w:b/>
          <w:color w:val="B5321E"/>
        </w:rPr>
        <w:t xml:space="preserve">⟨5⟩ </w:t>
      </w:r>
      <w:r>
        <w:rPr>
          <w:i/>
        </w:rPr>
        <w:t xml:space="preserve">Display · numbered (inline style) — </w:t>
      </w:r>
      <w:r>
        <w:rPr>
          <w:rFonts w:ascii="Consolas" w:hAnsi="Consolas"/>
          <w:sz w:val="19"/>
        </w:rPr>
        <w:t>\int_{-\infty}^{\infty} e^{-x^2}\,dx = \sqrt{\pi}</w:t>
      </w:r>
      <w:r>
        <w:rPr>
          <w:color w:val="616161"/>
          <w:sz w:val="18"/>
        </w:rPr>
        <w:t xml:space="preserve">  expect (1)</w:t>
      </w:r>
    </w:p>
    <w:p>
      <w:r>
        <w:rPr>
          <w:b/>
          <w:color w:val="B5321E"/>
        </w:rPr>
        <w:t xml:space="preserve">⟨6⟩ </w:t>
      </w:r>
      <w:r>
        <w:rPr>
          <w:i/>
        </w:rPr>
        <w:t xml:space="preserve">Display · numbered (inline style) · Pagella — </w:t>
      </w:r>
      <w:r>
        <w:rPr>
          <w:rFonts w:ascii="Consolas" w:hAnsi="Consolas"/>
          <w:sz w:val="19"/>
        </w:rPr>
        <w:t>x = \frac{-b \pm \sqrt{b^2 - 4ac}}{2a}</w:t>
      </w:r>
      <w:r>
        <w:rPr>
          <w:color w:val="616161"/>
          <w:sz w:val="18"/>
        </w:rPr>
        <w:t xml:space="preserve">  expect (2)</w:t>
      </w:r>
    </w:p>
    <w:p>
      <w:pPr>
        <w:pStyle w:val="Heading1"/>
      </w:pPr>
      <w:r>
        <w:t>4. Numbering: flush-right table style</w:t>
      </w:r>
    </w:p>
    <w:p>
      <w:r>
        <w:t>Switch Numbering to “Flush right (table)”.</w:t>
      </w:r>
    </w:p>
    <w:p>
      <w:r>
        <w:rPr>
          <w:b/>
          <w:color w:val="B5321E"/>
        </w:rPr>
        <w:t xml:space="preserve">⟨7⟩ </w:t>
      </w:r>
      <w:r>
        <w:rPr>
          <w:i/>
        </w:rPr>
        <w:t xml:space="preserve">Display · numbered (table style) — </w:t>
      </w:r>
      <w:r>
        <w:rPr>
          <w:rFonts w:ascii="Consolas" w:hAnsi="Consolas"/>
          <w:sz w:val="19"/>
        </w:rPr>
        <w:t>\VNabla \cdot \vb{E} = \frac{\rho}{\varepsilon_0}</w:t>
      </w:r>
      <w:r>
        <w:rPr>
          <w:color w:val="616161"/>
          <w:sz w:val="18"/>
        </w:rPr>
        <w:t xml:space="preserve">  expect a borderless row: equation centred, (3) at the right margin</w:t>
      </w:r>
    </w:p>
    <w:p>
      <w:r>
        <w:rPr>
          <w:b/>
          <w:color w:val="B5321E"/>
        </w:rPr>
        <w:t xml:space="preserve">⟨8⟩ </w:t>
      </w:r>
      <w:r>
        <w:rPr>
          <w:i/>
        </w:rPr>
        <w:t xml:space="preserve">Display · numbered (table style) · Asana Math — </w:t>
      </w:r>
      <w:r>
        <w:rPr>
          <w:rFonts w:ascii="Consolas" w:hAnsi="Consolas"/>
          <w:sz w:val="19"/>
        </w:rPr>
        <w:t>\HOp{H}\,\ket{\psi} = E\,\ket{\psi}</w:t>
      </w:r>
      <w:r>
        <w:rPr>
          <w:color w:val="616161"/>
          <w:sz w:val="18"/>
        </w:rPr>
        <w:t xml:space="preserve">  expect (4)</w:t>
      </w:r>
    </w:p>
    <w:p>
      <w:pPr>
        <w:pStyle w:val="Heading1"/>
      </w:pPr>
      <w:r>
        <w:t>5. Numbering: Word field style (desktop only)</w:t>
      </w:r>
    </w:p>
    <w:p>
      <w:r>
        <w:t>Switch Numbering to “Word field (desktop)”.</w:t>
      </w:r>
    </w:p>
    <w:p>
      <w:r>
        <w:rPr>
          <w:b/>
          <w:color w:val="B5321E"/>
        </w:rPr>
        <w:t xml:space="preserve">⟨9⟩ </w:t>
      </w:r>
      <w:r>
        <w:rPr>
          <w:i/>
        </w:rPr>
        <w:t xml:space="preserve">Display · numbered (field style) — </w:t>
      </w:r>
      <w:r>
        <w:rPr>
          <w:rFonts w:ascii="Consolas" w:hAnsi="Consolas"/>
          <w:sz w:val="19"/>
        </w:rPr>
        <w:t>\Avg*{\HOp{H}} = \sum_n \Abs{c_n}^2 E_n</w:t>
      </w:r>
      <w:r>
        <w:rPr>
          <w:color w:val="616161"/>
          <w:sz w:val="18"/>
        </w:rPr>
        <w:t xml:space="preserve">  expect (5); Alt+F9 shows { SEQ equation \* ARABIC }</w:t>
      </w:r>
    </w:p>
    <w:p>
      <w:r>
        <w:rPr>
          <w:b/>
          <w:color w:val="B5321E"/>
        </w:rPr>
        <w:t xml:space="preserve">⟨10⟩ </w:t>
      </w:r>
      <w:r>
        <w:rPr>
          <w:i/>
        </w:rPr>
        <w:t xml:space="preserve">Display · numbered (field style) — </w:t>
      </w:r>
      <w:r>
        <w:rPr>
          <w:rFonts w:ascii="Consolas" w:hAnsi="Consolas"/>
          <w:sz w:val="19"/>
        </w:rPr>
        <w:t>\OpComm{\HOp{x}, \HOp{p}} = \I\hbar</w:t>
      </w:r>
      <w:r>
        <w:rPr>
          <w:color w:val="616161"/>
          <w:sz w:val="18"/>
        </w:rPr>
        <w:t xml:space="preserve">  expect (6)</w:t>
      </w:r>
    </w:p>
    <w:p>
      <w:pPr>
        <w:pStyle w:val="Heading1"/>
      </w:pPr>
      <w:r>
        <w:t>6. Editing and renumbering</w:t>
      </w:r>
    </w:p>
    <w:p>
      <w:r>
        <w:t>a) Click equation ⟨5⟩ in the document: the pane loads it, status says “Editing”, the number shows (1) in the preview. Change the integrand to e^{-x^2/2} and press Ctrl+Enter: it updates in place and keeps (1).</w:t>
      </w:r>
    </w:p>
    <w:p>
      <w:r>
        <w:t>b) Select the whole ⟨6⟩ paragraph and delete it. Click “Renumber all”: ⟨7⟩…⟨10⟩ become (2)…(5); the field equations renumber too (Ctrl+A, F9 must agree).</w:t>
      </w:r>
    </w:p>
    <w:p>
      <w:r>
        <w:t>c) Open “Equations in this document”: five entries in document order with their numbers; click the last one → Word jumps to ⟨10⟩ and the pane loads it.</w:t>
      </w:r>
    </w:p>
    <w:p>
      <w:r>
        <w:t>d) With ⟨10⟩ loaded, press Esc: the pane returns to “New equation” without touching the document.</w:t>
      </w:r>
    </w:p>
    <w:p>
      <w:pPr>
        <w:pStyle w:val="Heading1"/>
      </w:pPr>
      <w:r>
        <w:t>7. Tools</w:t>
      </w:r>
    </w:p>
    <w:p>
      <w:r>
        <w:t>a) Examples → “Navier–Stokes”: Display mode and numbering are set; insert it here:</w:t>
      </w:r>
    </w:p>
    <w:p>
      <w:r>
        <w:rPr>
          <w:b/>
          <w:color w:val="B5321E"/>
        </w:rPr>
        <w:t xml:space="preserve">⟨11⟩ </w:t>
      </w:r>
      <w:r>
        <w:rPr>
          <w:i/>
        </w:rPr>
        <w:t xml:space="preserve">Examples → Navier–Stokes (as loaded) — </w:t>
      </w:r>
      <w:r>
        <w:rPr>
          <w:rFonts w:ascii="Consolas" w:hAnsi="Consolas"/>
          <w:sz w:val="19"/>
        </w:rPr>
        <w:t>(from the picker)</w:t>
      </w:r>
      <w:r>
        <w:rPr>
          <w:color w:val="616161"/>
          <w:sz w:val="18"/>
        </w:rPr>
        <w:t xml:space="preserve">  expect (6) in the current style</w:t>
      </w:r>
    </w:p>
    <w:p>
      <w:r>
        <w:t>b) Symbols palette: with an empty editor click ∑, then type the limits; insert inline:</w:t>
      </w:r>
    </w:p>
    <w:p>
      <w:r>
        <w:rPr>
          <w:b/>
          <w:color w:val="B5321E"/>
        </w:rPr>
        <w:t xml:space="preserve">⟨12⟩ </w:t>
      </w:r>
      <w:r>
        <w:rPr>
          <w:i/>
        </w:rPr>
        <w:t xml:space="preserve">Inline · palette snippet — </w:t>
      </w:r>
      <w:r>
        <w:rPr>
          <w:rFonts w:ascii="Consolas" w:hAnsi="Consolas"/>
          <w:sz w:val="19"/>
        </w:rPr>
        <w:t>\sum_{k=1}^{N} k = \frac{N(N+1)}{2}</w:t>
      </w:r>
    </w:p>
    <w:p>
      <w:r>
        <w:t>c) Macros: add  \newcommand{\vecr}{\vb{r}}  to the Macros box, then insert:</w:t>
      </w:r>
    </w:p>
    <w:p>
      <w:r>
        <w:rPr>
          <w:b/>
          <w:color w:val="B5321E"/>
        </w:rPr>
        <w:t xml:space="preserve">⟨13⟩ </w:t>
      </w:r>
      <w:r>
        <w:rPr>
          <w:i/>
        </w:rPr>
        <w:t xml:space="preserve">Display · uses the new macro — </w:t>
      </w:r>
      <w:r>
        <w:rPr>
          <w:rFonts w:ascii="Consolas" w:hAnsi="Consolas"/>
          <w:sz w:val="19"/>
        </w:rPr>
        <w:t>\HOp{\vb{E}}(\vecr, t)</w:t>
      </w:r>
      <w:r>
        <w:rPr>
          <w:color w:val="616161"/>
          <w:sz w:val="18"/>
        </w:rPr>
        <w:t xml:space="preserve">  must render bold r</w:t>
      </w:r>
    </w:p>
    <w:p>
      <w:r>
        <w:t>d) Type  \frac{a}{  in the editor: the red message “Missing close brace” appears under the source; complete it and the message disappears.</w:t>
      </w:r>
    </w:p>
    <w:p>
      <w:r>
        <w:t>e) Theme: File → Account → Office Theme → Dark Gray. The pane turns dark, the preview stays white, dropdowns and checkbox match the pane. Back to Colorful.</w:t>
      </w:r>
    </w:p>
    <w:p>
      <w:pPr>
        <w:pStyle w:val="Heading1"/>
      </w:pPr>
      <w:r>
        <w:t>8. Results</w:t>
      </w:r>
    </w:p>
    <w:tbl>
      <w:tblPr>
        <w:tblStyle w:val="LightGrid"/>
        <w:tblW w:type="auto" w:w="0"/>
        <w:tblLook w:firstColumn="1" w:firstRow="1" w:lastColumn="0" w:lastRow="0" w:noHBand="0" w:noVBand="1" w:val="04A0"/>
      </w:tblPr>
      <w:tblGrid>
        <w:gridCol w:w="2880"/>
        <w:gridCol w:w="2880"/>
        <w:gridCol w:w="2880"/>
      </w:tblGrid>
      <w:tr>
        <w:tc>
          <w:tcPr>
            <w:tcW w:type="dxa" w:w="2880"/>
          </w:tcPr>
          <w:p>
            <w:r>
              <w:t>Marker</w:t>
            </w:r>
          </w:p>
        </w:tc>
        <w:tc>
          <w:tcPr>
            <w:tcW w:type="dxa" w:w="2880"/>
          </w:tcPr>
          <w:p>
            <w:r>
              <w:t>OK?</w:t>
            </w:r>
          </w:p>
        </w:tc>
        <w:tc>
          <w:tcPr>
            <w:tcW w:type="dxa" w:w="2880"/>
          </w:tcPr>
          <w:p>
            <w:r>
              <w:t>Notes (error text, screenshot name)</w:t>
            </w:r>
          </w:p>
        </w:tc>
      </w:tr>
      <w:tr>
        <w:tc>
          <w:tcPr>
            <w:tcW w:type="dxa" w:w="2880"/>
          </w:tcPr>
          <w:p>
            <w:r>
              <w:t>⟨1⟩</w:t>
            </w:r>
          </w:p>
        </w:tc>
        <w:tc>
          <w:tcPr>
            <w:tcW w:type="dxa" w:w="2880"/>
          </w:tcPr>
          <w:p/>
        </w:tc>
        <w:tc>
          <w:tcPr>
            <w:tcW w:type="dxa" w:w="2880"/>
          </w:tcPr>
          <w:p/>
        </w:tc>
      </w:tr>
      <w:tr>
        <w:tc>
          <w:tcPr>
            <w:tcW w:type="dxa" w:w="2880"/>
          </w:tcPr>
          <w:p>
            <w:r>
              <w:t>⟨2⟩</w:t>
            </w:r>
          </w:p>
        </w:tc>
        <w:tc>
          <w:tcPr>
            <w:tcW w:type="dxa" w:w="2880"/>
          </w:tcPr>
          <w:p/>
        </w:tc>
        <w:tc>
          <w:tcPr>
            <w:tcW w:type="dxa" w:w="2880"/>
          </w:tcPr>
          <w:p/>
        </w:tc>
      </w:tr>
      <w:tr>
        <w:tc>
          <w:tcPr>
            <w:tcW w:type="dxa" w:w="2880"/>
          </w:tcPr>
          <w:p>
            <w:r>
              <w:t>⟨3⟩</w:t>
            </w:r>
          </w:p>
        </w:tc>
        <w:tc>
          <w:tcPr>
            <w:tcW w:type="dxa" w:w="2880"/>
          </w:tcPr>
          <w:p/>
        </w:tc>
        <w:tc>
          <w:tcPr>
            <w:tcW w:type="dxa" w:w="2880"/>
          </w:tcPr>
          <w:p/>
        </w:tc>
      </w:tr>
      <w:tr>
        <w:tc>
          <w:tcPr>
            <w:tcW w:type="dxa" w:w="2880"/>
          </w:tcPr>
          <w:p>
            <w:r>
              <w:t>⟨4⟩</w:t>
            </w:r>
          </w:p>
        </w:tc>
        <w:tc>
          <w:tcPr>
            <w:tcW w:type="dxa" w:w="2880"/>
          </w:tcPr>
          <w:p/>
        </w:tc>
        <w:tc>
          <w:tcPr>
            <w:tcW w:type="dxa" w:w="2880"/>
          </w:tcPr>
          <w:p/>
        </w:tc>
      </w:tr>
      <w:tr>
        <w:tc>
          <w:tcPr>
            <w:tcW w:type="dxa" w:w="2880"/>
          </w:tcPr>
          <w:p>
            <w:r>
              <w:t>⟨5⟩</w:t>
            </w:r>
          </w:p>
        </w:tc>
        <w:tc>
          <w:tcPr>
            <w:tcW w:type="dxa" w:w="2880"/>
          </w:tcPr>
          <w:p/>
        </w:tc>
        <w:tc>
          <w:tcPr>
            <w:tcW w:type="dxa" w:w="2880"/>
          </w:tcPr>
          <w:p/>
        </w:tc>
      </w:tr>
      <w:tr>
        <w:tc>
          <w:tcPr>
            <w:tcW w:type="dxa" w:w="2880"/>
          </w:tcPr>
          <w:p>
            <w:r>
              <w:t>⟨6⟩</w:t>
            </w:r>
          </w:p>
        </w:tc>
        <w:tc>
          <w:tcPr>
            <w:tcW w:type="dxa" w:w="2880"/>
          </w:tcPr>
          <w:p/>
        </w:tc>
        <w:tc>
          <w:tcPr>
            <w:tcW w:type="dxa" w:w="2880"/>
          </w:tcPr>
          <w:p/>
        </w:tc>
      </w:tr>
      <w:tr>
        <w:tc>
          <w:tcPr>
            <w:tcW w:type="dxa" w:w="2880"/>
          </w:tcPr>
          <w:p>
            <w:r>
              <w:t>⟨7⟩</w:t>
            </w:r>
          </w:p>
        </w:tc>
        <w:tc>
          <w:tcPr>
            <w:tcW w:type="dxa" w:w="2880"/>
          </w:tcPr>
          <w:p/>
        </w:tc>
        <w:tc>
          <w:tcPr>
            <w:tcW w:type="dxa" w:w="2880"/>
          </w:tcPr>
          <w:p/>
        </w:tc>
      </w:tr>
      <w:tr>
        <w:tc>
          <w:tcPr>
            <w:tcW w:type="dxa" w:w="2880"/>
          </w:tcPr>
          <w:p>
            <w:r>
              <w:t>⟨8⟩</w:t>
            </w:r>
          </w:p>
        </w:tc>
        <w:tc>
          <w:tcPr>
            <w:tcW w:type="dxa" w:w="2880"/>
          </w:tcPr>
          <w:p/>
        </w:tc>
        <w:tc>
          <w:tcPr>
            <w:tcW w:type="dxa" w:w="2880"/>
          </w:tcPr>
          <w:p/>
        </w:tc>
      </w:tr>
      <w:tr>
        <w:tc>
          <w:tcPr>
            <w:tcW w:type="dxa" w:w="2880"/>
          </w:tcPr>
          <w:p>
            <w:r>
              <w:t>⟨9⟩</w:t>
            </w:r>
          </w:p>
        </w:tc>
        <w:tc>
          <w:tcPr>
            <w:tcW w:type="dxa" w:w="2880"/>
          </w:tcPr>
          <w:p/>
        </w:tc>
        <w:tc>
          <w:tcPr>
            <w:tcW w:type="dxa" w:w="2880"/>
          </w:tcPr>
          <w:p/>
        </w:tc>
      </w:tr>
      <w:tr>
        <w:tc>
          <w:tcPr>
            <w:tcW w:type="dxa" w:w="2880"/>
          </w:tcPr>
          <w:p>
            <w:r>
              <w:t>⟨10⟩</w:t>
            </w:r>
          </w:p>
        </w:tc>
        <w:tc>
          <w:tcPr>
            <w:tcW w:type="dxa" w:w="2880"/>
          </w:tcPr>
          <w:p/>
        </w:tc>
        <w:tc>
          <w:tcPr>
            <w:tcW w:type="dxa" w:w="2880"/>
          </w:tcPr>
          <w:p/>
        </w:tc>
      </w:tr>
      <w:tr>
        <w:tc>
          <w:tcPr>
            <w:tcW w:type="dxa" w:w="2880"/>
          </w:tcPr>
          <w:p>
            <w:r>
              <w:t>⟨11⟩</w:t>
            </w:r>
          </w:p>
        </w:tc>
        <w:tc>
          <w:tcPr>
            <w:tcW w:type="dxa" w:w="2880"/>
          </w:tcPr>
          <w:p/>
        </w:tc>
        <w:tc>
          <w:tcPr>
            <w:tcW w:type="dxa" w:w="2880"/>
          </w:tcPr>
          <w:p/>
        </w:tc>
      </w:tr>
      <w:tr>
        <w:tc>
          <w:tcPr>
            <w:tcW w:type="dxa" w:w="2880"/>
          </w:tcPr>
          <w:p>
            <w:r>
              <w:t>⟨12⟩</w:t>
            </w:r>
          </w:p>
        </w:tc>
        <w:tc>
          <w:tcPr>
            <w:tcW w:type="dxa" w:w="2880"/>
          </w:tcPr>
          <w:p/>
        </w:tc>
        <w:tc>
          <w:tcPr>
            <w:tcW w:type="dxa" w:w="2880"/>
          </w:tcPr>
          <w:p/>
        </w:tc>
      </w:tr>
      <w:tr>
        <w:tc>
          <w:tcPr>
            <w:tcW w:type="dxa" w:w="2880"/>
          </w:tcPr>
          <w:p>
            <w:r>
              <w:t>⟨13⟩</w:t>
            </w:r>
          </w:p>
        </w:tc>
        <w:tc>
          <w:tcPr>
            <w:tcW w:type="dxa" w:w="2880"/>
          </w:tcPr>
          <w:p/>
        </w:tc>
        <w:tc>
          <w:tcPr>
            <w:tcW w:type="dxa" w:w="2880"/>
          </w:tcPr>
          <w:p/>
        </w:tc>
      </w:tr>
      <w:tr>
        <w:tc>
          <w:tcPr>
            <w:tcW w:type="dxa" w:w="2880"/>
          </w:tcPr>
          <w:p>
            <w:r>
              <w:t>6a edit/update</w:t>
            </w:r>
          </w:p>
        </w:tc>
        <w:tc>
          <w:tcPr>
            <w:tcW w:type="dxa" w:w="2880"/>
          </w:tcPr>
          <w:p/>
        </w:tc>
        <w:tc>
          <w:tcPr>
            <w:tcW w:type="dxa" w:w="2880"/>
          </w:tcPr>
          <w:p/>
        </w:tc>
      </w:tr>
      <w:tr>
        <w:tc>
          <w:tcPr>
            <w:tcW w:type="dxa" w:w="2880"/>
          </w:tcPr>
          <w:p>
            <w:r>
              <w:t>6b renumber</w:t>
            </w:r>
          </w:p>
        </w:tc>
        <w:tc>
          <w:tcPr>
            <w:tcW w:type="dxa" w:w="2880"/>
          </w:tcPr>
          <w:p/>
        </w:tc>
        <w:tc>
          <w:tcPr>
            <w:tcW w:type="dxa" w:w="2880"/>
          </w:tcPr>
          <w:p/>
        </w:tc>
      </w:tr>
      <w:tr>
        <w:tc>
          <w:tcPr>
            <w:tcW w:type="dxa" w:w="2880"/>
          </w:tcPr>
          <w:p>
            <w:r>
              <w:t>6c equation list</w:t>
            </w:r>
          </w:p>
        </w:tc>
        <w:tc>
          <w:tcPr>
            <w:tcW w:type="dxa" w:w="2880"/>
          </w:tcPr>
          <w:p/>
        </w:tc>
        <w:tc>
          <w:tcPr>
            <w:tcW w:type="dxa" w:w="2880"/>
          </w:tcPr>
          <w:p/>
        </w:tc>
      </w:tr>
      <w:tr>
        <w:tc>
          <w:tcPr>
            <w:tcW w:type="dxa" w:w="2880"/>
          </w:tcPr>
          <w:p>
            <w:r>
              <w:t>6d Esc</w:t>
            </w:r>
          </w:p>
        </w:tc>
        <w:tc>
          <w:tcPr>
            <w:tcW w:type="dxa" w:w="2880"/>
          </w:tcPr>
          <w:p/>
        </w:tc>
        <w:tc>
          <w:tcPr>
            <w:tcW w:type="dxa" w:w="2880"/>
          </w:tcPr>
          <w:p/>
        </w:tc>
      </w:tr>
      <w:tr>
        <w:tc>
          <w:tcPr>
            <w:tcW w:type="dxa" w:w="2880"/>
          </w:tcPr>
          <w:p>
            <w:r>
              <w:t>7d error message</w:t>
            </w:r>
          </w:p>
        </w:tc>
        <w:tc>
          <w:tcPr>
            <w:tcW w:type="dxa" w:w="2880"/>
          </w:tcPr>
          <w:p/>
        </w:tc>
        <w:tc>
          <w:tcPr>
            <w:tcW w:type="dxa" w:w="2880"/>
          </w:tcPr>
          <w:p/>
        </w:tc>
      </w:tr>
      <w:tr>
        <w:tc>
          <w:tcPr>
            <w:tcW w:type="dxa" w:w="2880"/>
          </w:tcPr>
          <w:p>
            <w:r>
              <w:t>7e theme</w:t>
            </w: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