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276" w:lineRule="auto"/>
        <w:rPr/>
      </w:pPr>
      <w:r w:rsidDel="00000000" w:rsidR="00000000" w:rsidRPr="00000000">
        <w:rPr/>
        <mc:AlternateContent>
          <mc:Choice Requires="wpg">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
                <a:graphic>
                  <a:graphicData uri="http://schemas.microsoft.com/office/word/2010/wordprocessingShape">
                    <wps:wsp>
                      <wps:cNvSpPr/>
                      <wps:cNvPr id="2" name="Shape 2"/>
                      <wps:spPr>
                        <a:xfrm>
                          <a:off x="3087450" y="1069650"/>
                          <a:ext cx="4517100" cy="5420700"/>
                        </a:xfrm>
                        <a:prstGeom prst="rect">
                          <a:avLst/>
                        </a:prstGeom>
                        <a:solidFill>
                          <a:srgbClr val="103452"/>
                        </a:solidFill>
                        <a:ln>
                          <a:noFill/>
                        </a:ln>
                      </wps:spPr>
                      <wps:txbx>
                        <w:txbxContent>
                          <w:p w:rsidR="00000000" w:rsidDel="00000000" w:rsidP="00000000" w:rsidRDefault="00000000" w:rsidRPr="00000000">
                            <w:pPr>
                              <w:spacing w:after="0" w:before="0" w:line="240"/>
                              <w:ind w:left="0" w:right="0" w:firstLine="0"/>
                              <w:jc w:val="center"/>
                              <w:textDirection w:val="btLr"/>
                            </w:pPr>
                          </w:p>
                        </w:txbxContent>
                      </wps:txbx>
                      <wps:bodyPr anchorCtr="0" anchor="ctr" bIns="91425" lIns="91425" spcFirstLastPara="1" rIns="91425" wrap="square" tIns="91425">
                        <a:noAutofit/>
                      </wps:bodyPr>
                    </wps:wsp>
                  </a:graphicData>
                </a:graphic>
              </wp:anchor>
            </w:drawing>
          </mc:Choice>
          <mc:Fallback>
            <w:drawing>
              <wp:anchor allowOverlap="1" behindDoc="1" distB="0" distT="0" distL="0" distR="0" hidden="0" layoutInCell="1" locked="0" relativeHeight="0" simplePos="0">
                <wp:simplePos x="0" y="0"/>
                <wp:positionH relativeFrom="page">
                  <wp:posOffset>-14285</wp:posOffset>
                </wp:positionH>
                <wp:positionV relativeFrom="page">
                  <wp:posOffset>-23810</wp:posOffset>
                </wp:positionV>
                <wp:extent cx="7600950" cy="10763250"/>
                <wp:effectExtent b="0" l="0" r="0" t="0"/>
                <wp:wrapNone/>
                <wp:docPr id="1" name="image3.png"/>
                <a:graphic>
                  <a:graphicData uri="http://schemas.openxmlformats.org/drawingml/2006/picture">
                    <pic:pic>
                      <pic:nvPicPr>
                        <pic:cNvPr id="0" name="image3.png"/>
                        <pic:cNvPicPr preferRelativeResize="0"/>
                      </pic:nvPicPr>
                      <pic:blipFill>
                        <a:blip r:embed="rId6"/>
                        <a:srcRect/>
                        <a:stretch>
                          <a:fillRect/>
                        </a:stretch>
                      </pic:blipFill>
                      <pic:spPr>
                        <a:xfrm>
                          <a:off x="0" y="0"/>
                          <a:ext cx="7600950" cy="10763250"/>
                        </a:xfrm>
                        <a:prstGeom prst="rect"/>
                        <a:ln/>
                      </pic:spPr>
                    </pic:pic>
                  </a:graphicData>
                </a:graphic>
              </wp:anchor>
            </w:drawing>
          </mc:Fallback>
        </mc:AlternateContent>
      </w:r>
      <w:r w:rsidDel="00000000" w:rsidR="00000000" w:rsidRPr="00000000">
        <w:rPr>
          <w:rtl w:val="0"/>
        </w:rPr>
      </w:r>
    </w:p>
    <w:p w:rsidR="00000000" w:rsidDel="00000000" w:rsidP="00000000" w:rsidRDefault="00000000" w:rsidRPr="00000000" w14:paraId="00000002">
      <w:pPr>
        <w:spacing w:line="276" w:lineRule="auto"/>
        <w:rPr/>
      </w:pPr>
      <w:r w:rsidDel="00000000" w:rsidR="00000000" w:rsidRPr="00000000">
        <w:rPr>
          <w:rtl w:val="0"/>
        </w:rPr>
      </w:r>
    </w:p>
    <w:p w:rsidR="00000000" w:rsidDel="00000000" w:rsidP="00000000" w:rsidRDefault="00000000" w:rsidRPr="00000000" w14:paraId="00000003">
      <w:pPr>
        <w:spacing w:line="276" w:lineRule="auto"/>
        <w:rPr/>
      </w:pPr>
      <w:r w:rsidDel="00000000" w:rsidR="00000000" w:rsidRPr="00000000">
        <w:rPr>
          <w:rtl w:val="0"/>
        </w:rPr>
      </w:r>
    </w:p>
    <w:p w:rsidR="00000000" w:rsidDel="00000000" w:rsidP="00000000" w:rsidRDefault="00000000" w:rsidRPr="00000000" w14:paraId="00000004">
      <w:pPr>
        <w:spacing w:line="276" w:lineRule="auto"/>
        <w:rPr/>
      </w:pPr>
      <w:r w:rsidDel="00000000" w:rsidR="00000000" w:rsidRPr="00000000">
        <w:rPr>
          <w:rtl w:val="0"/>
        </w:rPr>
      </w:r>
    </w:p>
    <w:p w:rsidR="00000000" w:rsidDel="00000000" w:rsidP="00000000" w:rsidRDefault="00000000" w:rsidRPr="00000000" w14:paraId="00000005">
      <w:pPr>
        <w:spacing w:line="276" w:lineRule="auto"/>
        <w:rPr/>
      </w:pPr>
      <w:r w:rsidDel="00000000" w:rsidR="00000000" w:rsidRPr="00000000">
        <w:rPr>
          <w:rtl w:val="0"/>
        </w:rPr>
      </w:r>
    </w:p>
    <w:p w:rsidR="00000000" w:rsidDel="00000000" w:rsidP="00000000" w:rsidRDefault="00000000" w:rsidRPr="00000000" w14:paraId="00000006">
      <w:pPr>
        <w:spacing w:line="276" w:lineRule="auto"/>
        <w:jc w:val="center"/>
        <w:rPr/>
      </w:pPr>
      <w:r w:rsidDel="00000000" w:rsidR="00000000" w:rsidRPr="00000000">
        <w:rPr/>
        <w:drawing>
          <wp:inline distB="114300" distT="114300" distL="114300" distR="114300">
            <wp:extent cx="2828063" cy="650938"/>
            <wp:effectExtent b="0" l="0" r="0" t="0"/>
            <wp:docPr id="3"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2828063" cy="650938"/>
                    </a:xfrm>
                    <a:prstGeom prst="rect"/>
                    <a:ln/>
                  </pic:spPr>
                </pic:pic>
              </a:graphicData>
            </a:graphic>
          </wp:inline>
        </w:drawing>
      </w:r>
      <w:r w:rsidDel="00000000" w:rsidR="00000000" w:rsidRPr="00000000">
        <w:rPr>
          <w:rtl w:val="0"/>
        </w:rPr>
      </w:r>
    </w:p>
    <w:p w:rsidR="00000000" w:rsidDel="00000000" w:rsidP="00000000" w:rsidRDefault="00000000" w:rsidRPr="00000000" w14:paraId="00000007">
      <w:pPr>
        <w:spacing w:line="276" w:lineRule="auto"/>
        <w:rPr/>
      </w:pPr>
      <w:r w:rsidDel="00000000" w:rsidR="00000000" w:rsidRPr="00000000">
        <w:rPr>
          <w:rtl w:val="0"/>
        </w:rPr>
      </w:r>
    </w:p>
    <w:p w:rsidR="00000000" w:rsidDel="00000000" w:rsidP="00000000" w:rsidRDefault="00000000" w:rsidRPr="00000000" w14:paraId="00000008">
      <w:pPr>
        <w:spacing w:line="276" w:lineRule="auto"/>
        <w:rPr/>
      </w:pPr>
      <w:r w:rsidDel="00000000" w:rsidR="00000000" w:rsidRPr="00000000">
        <w:rPr>
          <w:rtl w:val="0"/>
        </w:rPr>
      </w:r>
    </w:p>
    <w:p w:rsidR="00000000" w:rsidDel="00000000" w:rsidP="00000000" w:rsidRDefault="00000000" w:rsidRPr="00000000" w14:paraId="00000009">
      <w:pPr>
        <w:spacing w:line="276" w:lineRule="auto"/>
        <w:rPr/>
      </w:pPr>
      <w:r w:rsidDel="00000000" w:rsidR="00000000" w:rsidRPr="00000000">
        <w:rPr>
          <w:rtl w:val="0"/>
        </w:rPr>
      </w:r>
    </w:p>
    <w:p w:rsidR="00000000" w:rsidDel="00000000" w:rsidP="00000000" w:rsidRDefault="00000000" w:rsidRPr="00000000" w14:paraId="0000000A">
      <w:pPr>
        <w:spacing w:line="276" w:lineRule="auto"/>
        <w:rPr/>
      </w:pPr>
      <w:r w:rsidDel="00000000" w:rsidR="00000000" w:rsidRPr="00000000">
        <w:rPr>
          <w:rtl w:val="0"/>
        </w:rPr>
      </w:r>
    </w:p>
    <w:p w:rsidR="00000000" w:rsidDel="00000000" w:rsidP="00000000" w:rsidRDefault="00000000" w:rsidRPr="00000000" w14:paraId="0000000B">
      <w:pPr>
        <w:pStyle w:val="Title"/>
        <w:rPr>
          <w:b w:val="1"/>
          <w:color w:val="0e101a"/>
          <w:sz w:val="48"/>
          <w:szCs w:val="48"/>
        </w:rPr>
      </w:pPr>
      <w:bookmarkStart w:colFirst="0" w:colLast="0" w:name="_1t3h5sf" w:id="0"/>
      <w:bookmarkEnd w:id="0"/>
      <w:r w:rsidDel="00000000" w:rsidR="00000000" w:rsidRPr="00000000">
        <w:rPr>
          <w:rtl w:val="0"/>
        </w:rPr>
        <w:t xml:space="preserve">Datasets and DataFrames</w:t>
      </w:r>
      <w:r w:rsidDel="00000000" w:rsidR="00000000" w:rsidRPr="00000000">
        <w:rPr>
          <w:rtl w:val="0"/>
        </w:rPr>
      </w:r>
    </w:p>
    <w:p w:rsidR="00000000" w:rsidDel="00000000" w:rsidP="00000000" w:rsidRDefault="00000000" w:rsidRPr="00000000" w14:paraId="0000000C">
      <w:pPr>
        <w:pStyle w:val="Subtitle"/>
        <w:rPr/>
      </w:pPr>
      <w:bookmarkStart w:colFirst="0" w:colLast="0" w:name="_4d34og8" w:id="1"/>
      <w:bookmarkEnd w:id="1"/>
      <w:r w:rsidDel="00000000" w:rsidR="00000000" w:rsidRPr="00000000">
        <w:rPr>
          <w:rtl w:val="0"/>
        </w:rPr>
        <w:t xml:space="preserve">Model Answer Approach</w:t>
      </w:r>
      <w:r w:rsidDel="00000000" w:rsidR="00000000" w:rsidRPr="00000000">
        <w:rPr>
          <w:rtl w:val="0"/>
        </w:rPr>
      </w:r>
    </w:p>
    <w:p w:rsidR="00000000" w:rsidDel="00000000" w:rsidP="00000000" w:rsidRDefault="00000000" w:rsidRPr="00000000" w14:paraId="0000000D">
      <w:pPr>
        <w:spacing w:line="276" w:lineRule="auto"/>
        <w:rPr/>
      </w:pPr>
      <w:r w:rsidDel="00000000" w:rsidR="00000000" w:rsidRPr="00000000">
        <w:rPr>
          <w:rtl w:val="0"/>
        </w:rPr>
      </w:r>
    </w:p>
    <w:p w:rsidR="00000000" w:rsidDel="00000000" w:rsidP="00000000" w:rsidRDefault="00000000" w:rsidRPr="00000000" w14:paraId="0000000E">
      <w:pPr>
        <w:spacing w:line="276" w:lineRule="auto"/>
        <w:rPr/>
      </w:pPr>
      <w:r w:rsidDel="00000000" w:rsidR="00000000" w:rsidRPr="00000000">
        <w:rPr>
          <w:rtl w:val="0"/>
        </w:rPr>
      </w:r>
    </w:p>
    <w:p w:rsidR="00000000" w:rsidDel="00000000" w:rsidP="00000000" w:rsidRDefault="00000000" w:rsidRPr="00000000" w14:paraId="0000000F">
      <w:pPr>
        <w:spacing w:line="276" w:lineRule="auto"/>
        <w:rPr/>
      </w:pPr>
      <w:r w:rsidDel="00000000" w:rsidR="00000000" w:rsidRPr="00000000">
        <w:rPr>
          <w:rtl w:val="0"/>
        </w:rPr>
      </w:r>
    </w:p>
    <w:p w:rsidR="00000000" w:rsidDel="00000000" w:rsidP="00000000" w:rsidRDefault="00000000" w:rsidRPr="00000000" w14:paraId="00000010">
      <w:pPr>
        <w:spacing w:line="276" w:lineRule="auto"/>
        <w:rPr/>
      </w:pPr>
      <w:r w:rsidDel="00000000" w:rsidR="00000000" w:rsidRPr="00000000">
        <w:rPr>
          <w:rtl w:val="0"/>
        </w:rPr>
      </w:r>
    </w:p>
    <w:p w:rsidR="00000000" w:rsidDel="00000000" w:rsidP="00000000" w:rsidRDefault="00000000" w:rsidRPr="00000000" w14:paraId="00000011">
      <w:pPr>
        <w:spacing w:line="276" w:lineRule="auto"/>
        <w:rPr/>
      </w:pPr>
      <w:r w:rsidDel="00000000" w:rsidR="00000000" w:rsidRPr="00000000">
        <w:rPr>
          <w:rtl w:val="0"/>
        </w:rPr>
      </w:r>
    </w:p>
    <w:p w:rsidR="00000000" w:rsidDel="00000000" w:rsidP="00000000" w:rsidRDefault="00000000" w:rsidRPr="00000000" w14:paraId="00000012">
      <w:pPr>
        <w:jc w:val="center"/>
        <w:rPr/>
      </w:pPr>
      <w:hyperlink r:id="rId8">
        <w:r w:rsidDel="00000000" w:rsidR="00000000" w:rsidRPr="00000000">
          <w:rPr>
            <w:color w:val="1155cc"/>
            <w:u w:val="single"/>
          </w:rPr>
          <mc:AlternateContent>
            <mc:Choice Requires="wpg">
              <w:drawing>
                <wp:inline distB="114300" distT="114300" distL="114300" distR="114300">
                  <wp:extent cx="1932713" cy="529585"/>
                  <wp:effectExtent b="0" l="0" r="0" t="0"/>
                  <wp:docPr id="2" name=""/>
                  <a:graphic>
                    <a:graphicData uri="http://schemas.microsoft.com/office/word/2010/wordprocessingShape">
                      <wps:wsp>
                        <wps:cNvSpPr/>
                        <wps:cNvPr id="3" name="Shape 3"/>
                        <wps:spPr>
                          <a:xfrm>
                            <a:off x="180125" y="310225"/>
                            <a:ext cx="3352500" cy="900600"/>
                          </a:xfrm>
                          <a:prstGeom prst="roundRect">
                            <a:avLst>
                              <a:gd fmla="val 16667" name="adj"/>
                            </a:avLst>
                          </a:prstGeom>
                          <a:solidFill>
                            <a:srgbClr val="6FBC95"/>
                          </a:solidFill>
                          <a:ln>
                            <a:noFill/>
                          </a:ln>
                        </wps:spPr>
                        <wps:txbx>
                          <w:txbxContent>
                            <w:p w:rsidR="00000000" w:rsidDel="00000000" w:rsidP="00000000" w:rsidRDefault="00000000" w:rsidRPr="00000000">
                              <w:pPr>
                                <w:spacing w:after="0" w:before="0" w:line="240"/>
                                <w:ind w:left="0" w:right="0" w:firstLine="0"/>
                                <w:jc w:val="center"/>
                                <w:textDirection w:val="btLr"/>
                              </w:pPr>
                              <w:r w:rsidDel="00000000" w:rsidR="00000000" w:rsidRPr="00000000">
                                <w:rPr>
                                  <w:rFonts w:ascii="Montserrat" w:cs="Montserrat" w:eastAsia="Montserrat" w:hAnsi="Montserrat"/>
                                  <w:b w:val="1"/>
                                  <w:i w:val="0"/>
                                  <w:smallCaps w:val="0"/>
                                  <w:strike w:val="0"/>
                                  <w:color w:val="ffffff"/>
                                  <w:sz w:val="44"/>
                                  <w:vertAlign w:val="baseline"/>
                                </w:rPr>
                                <w:t xml:space="preserve">Visit our website</w:t>
                              </w:r>
                            </w:p>
                          </w:txbxContent>
                        </wps:txbx>
                        <wps:bodyPr anchorCtr="0" anchor="ctr" bIns="91425" lIns="91425" spcFirstLastPara="1" rIns="91425" wrap="square" tIns="91425">
                          <a:noAutofit/>
                        </wps:bodyPr>
                      </wps:wsp>
                    </a:graphicData>
                  </a:graphic>
                </wp:inline>
              </w:drawing>
            </mc:Choice>
            <mc:Fallback>
              <w:drawing>
                <wp:inline distB="114300" distT="114300" distL="114300" distR="114300">
                  <wp:extent cx="1932713" cy="529585"/>
                  <wp:effectExtent b="0" l="0" r="0" t="0"/>
                  <wp:docPr id="2" name="image4.png"/>
                  <a:graphic>
                    <a:graphicData uri="http://schemas.openxmlformats.org/drawingml/2006/picture">
                      <pic:pic>
                        <pic:nvPicPr>
                          <pic:cNvPr id="0" name="image4.png"/>
                          <pic:cNvPicPr preferRelativeResize="0"/>
                        </pic:nvPicPr>
                        <pic:blipFill>
                          <a:blip r:embed="rId6"/>
                          <a:srcRect/>
                          <a:stretch>
                            <a:fillRect/>
                          </a:stretch>
                        </pic:blipFill>
                        <pic:spPr>
                          <a:xfrm>
                            <a:off x="0" y="0"/>
                            <a:ext cx="1932713" cy="529585"/>
                          </a:xfrm>
                          <a:prstGeom prst="rect"/>
                          <a:ln/>
                        </pic:spPr>
                      </pic:pic>
                    </a:graphicData>
                  </a:graphic>
                </wp:inline>
              </w:drawing>
            </mc:Fallback>
          </mc:AlternateContent>
        </w:r>
      </w:hyperlink>
      <w:r w:rsidDel="00000000" w:rsidR="00000000" w:rsidRPr="00000000">
        <w:rPr>
          <w:rtl w:val="0"/>
        </w:rPr>
      </w:r>
    </w:p>
    <w:p w:rsidR="00000000" w:rsidDel="00000000" w:rsidP="00000000" w:rsidRDefault="00000000" w:rsidRPr="00000000" w14:paraId="00000013">
      <w:pPr>
        <w:rPr/>
      </w:pPr>
      <w:r w:rsidDel="00000000" w:rsidR="00000000" w:rsidRPr="00000000">
        <w:br w:type="page"/>
      </w:r>
      <w:r w:rsidDel="00000000" w:rsidR="00000000" w:rsidRPr="00000000">
        <w:rPr>
          <w:rtl w:val="0"/>
        </w:rPr>
      </w:r>
    </w:p>
    <w:p w:rsidR="00000000" w:rsidDel="00000000" w:rsidP="00000000" w:rsidRDefault="00000000" w:rsidRPr="00000000" w14:paraId="00000014">
      <w:pPr>
        <w:pStyle w:val="Heading1"/>
        <w:rPr/>
      </w:pPr>
      <w:bookmarkStart w:colFirst="0" w:colLast="0" w:name="_m52vzgjytl9t" w:id="2"/>
      <w:bookmarkEnd w:id="2"/>
      <w:r w:rsidDel="00000000" w:rsidR="00000000" w:rsidRPr="00000000">
        <w:rPr>
          <w:rtl w:val="0"/>
        </w:rPr>
        <w:t xml:space="preserve">Auto-graded task 1</w:t>
      </w:r>
    </w:p>
    <w:p w:rsidR="00000000" w:rsidDel="00000000" w:rsidP="00000000" w:rsidRDefault="00000000" w:rsidRPr="00000000" w14:paraId="00000015">
      <w:pPr>
        <w:rPr/>
      </w:pPr>
      <w:r w:rsidDel="00000000" w:rsidR="00000000" w:rsidRPr="00000000">
        <w:rPr>
          <w:rtl w:val="0"/>
        </w:rPr>
        <w:t xml:space="preserve">The approach taken begins with a detailed exploration of methods for selecting rows and columns, such as using double square brackets to extract specific columns from a DataFrame, utilising </w:t>
      </w:r>
      <w:r w:rsidDel="00000000" w:rsidR="00000000" w:rsidRPr="00000000">
        <w:rPr>
          <w:rFonts w:ascii="Consolas" w:cs="Consolas" w:eastAsia="Consolas" w:hAnsi="Consolas"/>
          <w:rtl w:val="0"/>
        </w:rPr>
        <w:t xml:space="preserve">.iloc[]</w:t>
      </w:r>
      <w:r w:rsidDel="00000000" w:rsidR="00000000" w:rsidRPr="00000000">
        <w:rPr>
          <w:rtl w:val="0"/>
        </w:rPr>
        <w:t xml:space="preserve"> for positional indexing of rows and columns, and leveraging </w:t>
      </w:r>
      <w:r w:rsidDel="00000000" w:rsidR="00000000" w:rsidRPr="00000000">
        <w:rPr>
          <w:rFonts w:ascii="Consolas" w:cs="Consolas" w:eastAsia="Consolas" w:hAnsi="Consolas"/>
          <w:rtl w:val="0"/>
        </w:rPr>
        <w:t xml:space="preserve">.loc[]</w:t>
      </w:r>
      <w:r w:rsidDel="00000000" w:rsidR="00000000" w:rsidRPr="00000000">
        <w:rPr>
          <w:rtl w:val="0"/>
        </w:rPr>
        <w:t xml:space="preserve"> for accessing data based on row labels and column names.</w:t>
      </w:r>
    </w:p>
    <w:p w:rsidR="00000000" w:rsidDel="00000000" w:rsidP="00000000" w:rsidRDefault="00000000" w:rsidRPr="00000000" w14:paraId="00000016">
      <w:pPr>
        <w:rPr/>
      </w:pPr>
      <w:r w:rsidDel="00000000" w:rsidR="00000000" w:rsidRPr="00000000">
        <w:rPr>
          <w:rtl w:val="0"/>
        </w:rPr>
        <w:t xml:space="preserve">Furthermore, the solution demonstrates effective filtering strategies to isolate rows that meet specific conditions, exemplified by filtering data where the </w:t>
      </w:r>
      <w:r w:rsidDel="00000000" w:rsidR="00000000" w:rsidRPr="00000000">
        <w:rPr>
          <w:rFonts w:ascii="Consolas" w:cs="Consolas" w:eastAsia="Consolas" w:hAnsi="Consolas"/>
          <w:rtl w:val="0"/>
        </w:rPr>
        <w:t xml:space="preserve">Card</w:t>
      </w:r>
      <w:r w:rsidDel="00000000" w:rsidR="00000000" w:rsidRPr="00000000">
        <w:rPr>
          <w:rtl w:val="0"/>
        </w:rPr>
        <w:t xml:space="preserve"> column equals </w:t>
      </w:r>
      <w:r w:rsidDel="00000000" w:rsidR="00000000" w:rsidRPr="00000000">
        <w:rPr>
          <w:rFonts w:ascii="Consolas" w:cs="Consolas" w:eastAsia="Consolas" w:hAnsi="Consolas"/>
          <w:rtl w:val="0"/>
        </w:rPr>
        <w:t xml:space="preserve">4</w:t>
      </w:r>
      <w:r w:rsidDel="00000000" w:rsidR="00000000" w:rsidRPr="00000000">
        <w:rPr>
          <w:rtl w:val="0"/>
        </w:rPr>
        <w:t xml:space="preserve">. Additionally, it showcases the application of the </w:t>
      </w:r>
      <w:r w:rsidDel="00000000" w:rsidR="00000000" w:rsidRPr="00000000">
        <w:rPr>
          <w:rFonts w:ascii="Consolas" w:cs="Consolas" w:eastAsia="Consolas" w:hAnsi="Consolas"/>
          <w:rtl w:val="0"/>
        </w:rPr>
        <w:t xml:space="preserve">.sort_values()</w:t>
      </w:r>
      <w:r w:rsidDel="00000000" w:rsidR="00000000" w:rsidRPr="00000000">
        <w:rPr>
          <w:rtl w:val="0"/>
        </w:rPr>
        <w:t xml:space="preserve"> method to arrange data from the </w:t>
      </w:r>
      <w:r w:rsidDel="00000000" w:rsidR="00000000" w:rsidRPr="00000000">
        <w:rPr>
          <w:rFonts w:ascii="Consolas" w:cs="Consolas" w:eastAsia="Consolas" w:hAnsi="Consolas"/>
          <w:rtl w:val="0"/>
        </w:rPr>
        <w:t xml:space="preserve">Education</w:t>
      </w:r>
      <w:r w:rsidDel="00000000" w:rsidR="00000000" w:rsidRPr="00000000">
        <w:rPr>
          <w:rtl w:val="0"/>
        </w:rPr>
        <w:t xml:space="preserve"> column in descending order, enhancing clarity and organisation within the dataset.</w:t>
      </w:r>
    </w:p>
    <w:p w:rsidR="00000000" w:rsidDel="00000000" w:rsidP="00000000" w:rsidRDefault="00000000" w:rsidRPr="00000000" w14:paraId="00000017">
      <w:pPr>
        <w:rPr/>
      </w:pPr>
      <w:r w:rsidDel="00000000" w:rsidR="00000000" w:rsidRPr="00000000">
        <w:rPr>
          <w:rtl w:val="0"/>
        </w:rPr>
        <w:t xml:space="preserve">Common pitfalls you might encounter while working with </w:t>
      </w:r>
      <w:r w:rsidDel="00000000" w:rsidR="00000000" w:rsidRPr="00000000">
        <w:rPr>
          <w:rFonts w:ascii="Consolas" w:cs="Consolas" w:eastAsia="Consolas" w:hAnsi="Consolas"/>
          <w:rtl w:val="0"/>
        </w:rPr>
        <w:t xml:space="preserve">.loc</w:t>
      </w:r>
      <w:r w:rsidDel="00000000" w:rsidR="00000000" w:rsidRPr="00000000">
        <w:rPr>
          <w:rtl w:val="0"/>
        </w:rPr>
        <w:t xml:space="preserve"> and </w:t>
      </w:r>
      <w:r w:rsidDel="00000000" w:rsidR="00000000" w:rsidRPr="00000000">
        <w:rPr>
          <w:rFonts w:ascii="Consolas" w:cs="Consolas" w:eastAsia="Consolas" w:hAnsi="Consolas"/>
          <w:rtl w:val="0"/>
        </w:rPr>
        <w:t xml:space="preserve">.iloc</w:t>
      </w:r>
      <w:r w:rsidDel="00000000" w:rsidR="00000000" w:rsidRPr="00000000">
        <w:rPr>
          <w:rtl w:val="0"/>
        </w:rPr>
        <w:t xml:space="preserve"> include indexing errors due to improper use of row or column labels, and confusion between zero-based indexing in </w:t>
      </w:r>
      <w:r w:rsidDel="00000000" w:rsidR="00000000" w:rsidRPr="00000000">
        <w:rPr>
          <w:rFonts w:ascii="Consolas" w:cs="Consolas" w:eastAsia="Consolas" w:hAnsi="Consolas"/>
          <w:rtl w:val="0"/>
        </w:rPr>
        <w:t xml:space="preserve">.iloc</w:t>
      </w:r>
      <w:r w:rsidDel="00000000" w:rsidR="00000000" w:rsidRPr="00000000">
        <w:rPr>
          <w:rtl w:val="0"/>
        </w:rPr>
        <w:t xml:space="preserve"> and label-based indexing in </w:t>
      </w:r>
      <w:r w:rsidDel="00000000" w:rsidR="00000000" w:rsidRPr="00000000">
        <w:rPr>
          <w:rFonts w:ascii="Consolas" w:cs="Consolas" w:eastAsia="Consolas" w:hAnsi="Consolas"/>
          <w:rtl w:val="0"/>
        </w:rPr>
        <w:t xml:space="preserve">.loc</w:t>
      </w:r>
      <w:r w:rsidDel="00000000" w:rsidR="00000000" w:rsidRPr="00000000">
        <w:rPr>
          <w:rtl w:val="0"/>
        </w:rPr>
        <w:t xml:space="preserve">.</w:t>
      </w:r>
    </w:p>
    <w:p w:rsidR="00000000" w:rsidDel="00000000" w:rsidP="00000000" w:rsidRDefault="00000000" w:rsidRPr="00000000" w14:paraId="00000018">
      <w:pPr>
        <w:pStyle w:val="Heading1"/>
        <w:rPr/>
      </w:pPr>
      <w:bookmarkStart w:colFirst="0" w:colLast="0" w:name="_mes8w0ajvk76" w:id="3"/>
      <w:bookmarkEnd w:id="3"/>
      <w:r w:rsidDel="00000000" w:rsidR="00000000" w:rsidRPr="00000000">
        <w:rPr>
          <w:rtl w:val="0"/>
        </w:rPr>
        <w:t xml:space="preserve">Auto-graded task 2</w:t>
      </w:r>
    </w:p>
    <w:p w:rsidR="00000000" w:rsidDel="00000000" w:rsidP="00000000" w:rsidRDefault="00000000" w:rsidRPr="00000000" w14:paraId="00000019">
      <w:pPr>
        <w:rPr/>
      </w:pPr>
      <w:r w:rsidDel="00000000" w:rsidR="00000000" w:rsidRPr="00000000">
        <w:rPr>
          <w:rtl w:val="0"/>
        </w:rPr>
        <w:t xml:space="preserve">The approach taken involves a series of operations to analyse the dataset's income and demographic data. Initially, the average income per ethnicity is calculated using the </w:t>
      </w:r>
      <w:r w:rsidDel="00000000" w:rsidR="00000000" w:rsidRPr="00000000">
        <w:rPr>
          <w:rFonts w:ascii="Consolas" w:cs="Consolas" w:eastAsia="Consolas" w:hAnsi="Consolas"/>
          <w:rtl w:val="0"/>
        </w:rPr>
        <w:t xml:space="preserve">groupby()</w:t>
      </w:r>
      <w:r w:rsidDel="00000000" w:rsidR="00000000" w:rsidRPr="00000000">
        <w:rPr>
          <w:rtl w:val="0"/>
        </w:rPr>
        <w:t xml:space="preserve"> method, which aggregates the income data by ethnicity and computes the mean for each group. Specific ethnic groups such as African American, Asian, and Caucasian are then isolated to determine their average income values individually.</w:t>
      </w:r>
    </w:p>
    <w:p w:rsidR="00000000" w:rsidDel="00000000" w:rsidP="00000000" w:rsidRDefault="00000000" w:rsidRPr="00000000" w14:paraId="0000001A">
      <w:pPr>
        <w:rPr/>
      </w:pPr>
      <w:r w:rsidDel="00000000" w:rsidR="00000000" w:rsidRPr="00000000">
        <w:rPr>
          <w:rtl w:val="0"/>
        </w:rPr>
        <w:t xml:space="preserve">The analysis further includes evaluating the average account balance based on marital status by grouping the data according to the “Married” status and calculating the mean balance for each category. The script also identifies and prints the highest and lowest income values in the dataset by using the </w:t>
      </w:r>
      <w:r w:rsidDel="00000000" w:rsidR="00000000" w:rsidRPr="00000000">
        <w:rPr>
          <w:rFonts w:ascii="Consolas" w:cs="Consolas" w:eastAsia="Consolas" w:hAnsi="Consolas"/>
          <w:rtl w:val="0"/>
        </w:rPr>
        <w:t xml:space="preserve">max()</w:t>
      </w:r>
      <w:r w:rsidDel="00000000" w:rsidR="00000000" w:rsidRPr="00000000">
        <w:rPr>
          <w:rtl w:val="0"/>
        </w:rPr>
        <w:t xml:space="preserve"> and </w:t>
      </w:r>
      <w:r w:rsidDel="00000000" w:rsidR="00000000" w:rsidRPr="00000000">
        <w:rPr>
          <w:rFonts w:ascii="Consolas" w:cs="Consolas" w:eastAsia="Consolas" w:hAnsi="Consolas"/>
          <w:rtl w:val="0"/>
        </w:rPr>
        <w:t xml:space="preserve">min()</w:t>
      </w:r>
      <w:r w:rsidDel="00000000" w:rsidR="00000000" w:rsidRPr="00000000">
        <w:rPr>
          <w:rtl w:val="0"/>
        </w:rPr>
        <w:t xml:space="preserve"> methods on the “Income” column, respectively.</w:t>
      </w:r>
    </w:p>
    <w:p w:rsidR="00000000" w:rsidDel="00000000" w:rsidP="00000000" w:rsidRDefault="00000000" w:rsidRPr="00000000" w14:paraId="0000001B">
      <w:pPr>
        <w:rPr/>
      </w:pPr>
      <w:r w:rsidDel="00000000" w:rsidR="00000000" w:rsidRPr="00000000">
        <w:rPr>
          <w:rtl w:val="0"/>
        </w:rPr>
        <w:t xml:space="preserve">Gender distribution is assessed by counting occurrences of each gender with the </w:t>
      </w:r>
      <w:r w:rsidDel="00000000" w:rsidR="00000000" w:rsidRPr="00000000">
        <w:rPr>
          <w:rFonts w:ascii="Consolas" w:cs="Consolas" w:eastAsia="Consolas" w:hAnsi="Consolas"/>
          <w:rtl w:val="0"/>
        </w:rPr>
        <w:t xml:space="preserve">value_counts()</w:t>
      </w:r>
      <w:r w:rsidDel="00000000" w:rsidR="00000000" w:rsidRPr="00000000">
        <w:rPr>
          <w:rtl w:val="0"/>
        </w:rPr>
        <w:t xml:space="preserve"> method, and the script provides counts of females and males separately by filtering the dataset.</w:t>
      </w:r>
    </w:p>
    <w:p w:rsidR="00000000" w:rsidDel="00000000" w:rsidP="00000000" w:rsidRDefault="00000000" w:rsidRPr="00000000" w14:paraId="0000001C">
      <w:pPr>
        <w:rPr/>
      </w:pPr>
      <w:r w:rsidDel="00000000" w:rsidR="00000000" w:rsidRPr="00000000">
        <w:rPr>
          <w:rtl w:val="0"/>
        </w:rPr>
        <w:t xml:space="preserve">One common issue to watch out for is ensuring that the column names used in the code match exactly with those in the dataset, as any discrepancies can lead to errors. Additionally, be cautious when handling null values and missing data, which can affect calculations.</w:t>
      </w:r>
    </w:p>
    <w:sectPr>
      <w:footerReference r:id="rId9" w:type="default"/>
      <w:footerReference r:id="rId10" w:type="first"/>
      <w:pgSz w:h="16838" w:w="11906" w:orient="portrait"/>
      <w:pgMar w:bottom="1133.8582677165355" w:top="1133.8582677165355" w:left="1133.8582677165355" w:right="1133.8582677165355"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onsolas"/>
  <w:font w:name="Arial"/>
  <w:font w:name="Montserrat SemiBold">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Montserra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Montserrat Medium">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D">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1E">
    <w:pPr>
      <w:spacing w:after="0" w:lineRule="auto"/>
      <w:ind w:left="4818.897637795276" w:firstLine="0"/>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3178</wp:posOffset>
          </wp:positionH>
          <wp:positionV relativeFrom="paragraph">
            <wp:posOffset>-38098</wp:posOffset>
          </wp:positionV>
          <wp:extent cx="1352550" cy="255198"/>
          <wp:effectExtent b="0" l="0" r="0" t="0"/>
          <wp:wrapNone/>
          <wp:docPr id="4" name="image2.png"/>
          <a:graphic>
            <a:graphicData uri="http://schemas.openxmlformats.org/drawingml/2006/picture">
              <pic:pic>
                <pic:nvPicPr>
                  <pic:cNvPr id="0" name="image2.png"/>
                  <pic:cNvPicPr preferRelativeResize="0"/>
                </pic:nvPicPr>
                <pic:blipFill>
                  <a:blip r:embed="rId1"/>
                  <a:srcRect b="9012" l="0" r="0" t="9012"/>
                  <a:stretch>
                    <a:fillRect/>
                  </a:stretch>
                </pic:blipFill>
                <pic:spPr>
                  <a:xfrm>
                    <a:off x="0" y="0"/>
                    <a:ext cx="1352550" cy="255198"/>
                  </a:xfrm>
                  <a:prstGeom prst="rect"/>
                  <a:ln/>
                </pic:spPr>
              </pic:pic>
            </a:graphicData>
          </a:graphic>
        </wp:anchor>
      </w:drawing>
    </w:r>
  </w:p>
  <w:p w:rsidR="00000000" w:rsidDel="00000000" w:rsidP="00000000" w:rsidRDefault="00000000" w:rsidRPr="00000000" w14:paraId="0000001F">
    <w:pPr>
      <w:spacing w:after="0" w:before="200" w:lineRule="auto"/>
      <w:ind w:left="4818.897637795276" w:hanging="4818.897637795276"/>
      <w:jc w:val="left"/>
      <w:rPr>
        <w:sz w:val="18"/>
        <w:szCs w:val="18"/>
      </w:rPr>
    </w:pPr>
    <w:r w:rsidDel="00000000" w:rsidR="00000000" w:rsidRPr="00000000">
      <w:rPr>
        <w:sz w:val="18"/>
        <w:szCs w:val="18"/>
        <w:rtl w:val="0"/>
      </w:rPr>
      <w:t xml:space="preserve">Copyright </w:t>
    </w:r>
    <w:r w:rsidDel="00000000" w:rsidR="00000000" w:rsidRPr="00000000">
      <w:rPr>
        <w:rFonts w:ascii="Arial" w:cs="Arial" w:eastAsia="Arial" w:hAnsi="Arial"/>
        <w:color w:val="4d5156"/>
        <w:sz w:val="18"/>
        <w:szCs w:val="18"/>
        <w:highlight w:val="white"/>
        <w:rtl w:val="0"/>
      </w:rPr>
      <w:t xml:space="preserve">© </w:t>
    </w:r>
    <w:r w:rsidDel="00000000" w:rsidR="00000000" w:rsidRPr="00000000">
      <w:rPr>
        <w:sz w:val="18"/>
        <w:szCs w:val="18"/>
        <w:rtl w:val="0"/>
      </w:rPr>
      <w:t xml:space="preserve">2024 HyperionDev. All rights reserved.</w:t>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Montserrat" w:cs="Montserrat" w:eastAsia="Montserrat" w:hAnsi="Montserrat"/>
        <w:color w:val="103452"/>
        <w:sz w:val="22"/>
        <w:szCs w:val="22"/>
        <w:lang w:val="en_GB"/>
      </w:rPr>
    </w:rPrDefault>
    <w:pPrDefault>
      <w:pPr>
        <w:spacing w:after="220" w:line="276" w:lineRule="auto"/>
        <w:jc w:val="both"/>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spacing w:before="400" w:lineRule="auto"/>
    </w:pPr>
    <w:rPr>
      <w:rFonts w:ascii="Montserrat SemiBold" w:cs="Montserrat SemiBold" w:eastAsia="Montserrat SemiBold" w:hAnsi="Montserrat SemiBold"/>
      <w:sz w:val="46"/>
      <w:szCs w:val="46"/>
    </w:rPr>
  </w:style>
  <w:style w:type="paragraph" w:styleId="Heading2">
    <w:name w:val="heading 2"/>
    <w:basedOn w:val="Normal"/>
    <w:next w:val="Normal"/>
    <w:pPr>
      <w:keepNext w:val="1"/>
      <w:keepLines w:val="1"/>
      <w:spacing w:after="180" w:before="360" w:lineRule="auto"/>
    </w:pPr>
    <w:rPr>
      <w:rFonts w:ascii="Montserrat SemiBold" w:cs="Montserrat SemiBold" w:eastAsia="Montserrat SemiBold" w:hAnsi="Montserrat SemiBold"/>
      <w:color w:val="3b8ecf"/>
      <w:sz w:val="38"/>
      <w:szCs w:val="38"/>
    </w:rPr>
  </w:style>
  <w:style w:type="paragraph" w:styleId="Heading3">
    <w:name w:val="heading 3"/>
    <w:basedOn w:val="Normal"/>
    <w:next w:val="Normal"/>
    <w:pPr>
      <w:keepNext w:val="1"/>
      <w:keepLines w:val="1"/>
      <w:spacing w:after="120" w:before="300" w:lineRule="auto"/>
    </w:pPr>
    <w:rPr>
      <w:rFonts w:ascii="Montserrat Medium" w:cs="Montserrat Medium" w:eastAsia="Montserrat Medium" w:hAnsi="Montserrat Medium"/>
      <w:sz w:val="30"/>
      <w:szCs w:val="30"/>
    </w:rPr>
  </w:style>
  <w:style w:type="paragraph" w:styleId="Heading4">
    <w:name w:val="heading 4"/>
    <w:basedOn w:val="Normal"/>
    <w:next w:val="Normal"/>
    <w:pPr>
      <w:keepNext w:val="1"/>
      <w:keepLines w:val="1"/>
      <w:spacing w:after="80" w:before="260" w:lineRule="auto"/>
    </w:pPr>
    <w:rPr>
      <w:rFonts w:ascii="Montserrat Medium" w:cs="Montserrat Medium" w:eastAsia="Montserrat Medium" w:hAnsi="Montserrat Medium"/>
      <w:color w:val="595d61"/>
      <w:sz w:val="26"/>
      <w:szCs w:val="26"/>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spacing w:after="60" w:lineRule="auto"/>
      <w:jc w:val="center"/>
    </w:pPr>
    <w:rPr>
      <w:b w:val="1"/>
      <w:color w:val="3b8ecf"/>
      <w:sz w:val="48"/>
      <w:szCs w:val="48"/>
    </w:rPr>
  </w:style>
  <w:style w:type="paragraph" w:styleId="Subtitle">
    <w:name w:val="Subtitle"/>
    <w:basedOn w:val="Normal"/>
    <w:next w:val="Normal"/>
    <w:pPr>
      <w:keepNext w:val="1"/>
      <w:keepLines w:val="1"/>
      <w:spacing w:after="60" w:lineRule="auto"/>
      <w:jc w:val="center"/>
    </w:pPr>
    <w:rPr>
      <w:b w:val="1"/>
      <w:color w:val="6fbc95"/>
      <w:sz w:val="40"/>
      <w:szCs w:val="4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footer" Target="footer1.xml"/><Relationship Id="rId9" Type="http://schemas.openxmlformats.org/officeDocument/2006/relationships/footer" Target="footer2.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hyperlink" Target="http://www.hyperiondev.com/portal/"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MontserratSemiBold-regular.ttf"/><Relationship Id="rId2" Type="http://schemas.openxmlformats.org/officeDocument/2006/relationships/font" Target="fonts/MontserratSemiBold-bold.ttf"/><Relationship Id="rId3" Type="http://schemas.openxmlformats.org/officeDocument/2006/relationships/font" Target="fonts/MontserratSemiBold-italic.ttf"/><Relationship Id="rId4" Type="http://schemas.openxmlformats.org/officeDocument/2006/relationships/font" Target="fonts/MontserratSemiBold-boldItalic.ttf"/><Relationship Id="rId11" Type="http://schemas.openxmlformats.org/officeDocument/2006/relationships/font" Target="fonts/MontserratMedium-italic.ttf"/><Relationship Id="rId10" Type="http://schemas.openxmlformats.org/officeDocument/2006/relationships/font" Target="fonts/MontserratMedium-bold.ttf"/><Relationship Id="rId12" Type="http://schemas.openxmlformats.org/officeDocument/2006/relationships/font" Target="fonts/MontserratMedium-boldItalic.ttf"/><Relationship Id="rId9" Type="http://schemas.openxmlformats.org/officeDocument/2006/relationships/font" Target="fonts/MontserratMedium-regular.ttf"/><Relationship Id="rId5" Type="http://schemas.openxmlformats.org/officeDocument/2006/relationships/font" Target="fonts/Montserrat-regular.ttf"/><Relationship Id="rId6" Type="http://schemas.openxmlformats.org/officeDocument/2006/relationships/font" Target="fonts/Montserrat-bold.ttf"/><Relationship Id="rId7" Type="http://schemas.openxmlformats.org/officeDocument/2006/relationships/font" Target="fonts/Montserrat-italic.ttf"/><Relationship Id="rId8" Type="http://schemas.openxmlformats.org/officeDocument/2006/relationships/font" Target="fonts/Montserrat-boldItalic.ttf"/></Relationships>
</file>

<file path=word/_rels/foot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