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-14285</wp:posOffset>
                </wp:positionH>
                <wp:positionV relativeFrom="page">
                  <wp:posOffset>-23810</wp:posOffset>
                </wp:positionV>
                <wp:extent cx="7600950" cy="107632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087450" y="1069650"/>
                          <a:ext cx="4517100" cy="5420700"/>
                        </a:xfrm>
                        <a:prstGeom prst="rect">
                          <a:avLst/>
                        </a:prstGeom>
                        <a:solidFill>
                          <a:srgbClr val="10345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-14285</wp:posOffset>
                </wp:positionH>
                <wp:positionV relativeFrom="page">
                  <wp:posOffset>-23810</wp:posOffset>
                </wp:positionV>
                <wp:extent cx="7600950" cy="10763250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00950" cy="10763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28063" cy="650938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063" cy="65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rPr>
          <w:b w:val="1"/>
          <w:color w:val="0e101a"/>
          <w:sz w:val="48"/>
          <w:szCs w:val="48"/>
        </w:rPr>
      </w:pPr>
      <w:bookmarkStart w:colFirst="0" w:colLast="0" w:name="_1t3h5sf" w:id="0"/>
      <w:bookmarkEnd w:id="0"/>
      <w:r w:rsidDel="00000000" w:rsidR="00000000" w:rsidRPr="00000000">
        <w:rPr>
          <w:rtl w:val="0"/>
        </w:rPr>
        <w:t xml:space="preserve">Introduction to Hashing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rPr/>
      </w:pPr>
      <w:bookmarkStart w:colFirst="0" w:colLast="0" w:name="_4d34og8" w:id="1"/>
      <w:bookmarkEnd w:id="1"/>
      <w:r w:rsidDel="00000000" w:rsidR="00000000" w:rsidRPr="00000000">
        <w:rPr>
          <w:rtl w:val="0"/>
        </w:rPr>
        <w:t xml:space="preserve">Model-Answer Approach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hyperlink r:id="rId8">
        <w:r w:rsidDel="00000000" w:rsidR="00000000" w:rsidRPr="00000000">
          <w:rPr>
            <w:color w:val="1155cc"/>
            <w:u w:val="single"/>
          </w:rPr>
          <mc:AlternateContent>
            <mc:Choice Requires="wpg">
              <w:drawing>
                <wp:inline distB="114300" distT="114300" distL="114300" distR="114300">
                  <wp:extent cx="1932713" cy="529585"/>
                  <wp:effectExtent b="0" l="0" r="0" t="0"/>
                  <wp:docPr id="2" name=""/>
                  <a:graphic>
                    <a:graphicData uri="http://schemas.microsoft.com/office/word/2010/wordprocessingShape">
                      <wps:wsp>
                        <wps:cNvSpPr/>
                        <wps:cNvPr id="3" name="Shape 3"/>
                        <wps:spPr>
                          <a:xfrm>
                            <a:off x="180125" y="310225"/>
                            <a:ext cx="3352500" cy="900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6FBC95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ontserrat" w:cs="Montserrat" w:eastAsia="Montserrat" w:hAnsi="Montserrat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44"/>
                                  <w:vertAlign w:val="baseline"/>
                                </w:rPr>
                                <w:t xml:space="preserve">Visit our website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drawing>
                <wp:inline distB="114300" distT="114300" distL="114300" distR="114300">
                  <wp:extent cx="1932713" cy="529585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713" cy="5295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mc:Fallback>
          </mc:AlternateConten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flczhy16vaxu" w:id="2"/>
      <w:bookmarkEnd w:id="2"/>
      <w:r w:rsidDel="00000000" w:rsidR="00000000" w:rsidRPr="00000000">
        <w:rPr>
          <w:rtl w:val="0"/>
        </w:rPr>
        <w:t xml:space="preserve">Auto-graded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200" w:lineRule="auto"/>
        <w:rPr/>
      </w:pPr>
      <w:r w:rsidDel="00000000" w:rsidR="00000000" w:rsidRPr="00000000">
        <w:rPr>
          <w:rtl w:val="0"/>
        </w:rPr>
        <w:t xml:space="preserve">The provided Python script uses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bcrypt </w:t>
      </w:r>
      <w:r w:rsidDel="00000000" w:rsidR="00000000" w:rsidRPr="00000000">
        <w:rPr>
          <w:rtl w:val="0"/>
        </w:rPr>
        <w:t xml:space="preserve">library to securely hash a user-provided password. Firstly, a function named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hash_password</w:t>
      </w:r>
      <w:r w:rsidDel="00000000" w:rsidR="00000000" w:rsidRPr="00000000">
        <w:rPr>
          <w:rtl w:val="0"/>
        </w:rPr>
        <w:t xml:space="preserve"> is defined, which takes a password string as input. Within this function, the password string is encoded using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encode()</w:t>
      </w:r>
      <w:r w:rsidDel="00000000" w:rsidR="00000000" w:rsidRPr="00000000">
        <w:rPr>
          <w:rtl w:val="0"/>
        </w:rPr>
        <w:t xml:space="preserve"> method to ensure compatibility with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bcrypt</w:t>
      </w:r>
      <w:r w:rsidDel="00000000" w:rsidR="00000000" w:rsidRPr="00000000">
        <w:rPr>
          <w:rtl w:val="0"/>
        </w:rPr>
        <w:t xml:space="preserve">. A random salt is generated using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bcrypt.gensalt()</w:t>
      </w:r>
      <w:r w:rsidDel="00000000" w:rsidR="00000000" w:rsidRPr="00000000">
        <w:rPr>
          <w:rtl w:val="0"/>
        </w:rPr>
        <w:t xml:space="preserve">, which adds additional randomness to the hashing process, strengthening security against potential attacks like rainbow-table attacks. Then,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bcrypt.hashpw()</w:t>
      </w:r>
      <w:r w:rsidDel="00000000" w:rsidR="00000000" w:rsidRPr="00000000">
        <w:rPr>
          <w:rtl w:val="0"/>
        </w:rPr>
        <w:t xml:space="preserve"> function is called with the encoded password and the generated salt as arguments to produce the hashed password. This hashed password is returned by the function.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The script prompts the user to enter a password, which is then passed to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hash_password()</w:t>
      </w:r>
      <w:r w:rsidDel="00000000" w:rsidR="00000000" w:rsidRPr="00000000">
        <w:rPr>
          <w:rtl w:val="0"/>
        </w:rPr>
        <w:t xml:space="preserve"> function. The resulting hashed password is stored in the variable hashed_password. Finally, the hashed password is printed to the console after decoding it from bytes to a string using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decode()</w:t>
      </w:r>
      <w:r w:rsidDel="00000000" w:rsidR="00000000" w:rsidRPr="00000000">
        <w:rPr>
          <w:rtl w:val="0"/>
        </w:rPr>
        <w:t xml:space="preserve"> method. This approach ensures that passwords are securely hashed using a strong cryptographic algorithm, safeguarding sensitive user data against unauthorized access.</w:t>
      </w:r>
    </w:p>
    <w:sectPr>
      <w:footerReference r:id="rId9" w:type="default"/>
      <w:footerReference r:id="rId10" w:type="first"/>
      <w:pgSz w:h="16838" w:w="11906" w:orient="portrait"/>
      <w:pgMar w:bottom="1133.8582677165355" w:top="1133.8582677165355" w:left="1133.8582677165355" w:right="1133.8582677165355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nsolas"/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7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8">
    <w:pPr>
      <w:spacing w:after="0" w:before="400" w:lineRule="auto"/>
      <w:ind w:left="4818.897637795276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180000</wp:posOffset>
          </wp:positionV>
          <wp:extent cx="1352550" cy="312400"/>
          <wp:effectExtent b="0" l="0" r="0" t="0"/>
          <wp:wrapNone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527" l="0" r="0" t="0"/>
                  <a:stretch>
                    <a:fillRect/>
                  </a:stretch>
                </pic:blipFill>
                <pic:spPr>
                  <a:xfrm>
                    <a:off x="0" y="0"/>
                    <a:ext cx="1352550" cy="3124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9">
    <w:pPr>
      <w:spacing w:after="0" w:before="200" w:lineRule="auto"/>
      <w:ind w:left="4818.897637795276" w:hanging="4818.897637795276"/>
      <w:jc w:val="left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Copyright </w:t>
    </w:r>
    <w:r w:rsidDel="00000000" w:rsidR="00000000" w:rsidRPr="00000000">
      <w:rPr>
        <w:rFonts w:ascii="Arial" w:cs="Arial" w:eastAsia="Arial" w:hAnsi="Arial"/>
        <w:color w:val="4d5156"/>
        <w:sz w:val="18"/>
        <w:szCs w:val="18"/>
        <w:highlight w:val="white"/>
        <w:rtl w:val="0"/>
      </w:rPr>
      <w:t xml:space="preserve">© </w:t>
    </w:r>
    <w:r w:rsidDel="00000000" w:rsidR="00000000" w:rsidRPr="00000000">
      <w:rPr>
        <w:sz w:val="18"/>
        <w:szCs w:val="18"/>
        <w:rtl w:val="0"/>
      </w:rPr>
      <w:t xml:space="preserve">2024 HyperionDev. All rights reserved.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color w:val="103452"/>
        <w:sz w:val="22"/>
        <w:szCs w:val="22"/>
        <w:lang w:val="en_GB"/>
      </w:rPr>
    </w:rPrDefault>
    <w:pPrDefault>
      <w:pPr>
        <w:spacing w:after="22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before="400" w:lineRule="auto"/>
    </w:pPr>
    <w:rPr>
      <w:rFonts w:ascii="Montserrat SemiBold" w:cs="Montserrat SemiBold" w:eastAsia="Montserrat SemiBold" w:hAnsi="Montserrat SemiBold"/>
      <w:sz w:val="46"/>
      <w:szCs w:val="46"/>
    </w:rPr>
  </w:style>
  <w:style w:type="paragraph" w:styleId="Heading2">
    <w:name w:val="heading 2"/>
    <w:basedOn w:val="Normal"/>
    <w:next w:val="Normal"/>
    <w:pPr>
      <w:keepNext w:val="1"/>
      <w:keepLines w:val="1"/>
      <w:spacing w:after="180" w:before="360" w:lineRule="auto"/>
    </w:pPr>
    <w:rPr>
      <w:rFonts w:ascii="Montserrat SemiBold" w:cs="Montserrat SemiBold" w:eastAsia="Montserrat SemiBold" w:hAnsi="Montserrat SemiBold"/>
      <w:color w:val="3b8ecf"/>
      <w:sz w:val="38"/>
      <w:szCs w:val="3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00" w:lineRule="auto"/>
    </w:pPr>
    <w:rPr>
      <w:rFonts w:ascii="Montserrat Medium" w:cs="Montserrat Medium" w:eastAsia="Montserrat Medium" w:hAnsi="Montserrat Medium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60" w:lineRule="auto"/>
    </w:pPr>
    <w:rPr>
      <w:rFonts w:ascii="Montserrat Medium" w:cs="Montserrat Medium" w:eastAsia="Montserrat Medium" w:hAnsi="Montserrat Medium"/>
      <w:color w:val="595d6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3b8ecf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6fbc95"/>
      <w:sz w:val="40"/>
      <w:szCs w:val="4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yperlink" Target="http://www.hyperiondev.com/portal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2" Type="http://schemas.openxmlformats.org/officeDocument/2006/relationships/font" Target="fonts/MontserratMedium-boldItalic.ttf"/><Relationship Id="rId9" Type="http://schemas.openxmlformats.org/officeDocument/2006/relationships/font" Target="fonts/MontserratMedium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