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left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Fonts w:ascii="Cabin" w:cs="Cabin" w:eastAsia="Cabin" w:hAnsi="Cabin"/>
          <w:color w:val="ee6b00"/>
          <w:sz w:val="48"/>
          <w:szCs w:val="48"/>
          <w:highlight w:val="white"/>
        </w:rPr>
        <w:drawing>
          <wp:inline distB="114300" distT="114300" distL="114300" distR="114300">
            <wp:extent cx="3297670" cy="725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jc w:val="both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6"/>
          <w:szCs w:val="36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before="160" w:lineRule="auto"/>
        <w:jc w:val="center"/>
        <w:rPr/>
      </w:pPr>
      <w:bookmarkStart w:colFirst="0" w:colLast="0" w:name="_pdlsez9ew2mp" w:id="0"/>
      <w:bookmarkEnd w:id="0"/>
      <w:r w:rsidDel="00000000" w:rsidR="00000000" w:rsidRPr="00000000">
        <w:rPr>
          <w:rtl w:val="0"/>
        </w:rPr>
        <w:t xml:space="preserve">JavaScript Data Types and Conditional Statements</w:t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b w:val="1"/>
          <w:color w:val="1134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rtl w:val="0"/>
        </w:rPr>
        <w:t xml:space="preserve">Model-Answer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8"/>
          <w:szCs w:val="48"/>
          <w:highlight w:val="white"/>
        </w:rPr>
      </w:pPr>
      <w:hyperlink r:id="rId7">
        <w:r w:rsidDel="00000000" w:rsidR="00000000" w:rsidRPr="00000000">
          <w:rPr>
            <w:rFonts w:ascii="Cabin" w:cs="Cabin" w:eastAsia="Cabin" w:hAnsi="Cabin"/>
            <w:color w:val="1155cc"/>
            <w:sz w:val="48"/>
            <w:szCs w:val="48"/>
            <w:highlight w:val="white"/>
            <w:u w:val="single"/>
          </w:rPr>
          <w:drawing>
            <wp:inline distB="114300" distT="114300" distL="114300" distR="114300">
              <wp:extent cx="2152650" cy="578745"/>
              <wp:effectExtent b="0" l="0" r="0" t="0"/>
              <wp:docPr id="3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60" w:lineRule="auto"/>
        <w:ind w:left="0" w:firstLine="0"/>
        <w:jc w:val="center"/>
        <w:rPr>
          <w:rFonts w:ascii="Montserrat Light" w:cs="Montserrat Light" w:eastAsia="Montserrat Light" w:hAnsi="Montserrat Light"/>
          <w:color w:val="11345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bin" w:cs="Cabin" w:eastAsia="Cabin" w:hAnsi="Cabin"/>
          <w:color w:val="ee6b00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Auto-graded Task 1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The program correctly prompts the user for various pieces of information by applying the built-in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prompt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function, making it interactive and engaging. The program effectively performs basic mathematical operations like addition, multiplication, and modulo (%) to manipulate the user-provided data.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Math.round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method is also used for all mathematical operations, to ensure a pleasant user experience, as the output will be rounded off.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The variables are declared with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const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keyword, which is best practice, as this prevents accidental reassignment of the variable. The variables that are used for the arithmetic operations are cast to a number using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Number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constructor.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Auto-graded Task 2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The approach used in the program accurately implements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tiered water billing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structure, addressing different consumption levels and rates. The variables are declared with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const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keyword, which follows best practices.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The program specifically considers the needs of indigent households, ensuring appropriate bill adjustments or free usage within defined limits. The program effectively uses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if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else if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else </w:t>
      </w: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 statements to handle various scenarios based on user input and consumption levels.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Variables are used meaningfully to store intermediate calculations and improve code clarity. The code is thoroughly commented, which can aid with the readability and maintainability of the code.</w:t>
      </w:r>
    </w:p>
    <w:p w:rsidR="00000000" w:rsidDel="00000000" w:rsidP="00000000" w:rsidRDefault="00000000" w:rsidRPr="00000000" w14:paraId="00000020">
      <w:pPr>
        <w:pageBreakBefore w:val="0"/>
        <w:spacing w:after="120" w:before="160" w:lineRule="auto"/>
        <w:jc w:val="both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-915824</wp:posOffset>
              </wp:positionH>
              <wp:positionV relativeFrom="paragraph">
                <wp:posOffset>495300</wp:posOffset>
              </wp:positionV>
              <wp:extent cx="7563600" cy="352017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3600" cy="352017"/>
                        <a:chOff x="0" y="0"/>
                        <a:chExt cx="7565475" cy="3387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-220125" y="0"/>
                          <a:ext cx="7785600" cy="338700"/>
                        </a:xfrm>
                        <a:prstGeom prst="rect">
                          <a:avLst/>
                        </a:prstGeom>
                        <a:solidFill>
                          <a:srgbClr val="11345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4763150" y="15450"/>
                          <a:ext cx="27645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Copyright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© 2023 HyperionDev. All rights reserved.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hyperiondev-white-logo-352x82.png"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49875" y="58850"/>
                          <a:ext cx="948675" cy="2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-915824</wp:posOffset>
              </wp:positionH>
              <wp:positionV relativeFrom="paragraph">
                <wp:posOffset>495300</wp:posOffset>
              </wp:positionV>
              <wp:extent cx="7563600" cy="352017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600" cy="3520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Rule="auto"/>
      <w:jc w:val="both"/>
    </w:pPr>
    <w:rPr>
      <w:rFonts w:ascii="Montserrat" w:cs="Montserrat" w:eastAsia="Montserrat" w:hAnsi="Montserrat"/>
      <w:b w:val="1"/>
      <w:color w:val="c19a4f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00" w:lineRule="auto"/>
    </w:pPr>
    <w:rPr>
      <w:rFonts w:ascii="Montserrat" w:cs="Montserrat" w:eastAsia="Montserrat" w:hAnsi="Montserrat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60" w:lineRule="auto"/>
      <w:jc w:val="center"/>
    </w:pPr>
    <w:rPr>
      <w:rFonts w:ascii="Montserrat" w:cs="Montserrat" w:eastAsia="Montserrat" w:hAnsi="Montserrat"/>
      <w:b w:val="1"/>
      <w:color w:val="113452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hyperiondev.com/portal/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