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12"/>
      </w:tblGrid>
      <w:tr>
        <w:tc>
          <w:tcPr>
            <w:tcW w:type="dxa" w:w="9411"/>
            <w:shd w:fill="0A2540" w:val="clear"/>
            <w:tcBorders>
              <w:top w:val="single" w:sz="0" w:space="0" w:color="0A2540"/>
              <w:left w:val="single" w:sz="0" w:space="0" w:color="0A2540"/>
              <w:bottom w:val="single" w:sz="0" w:space="0" w:color="0A2540"/>
              <w:right w:val="single" w:sz="0" w:space="0" w:color="0A2540"/>
            </w:tcBorders>
            <w:vAlign w:val="center"/>
          </w:tcPr>
          <w:p>
            <w:pPr>
              <w:spacing w:before="8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0D4AA"/>
                <w:sz w:val="18"/>
              </w:rPr>
              <w:t>HYPERJUMP TECHNOLOGY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OneAI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C8D9EB"/>
                <w:sz w:val="20"/>
              </w:rPr>
              <w:t>Internal memo  ·  send to your manager or leadership</w:t>
            </w:r>
          </w:p>
        </w:tc>
      </w:tr>
    </w:tbl>
    <w:p>
      <w:pPr>
        <w:spacing w:before="0" w:after="16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9412"/>
      </w:tblGrid>
      <w:tr>
        <w:tc>
          <w:tcPr>
            <w:tcW w:type="dxa" w:w="9411"/>
            <w:shd w:fill="FFF6D8" w:val="clear"/>
            <w:tcBorders>
              <w:top w:val="single" w:sz="8" w:space="0" w:color="E6C200"/>
              <w:left w:val="single" w:sz="8" w:space="0" w:color="E6C200"/>
              <w:bottom w:val="single" w:sz="8" w:space="0" w:color="E6C200"/>
              <w:right w:val="single" w:sz="8" w:space="0" w:color="E6C20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6B5300"/>
                <w:sz w:val="20"/>
              </w:rPr>
              <w:t xml:space="preserve">How to use this file: replace every </w:t>
            </w:r>
            <w:r>
              <w:rPr>
                <w:rFonts w:ascii="Calibri" w:hAnsi="Calibri" w:eastAsia="Calibri"/>
                <w:b/>
                <w:i w:val="0"/>
                <w:color w:val="8A5A00"/>
                <w:sz w:val="20"/>
                <w:highlight w:val="yellow"/>
              </w:rPr>
              <w:t>[bracketed]</w:t>
            </w:r>
            <w:r>
              <w:rPr>
                <w:rFonts w:ascii="Calibri" w:hAnsi="Calibri" w:eastAsia="Calibri"/>
                <w:b w:val="0"/>
                <w:i w:val="0"/>
                <w:color w:val="6B5300"/>
                <w:sz w:val="20"/>
              </w:rPr>
              <w:t xml:space="preserve"> field, attach the OneAI two-page PDF overview, then delete this yellow box before you send.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706"/>
        <w:gridCol w:w="4706"/>
      </w:tblGrid>
      <w:tr>
        <w:tc>
          <w:tcPr>
            <w:tcW w:type="dxa" w:w="1928"/>
            <w:shd w:fill="EEF5FB" w:val="clear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20"/>
              </w:rPr>
              <w:t>To</w:t>
            </w:r>
          </w:p>
        </w:tc>
        <w:tc>
          <w:tcPr>
            <w:tcW w:type="dxa" w:w="7483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22"/>
                <w:highlight w:val="yellow"/>
              </w:rPr>
              <w:t>[Name]</w:t>
            </w:r>
            <w:r>
              <w:rPr>
                <w:rFonts w:ascii="Calibri" w:hAnsi="Calibri" w:eastAsia="Calibri"/>
                <w:b w:val="0"/>
                <w:i w:val="0"/>
                <w:color w:val="0A2540"/>
                <w:sz w:val="22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8A5A00"/>
                <w:sz w:val="22"/>
                <w:highlight w:val="yellow"/>
              </w:rPr>
              <w:t>[Title]</w:t>
            </w:r>
          </w:p>
        </w:tc>
      </w:tr>
      <w:tr>
        <w:tc>
          <w:tcPr>
            <w:tcW w:type="dxa" w:w="1928"/>
            <w:shd w:fill="EEF5FB" w:val="clear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20"/>
              </w:rPr>
              <w:t>From</w:t>
            </w:r>
          </w:p>
        </w:tc>
        <w:tc>
          <w:tcPr>
            <w:tcW w:type="dxa" w:w="7483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22"/>
                <w:highlight w:val="yellow"/>
              </w:rPr>
              <w:t>[Your name]</w:t>
            </w:r>
            <w:r>
              <w:rPr>
                <w:rFonts w:ascii="Calibri" w:hAnsi="Calibri" w:eastAsia="Calibri"/>
                <w:b w:val="0"/>
                <w:i w:val="0"/>
                <w:color w:val="0A2540"/>
                <w:sz w:val="22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color w:val="8A5A00"/>
                <w:sz w:val="22"/>
                <w:highlight w:val="yellow"/>
              </w:rPr>
              <w:t>[Role / department]</w:t>
            </w:r>
          </w:p>
        </w:tc>
      </w:tr>
      <w:tr>
        <w:tc>
          <w:tcPr>
            <w:tcW w:type="dxa" w:w="1928"/>
            <w:shd w:fill="EEF5FB" w:val="clear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20"/>
              </w:rPr>
              <w:t>Date</w:t>
            </w:r>
          </w:p>
        </w:tc>
        <w:tc>
          <w:tcPr>
            <w:tcW w:type="dxa" w:w="7483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22"/>
                <w:highlight w:val="yellow"/>
              </w:rPr>
              <w:t>[Date]</w:t>
            </w:r>
          </w:p>
        </w:tc>
      </w:tr>
      <w:tr>
        <w:tc>
          <w:tcPr>
            <w:tcW w:type="dxa" w:w="1928"/>
            <w:shd w:fill="EEF5FB" w:val="clear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20"/>
              </w:rPr>
              <w:t>Subject</w:t>
            </w:r>
          </w:p>
        </w:tc>
        <w:tc>
          <w:tcPr>
            <w:tcW w:type="dxa" w:w="7483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A2540"/>
                <w:sz w:val="22"/>
              </w:rPr>
              <w:t>Recommendation to evaluate OneAI as our company AI platform</w:t>
            </w:r>
          </w:p>
        </w:tc>
      </w:tr>
      <w:tr>
        <w:tc>
          <w:tcPr>
            <w:tcW w:type="dxa" w:w="1928"/>
            <w:shd w:fill="EEF5FB" w:val="clear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20"/>
              </w:rPr>
              <w:t>Attachments</w:t>
            </w:r>
          </w:p>
        </w:tc>
        <w:tc>
          <w:tcPr>
            <w:tcW w:type="dxa" w:w="7483"/>
            <w:tcBorders>
              <w:top w:val="single" w:sz="4" w:space="0" w:color="C8D9EB"/>
              <w:left w:val="single" w:sz="4" w:space="0" w:color="C8D9EB"/>
              <w:bottom w:val="single" w:sz="4" w:space="0" w:color="C8D9EB"/>
              <w:right w:val="single" w:sz="4" w:space="0" w:color="C8D9EB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A2540"/>
                <w:sz w:val="22"/>
              </w:rPr>
              <w:t>OneAI two-page overview (PDF)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20" w:line="276" w:lineRule="auto"/>
      </w:pPr>
      <w:r>
        <w:rPr>
          <w:rFonts w:ascii="Calibri" w:hAnsi="Calibri" w:eastAsia="Calibri"/>
          <w:b/>
          <w:i w:val="0"/>
          <w:color w:val="0A2540"/>
          <w:sz w:val="26"/>
        </w:rPr>
        <w:t>1. Request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I recommend we evaluate OneAI from Hyperjump Technology as our company-wide AI platform — or, at minimum, schedule a short briefing with the vendor.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This is not a request to replace personal ChatGPT for a handful of people. It is a request to decide how we will govern AI once 20–40 of us are already using it.</w:t>
      </w:r>
    </w:p>
    <w:p>
      <w:pPr>
        <w:spacing w:before="280" w:after="120" w:line="276" w:lineRule="auto"/>
      </w:pPr>
      <w:r>
        <w:rPr>
          <w:rFonts w:ascii="Calibri" w:hAnsi="Calibri" w:eastAsia="Calibri"/>
          <w:b/>
          <w:i w:val="0"/>
          <w:color w:val="0A2540"/>
          <w:sz w:val="26"/>
        </w:rPr>
        <w:t>2. Why this matters now</w:t>
      </w: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Teams are already using AI. Personal subscriptions, informal stipends, or buying credits ad hoc do not give us: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/>
          <w:i w:val="0"/>
          <w:color w:val="0A2540"/>
          <w:sz w:val="22"/>
        </w:rPr>
        <w:t xml:space="preserve">Control — </w:t>
      </w:r>
      <w:r>
        <w:rPr>
          <w:rFonts w:ascii="Calibri" w:hAnsi="Calibri" w:eastAsia="Calibri"/>
          <w:b w:val="0"/>
          <w:i w:val="0"/>
          <w:color w:val="425466"/>
          <w:sz w:val="22"/>
        </w:rPr>
        <w:t>one dashboard, usage reports, and a way to choose which models are available.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/>
          <w:i w:val="0"/>
          <w:color w:val="0A2540"/>
          <w:sz w:val="22"/>
        </w:rPr>
        <w:t xml:space="preserve">A single budget — </w:t>
      </w:r>
      <w:r>
        <w:rPr>
          <w:rFonts w:ascii="Calibri" w:hAnsi="Calibri" w:eastAsia="Calibri"/>
          <w:b w:val="0"/>
          <w:i w:val="0"/>
          <w:color w:val="425466"/>
          <w:sz w:val="22"/>
        </w:rPr>
        <w:t>one invoice instead of 20–40 subscriptions and unverified stipends.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/>
          <w:i w:val="0"/>
          <w:color w:val="0A2540"/>
          <w:sz w:val="22"/>
        </w:rPr>
        <w:t xml:space="preserve">A clear data posture — </w:t>
      </w:r>
      <w:r>
        <w:rPr>
          <w:rFonts w:ascii="Calibri" w:hAnsi="Calibri" w:eastAsia="Calibri"/>
          <w:b w:val="0"/>
          <w:i w:val="0"/>
          <w:color w:val="425466"/>
          <w:sz w:val="22"/>
        </w:rPr>
        <w:t>Zero Data Retention (ZDR), so company data is not kept for model training.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/>
          <w:i w:val="0"/>
          <w:color w:val="0A2540"/>
          <w:sz w:val="22"/>
        </w:rPr>
        <w:t xml:space="preserve">Real capability — </w:t>
      </w:r>
      <w:r>
        <w:rPr>
          <w:rFonts w:ascii="Calibri" w:hAnsi="Calibri" w:eastAsia="Calibri"/>
          <w:b w:val="0"/>
          <w:i w:val="0"/>
          <w:color w:val="425466"/>
          <w:sz w:val="22"/>
        </w:rPr>
        <w:t>office files, internal knowledge, code execution, and more than one model vendor.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Money given as a stipend can be spent on anything. We pay for capacity we cannot see, and we cannot enforce company policy.</w:t>
      </w:r>
    </w:p>
    <w:p>
      <w:pPr>
        <w:spacing w:before="280" w:after="120" w:line="276" w:lineRule="auto"/>
      </w:pPr>
      <w:r>
        <w:rPr>
          <w:rFonts w:ascii="Calibri" w:hAnsi="Calibri" w:eastAsia="Calibri"/>
          <w:b/>
          <w:i w:val="0"/>
          <w:color w:val="0A2540"/>
          <w:sz w:val="26"/>
        </w:rPr>
        <w:t>3. Why OneAI, specifically</w:t>
      </w: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OneAI is a unified platform for up to 40 users. Published commercial terms (before tax):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Rp12.400.000 / month, billed quarterly (Rp37.200.000 per quarter).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USD 300 AI credit included each month.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10% off with annual billing.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Latest models as they launch (OpenAI, Anthropic, DeepSeek, and others); admins choose what each team can use.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One team onboarding session and monthly usage reports included.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Customization (internal systems, custom SSO) is scoped separately.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At 40 users, ChatGPT Business is about Rp16 million / month before extra credits. OneAI stays at Rp12.4 million with credit included. The attached PDF has the full comparison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9412"/>
      </w:tblGrid>
      <w:tr>
        <w:tc>
          <w:tcPr>
            <w:tcW w:type="dxa" w:w="9411"/>
            <w:shd w:fill="EEF5FB" w:val="clear"/>
            <w:tcBorders>
              <w:top w:val="single" w:sz="8" w:space="0" w:color="635BFF"/>
              <w:left w:val="single" w:sz="8" w:space="0" w:color="635BFF"/>
              <w:bottom w:val="single" w:sz="8" w:space="0" w:color="635BFF"/>
              <w:right w:val="single" w:sz="8" w:space="0" w:color="635BFF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635BFF"/>
                <w:sz w:val="20"/>
              </w:rPr>
              <w:t>Honest caveat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20"/>
              </w:rPr>
              <w:t>If we have fewer than 20 people and only need chat, ChatGPT Plus or Business is usually enough and cheaper. OneAI is meant for a company that needs one platform — control, multiple models, and one budget — not 20–40 subscriptions.</w:t>
            </w:r>
          </w:p>
        </w:tc>
      </w:tr>
    </w:tbl>
    <w:p>
      <w:pPr>
        <w:spacing w:before="0" w:after="80" w:line="276" w:lineRule="auto"/>
      </w:pPr>
    </w:p>
    <w:p>
      <w:pPr>
        <w:spacing w:before="280" w:after="120" w:line="276" w:lineRule="auto"/>
      </w:pPr>
      <w:r>
        <w:rPr>
          <w:rFonts w:ascii="Calibri" w:hAnsi="Calibri" w:eastAsia="Calibri"/>
          <w:b/>
          <w:i w:val="0"/>
          <w:color w:val="0A2540"/>
          <w:sz w:val="26"/>
        </w:rPr>
        <w:t>4. Cost snapshot (per month)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fill="0A2540" w:val="clear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At 40 users</w:t>
            </w:r>
          </w:p>
        </w:tc>
        <w:tc>
          <w:tcPr>
            <w:tcW w:type="dxa" w:w="2324"/>
            <w:shd w:fill="0A2540" w:val="clear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Individual stipends</w:t>
            </w:r>
          </w:p>
        </w:tc>
        <w:tc>
          <w:tcPr>
            <w:tcW w:type="dxa" w:w="2324"/>
            <w:shd w:fill="0A2540" w:val="clear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ChatGPT Business</w:t>
            </w:r>
          </w:p>
        </w:tc>
        <w:tc>
          <w:tcPr>
            <w:tcW w:type="dxa" w:w="2268"/>
            <w:shd w:fill="0A2540" w:val="clear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</w:tcPr>
          <w:p>
            <w:pPr>
              <w:spacing w:before="6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OneAI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Monthly cost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Rp20.000.000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Rp16.000.000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Rp12.400.000 · fixed</w:t>
            </w:r>
          </w:p>
        </w:tc>
      </w:tr>
      <w:tr>
        <w:tc>
          <w:tcPr>
            <w:tcW w:type="dxa" w:w="249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AI credit</w:t>
            </w:r>
          </w:p>
        </w:tc>
        <w:tc>
          <w:tcPr>
            <w:tcW w:type="dxa" w:w="232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No</w:t>
            </w:r>
          </w:p>
        </w:tc>
        <w:tc>
          <w:tcPr>
            <w:tcW w:type="dxa" w:w="232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Bought separately</w:t>
            </w:r>
          </w:p>
        </w:tc>
        <w:tc>
          <w:tcPr>
            <w:tcW w:type="dxa" w:w="2268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USD 300 included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ZDR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No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Not ZDR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Yes</w:t>
            </w:r>
          </w:p>
        </w:tc>
      </w:tr>
      <w:tr>
        <w:tc>
          <w:tcPr>
            <w:tcW w:type="dxa" w:w="249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One invoice &amp; usage reports</w:t>
            </w:r>
          </w:p>
        </w:tc>
        <w:tc>
          <w:tcPr>
            <w:tcW w:type="dxa" w:w="232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No</w:t>
            </w:r>
          </w:p>
        </w:tc>
        <w:tc>
          <w:tcPr>
            <w:tcW w:type="dxa" w:w="2324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425466"/>
                <w:sz w:val="18"/>
              </w:rPr>
              <w:t>ChatGPT only</w:t>
            </w:r>
          </w:p>
        </w:tc>
        <w:tc>
          <w:tcPr>
            <w:tcW w:type="dxa" w:w="2268"/>
            <w:shd w:fill="F6F8F9" w:val="clear"/>
            <w:tcBorders>
              <w:top w:val="single" w:sz="4" w:space="0" w:color="D9E4EE"/>
              <w:left w:val="single" w:sz="4" w:space="0" w:color="D9E4EE"/>
              <w:bottom w:val="single" w:sz="4" w:space="0" w:color="D9E4EE"/>
              <w:right w:val="single" w:sz="4" w:space="0" w:color="D9E4E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0A2540"/>
                <w:sz w:val="18"/>
              </w:rPr>
              <w:t>Yes · all models</w:t>
            </w:r>
          </w:p>
        </w:tc>
      </w:tr>
    </w:tbl>
    <w:p>
      <w:pPr>
        <w:spacing w:before="120" w:after="80" w:line="276" w:lineRule="auto"/>
      </w:pPr>
      <w:r>
        <w:rPr>
          <w:rFonts w:ascii="Calibri" w:hAnsi="Calibri" w:eastAsia="Calibri"/>
          <w:b w:val="0"/>
          <w:i/>
          <w:color w:val="8898AA"/>
          <w:sz w:val="18"/>
        </w:rPr>
        <w:t>Assumptions in the public comparison: Rp16.000/USD; stipend example Rp500.000/person; ChatGPT Business $25/user/month. Competitor prices may change; these figures are for comparison, not their quotes. Tax is extra.</w:t>
      </w:r>
    </w:p>
    <w:p>
      <w:pPr>
        <w:spacing w:before="280" w:after="120" w:line="276" w:lineRule="auto"/>
      </w:pPr>
      <w:r>
        <w:rPr>
          <w:rFonts w:ascii="Calibri" w:hAnsi="Calibri" w:eastAsia="Calibri"/>
          <w:b/>
          <w:i w:val="0"/>
          <w:color w:val="0A2540"/>
          <w:sz w:val="26"/>
        </w:rPr>
        <w:t>5. Proposed next step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1. Review the attached two-page overview.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2. Approve a 30-minute call with Hyperjump (solution@hyperjump.tech) to confirm fit, onboarding, and commercial terms.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3. Decide after that call — adopt, wait, or stay with the current approach.</w:t>
      </w:r>
    </w:p>
    <w:p>
      <w:pPr>
        <w:spacing w:before="0" w:after="160" w:line="276" w:lineRule="auto"/>
        <w:jc w:val="both"/>
      </w:pPr>
      <w:r>
        <w:rPr>
          <w:rFonts w:ascii="Calibri" w:hAnsi="Calibri" w:eastAsia="Calibri"/>
          <w:b w:val="0"/>
          <w:i w:val="0"/>
          <w:color w:val="425466"/>
          <w:sz w:val="22"/>
        </w:rPr>
        <w:t>I am happy to coordinate the conversation and report back.</w:t>
      </w:r>
    </w:p>
    <w:p>
      <w:pPr>
        <w:spacing w:before="240" w:after="320" w:line="276" w:lineRule="auto"/>
      </w:pPr>
      <w:r>
        <w:rPr>
          <w:rFonts w:ascii="Calibri" w:hAnsi="Calibri" w:eastAsia="Calibri"/>
          <w:b w:val="0"/>
          <w:i w:val="0"/>
          <w:color w:val="425466"/>
          <w:sz w:val="22"/>
        </w:rPr>
        <w:t>Respectfully,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i w:val="0"/>
          <w:color w:val="8A5A00"/>
          <w:sz w:val="24"/>
          <w:highlight w:val="yellow"/>
        </w:rPr>
        <w:t>[Your name]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i w:val="0"/>
          <w:color w:val="8A5A00"/>
          <w:sz w:val="22"/>
          <w:highlight w:val="yellow"/>
        </w:rPr>
        <w:t>[Role / department]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i w:val="0"/>
          <w:color w:val="8A5A00"/>
          <w:sz w:val="20"/>
          <w:highlight w:val="yellow"/>
        </w:rPr>
        <w:t>[Phone / email]</w:t>
      </w:r>
    </w:p>
    <w:p>
      <w:pPr>
        <w:spacing w:before="320" w:after="0" w:line="276" w:lineRule="auto"/>
        <w:pBdr>
          <w:top w:val="single" w:sz="8" w:space="8" w:color="0A2540"/>
        </w:pBdr>
      </w:pPr>
      <w:r>
        <w:rPr>
          <w:rFonts w:ascii="Calibri" w:hAnsi="Calibri" w:eastAsia="Calibri"/>
          <w:b w:val="0"/>
          <w:i w:val="0"/>
          <w:color w:val="8898AA"/>
          <w:sz w:val="16"/>
        </w:rPr>
        <w:t>Vendor: Hyperjump Technology · PT Artha Rajamas Mandiri · Jakarta  ·  solution@hyperjump.tech  ·  https://hyperjump.tech/en/oneai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2546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OneAI leadership memo</dc:title>
  <dc:subject>Recommendation to evaluate OneAI</dc:subject>
  <dc:creator>Hyperjump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OneAI</cp:category>
</cp:coreProperties>
</file>