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Ind w:w="0" w:type="dxa"/>
      </w:tblPr>
      <w:tblGrid>
        <w:gridCol w:w="9412"/>
      </w:tblGrid>
      <w:tr>
        <w:tc>
          <w:tcPr>
            <w:tcW w:type="dxa" w:w="9411"/>
            <w:shd w:fill="0A2540" w:val="clear"/>
            <w:tcBorders>
              <w:top w:val="single" w:sz="0" w:space="0" w:color="0A2540"/>
              <w:left w:val="single" w:sz="0" w:space="0" w:color="0A2540"/>
              <w:bottom w:val="single" w:sz="0" w:space="0" w:color="0A2540"/>
              <w:right w:val="single" w:sz="0" w:space="0" w:color="0A2540"/>
            </w:tcBorders>
            <w:vAlign w:val="center"/>
          </w:tcPr>
          <w:p>
            <w:pPr>
              <w:spacing w:before="80" w:after="0" w:line="276" w:lineRule="auto"/>
              <w:jc w:val="left"/>
            </w:pPr>
            <w:r>
              <w:rPr>
                <w:rFonts w:ascii="Calibri" w:hAnsi="Calibri" w:eastAsia="Calibri"/>
                <w:b/>
                <w:i w:val="0"/>
                <w:color w:val="00D4AA"/>
                <w:sz w:val="18"/>
              </w:rPr>
              <w:t>HYPERJUMP TECHNOLOGY</w:t>
            </w:r>
          </w:p>
          <w:p>
            <w:pPr>
              <w:spacing w:before="0" w:after="0" w:line="276" w:lineRule="auto"/>
            </w:pPr>
            <w:r>
              <w:rPr>
                <w:rFonts w:ascii="Calibri" w:hAnsi="Calibri" w:eastAsia="Calibri"/>
                <w:b/>
                <w:i w:val="0"/>
                <w:color w:val="FFFFFF"/>
                <w:sz w:val="44"/>
              </w:rPr>
              <w:t>OneAI</w:t>
            </w:r>
          </w:p>
          <w:p>
            <w:pPr>
              <w:spacing w:before="40" w:after="80" w:line="276" w:lineRule="auto"/>
            </w:pPr>
            <w:r>
              <w:rPr>
                <w:rFonts w:ascii="Calibri" w:hAnsi="Calibri" w:eastAsia="Calibri"/>
                <w:b w:val="0"/>
                <w:i w:val="0"/>
                <w:color w:val="C8D9EB"/>
                <w:sz w:val="20"/>
              </w:rPr>
              <w:t>Internal memo  ·  send to your manager or leadership</w:t>
            </w:r>
          </w:p>
        </w:tc>
      </w:tr>
    </w:tbl>
    <w:p>
      <w:pPr>
        <w:spacing w:before="0" w:after="160" w:line="276" w:lineRule="auto"/>
      </w:pPr>
    </w:p>
    <w:tbl>
      <w:tblPr>
        <w:tblW w:type="auto" w:w="0"/>
        <w:tblLayout w:type="fixed"/>
        <w:tblLook w:firstColumn="1" w:firstRow="1" w:lastColumn="0" w:lastRow="0" w:noHBand="0" w:noVBand="1" w:val="04A0"/>
        <w:tblInd w:w="0" w:type="dxa"/>
      </w:tblPr>
      <w:tblGrid>
        <w:gridCol w:w="9412"/>
      </w:tblGrid>
      <w:tr>
        <w:tc>
          <w:tcPr>
            <w:tcW w:type="dxa" w:w="9411"/>
            <w:shd w:fill="FFF6D8" w:val="clear"/>
            <w:tcBorders>
              <w:top w:val="single" w:sz="8" w:space="0" w:color="E6C200"/>
              <w:left w:val="single" w:sz="8" w:space="0" w:color="E6C200"/>
              <w:bottom w:val="single" w:sz="8" w:space="0" w:color="E6C200"/>
              <w:right w:val="single" w:sz="8" w:space="0" w:color="E6C200"/>
            </w:tcBorders>
          </w:tcPr>
          <w:p>
            <w:pPr>
              <w:spacing w:before="40" w:after="40" w:line="276" w:lineRule="auto"/>
            </w:pPr>
            <w:r>
              <w:rPr>
                <w:rFonts w:ascii="Calibri" w:hAnsi="Calibri" w:eastAsia="Calibri"/>
                <w:b w:val="0"/>
                <w:i w:val="0"/>
                <w:color w:val="6B5300"/>
                <w:sz w:val="20"/>
              </w:rPr>
              <w:t xml:space="preserve">How to use this file: replace every </w:t>
            </w:r>
            <w:r>
              <w:rPr>
                <w:rFonts w:ascii="Calibri" w:hAnsi="Calibri" w:eastAsia="Calibri"/>
                <w:b/>
                <w:i w:val="0"/>
                <w:color w:val="8A5A00"/>
                <w:sz w:val="20"/>
                <w:highlight w:val="yellow"/>
              </w:rPr>
              <w:t>[bracketed]</w:t>
            </w:r>
            <w:r>
              <w:rPr>
                <w:rFonts w:ascii="Calibri" w:hAnsi="Calibri" w:eastAsia="Calibri"/>
                <w:b w:val="0"/>
                <w:i w:val="0"/>
                <w:color w:val="6B5300"/>
                <w:sz w:val="20"/>
              </w:rPr>
              <w:t xml:space="preserve"> field, attach the OneAI two-page PDF overview, then delete this yellow box before you send.</w:t>
            </w:r>
          </w:p>
        </w:tc>
      </w:tr>
    </w:tbl>
    <w:p>
      <w:pPr>
        <w:spacing w:before="0" w:after="120" w:line="276" w:lineRule="auto"/>
      </w:pPr>
    </w:p>
    <w:tbl>
      <w:tblPr>
        <w:tblW w:type="auto" w:w="0"/>
        <w:tblLayout w:type="fixed"/>
        <w:tblLook w:firstColumn="1" w:firstRow="1" w:lastColumn="0" w:lastRow="0" w:noHBand="0" w:noVBand="1" w:val="04A0"/>
        <w:tblInd w:w="0" w:type="dxa"/>
      </w:tblPr>
      <w:tblGrid>
        <w:gridCol w:w="4706"/>
        <w:gridCol w:w="4706"/>
      </w:tblGrid>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0A2540"/>
                <w:sz w:val="20"/>
              </w:rPr>
              <w:t>To</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8A5A00"/>
                <w:sz w:val="22"/>
                <w:highlight w:val="yellow"/>
              </w:rPr>
              <w:t>[Name]</w:t>
            </w:r>
            <w:r>
              <w:rPr>
                <w:rFonts w:ascii="Calibri" w:hAnsi="Calibri" w:eastAsia="Calibri"/>
                <w:b w:val="0"/>
                <w:i w:val="0"/>
                <w:color w:val="0A2540"/>
                <w:sz w:val="22"/>
              </w:rPr>
              <w:t xml:space="preserve">, </w:t>
            </w:r>
            <w:r>
              <w:rPr>
                <w:rFonts w:ascii="Calibri" w:hAnsi="Calibri" w:eastAsia="Calibri"/>
                <w:b/>
                <w:i w:val="0"/>
                <w:color w:val="8A5A00"/>
                <w:sz w:val="22"/>
                <w:highlight w:val="yellow"/>
              </w:rPr>
              <w:t>[Title]</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0A2540"/>
                <w:sz w:val="20"/>
              </w:rPr>
              <w:t>From</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8A5A00"/>
                <w:sz w:val="22"/>
                <w:highlight w:val="yellow"/>
              </w:rPr>
              <w:t>[Your name]</w:t>
            </w:r>
            <w:r>
              <w:rPr>
                <w:rFonts w:ascii="Calibri" w:hAnsi="Calibri" w:eastAsia="Calibri"/>
                <w:b w:val="0"/>
                <w:i w:val="0"/>
                <w:color w:val="0A2540"/>
                <w:sz w:val="22"/>
              </w:rPr>
              <w:t xml:space="preserve">, </w:t>
            </w:r>
            <w:r>
              <w:rPr>
                <w:rFonts w:ascii="Calibri" w:hAnsi="Calibri" w:eastAsia="Calibri"/>
                <w:b/>
                <w:i w:val="0"/>
                <w:color w:val="8A5A00"/>
                <w:sz w:val="22"/>
                <w:highlight w:val="yellow"/>
              </w:rPr>
              <w:t>[Role / department]</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0A2540"/>
                <w:sz w:val="20"/>
              </w:rPr>
              <w:t>Date</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8A5A00"/>
                <w:sz w:val="22"/>
                <w:highlight w:val="yellow"/>
              </w:rPr>
              <w:t>[Date]</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0A2540"/>
                <w:sz w:val="20"/>
              </w:rPr>
              <w:t>Subject</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val="0"/>
                <w:i w:val="0"/>
                <w:color w:val="0A2540"/>
                <w:sz w:val="22"/>
              </w:rPr>
              <w:t>Recommendation to evaluate OneAI as our company AI platform</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0A2540"/>
                <w:sz w:val="20"/>
              </w:rPr>
              <w:t>Attachments</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val="0"/>
                <w:i w:val="0"/>
                <w:color w:val="0A2540"/>
                <w:sz w:val="22"/>
              </w:rPr>
              <w:t>OneAI two-page overview (PDF)</w:t>
            </w:r>
          </w:p>
        </w:tc>
      </w:tr>
    </w:tbl>
    <w:p>
      <w:pPr>
        <w:spacing w:before="0" w:after="80" w:line="276" w:lineRule="auto"/>
      </w:pPr>
    </w:p>
    <w:p>
      <w:pPr>
        <w:spacing w:before="280" w:after="120" w:line="276" w:lineRule="auto"/>
      </w:pPr>
      <w:r>
        <w:rPr>
          <w:rFonts w:ascii="Calibri" w:hAnsi="Calibri" w:eastAsia="Calibri"/>
          <w:b/>
          <w:i w:val="0"/>
          <w:color w:val="0A2540"/>
          <w:sz w:val="26"/>
        </w:rPr>
        <w:t>1. Request</w:t>
      </w:r>
    </w:p>
    <w:p>
      <w:pPr>
        <w:spacing w:before="0" w:after="160" w:line="276" w:lineRule="auto"/>
        <w:jc w:val="both"/>
      </w:pPr>
      <w:r>
        <w:rPr>
          <w:rFonts w:ascii="Calibri" w:hAnsi="Calibri" w:eastAsia="Calibri"/>
          <w:b w:val="0"/>
          <w:i w:val="0"/>
          <w:color w:val="425466"/>
          <w:sz w:val="22"/>
        </w:rPr>
        <w:t>I recommend we evaluate OneAI from Hyperjump Technology as our company-wide AI platform — or, at minimum, schedule a short briefing with the vendor.</w:t>
      </w:r>
    </w:p>
    <w:p>
      <w:pPr>
        <w:spacing w:before="0" w:after="160" w:line="276" w:lineRule="auto"/>
        <w:jc w:val="both"/>
      </w:pPr>
      <w:r>
        <w:rPr>
          <w:rFonts w:ascii="Calibri" w:hAnsi="Calibri" w:eastAsia="Calibri"/>
          <w:b w:val="0"/>
          <w:i w:val="0"/>
          <w:color w:val="425466"/>
          <w:sz w:val="22"/>
        </w:rPr>
        <w:t>This is not a request to replace personal ChatGPT for a handful of people. It is a request to decide how we will govern AI once 20–40 of us are already using it.</w:t>
      </w:r>
    </w:p>
    <w:p>
      <w:pPr>
        <w:spacing w:before="280" w:after="120" w:line="276" w:lineRule="auto"/>
      </w:pPr>
      <w:r>
        <w:rPr>
          <w:rFonts w:ascii="Calibri" w:hAnsi="Calibri" w:eastAsia="Calibri"/>
          <w:b/>
          <w:i w:val="0"/>
          <w:color w:val="0A2540"/>
          <w:sz w:val="26"/>
        </w:rPr>
        <w:t>2. Why this matters now</w:t>
      </w:r>
    </w:p>
    <w:p>
      <w:pPr>
        <w:spacing w:before="0" w:after="120" w:line="276" w:lineRule="auto"/>
        <w:jc w:val="both"/>
      </w:pPr>
      <w:r>
        <w:rPr>
          <w:rFonts w:ascii="Calibri" w:hAnsi="Calibri" w:eastAsia="Calibri"/>
          <w:b w:val="0"/>
          <w:i w:val="0"/>
          <w:color w:val="425466"/>
          <w:sz w:val="22"/>
        </w:rPr>
        <w:t>Teams are already using AI. Personal subscriptions, informal stipends, or buying credits ad hoc do not give us:</w:t>
      </w:r>
    </w:p>
    <w:p>
      <w:pPr>
        <w:pStyle w:val="ListBullet"/>
        <w:spacing w:before="0" w:after="80" w:line="276" w:lineRule="auto"/>
      </w:pPr>
      <w:r>
        <w:rPr>
          <w:rFonts w:ascii="Calibri" w:hAnsi="Calibri" w:eastAsia="Calibri"/>
          <w:b/>
          <w:i w:val="0"/>
          <w:color w:val="0A2540"/>
          <w:sz w:val="22"/>
        </w:rPr>
        <w:t xml:space="preserve">Control — </w:t>
      </w:r>
      <w:r>
        <w:rPr>
          <w:rFonts w:ascii="Calibri" w:hAnsi="Calibri" w:eastAsia="Calibri"/>
          <w:b w:val="0"/>
          <w:i w:val="0"/>
          <w:color w:val="425466"/>
          <w:sz w:val="22"/>
        </w:rPr>
        <w:t>one dashboard, usage reports, and a way to choose which models are available.</w:t>
      </w:r>
    </w:p>
    <w:p>
      <w:pPr>
        <w:pStyle w:val="ListBullet"/>
        <w:spacing w:before="0" w:after="80" w:line="276" w:lineRule="auto"/>
      </w:pPr>
      <w:r>
        <w:rPr>
          <w:rFonts w:ascii="Calibri" w:hAnsi="Calibri" w:eastAsia="Calibri"/>
          <w:b/>
          <w:i w:val="0"/>
          <w:color w:val="0A2540"/>
          <w:sz w:val="22"/>
        </w:rPr>
        <w:t xml:space="preserve">A single budget — </w:t>
      </w:r>
      <w:r>
        <w:rPr>
          <w:rFonts w:ascii="Calibri" w:hAnsi="Calibri" w:eastAsia="Calibri"/>
          <w:b w:val="0"/>
          <w:i w:val="0"/>
          <w:color w:val="425466"/>
          <w:sz w:val="22"/>
        </w:rPr>
        <w:t>one invoice instead of 20–40 subscriptions and unverified stipends.</w:t>
      </w:r>
    </w:p>
    <w:p>
      <w:pPr>
        <w:pStyle w:val="ListBullet"/>
        <w:spacing w:before="0" w:after="80" w:line="276" w:lineRule="auto"/>
      </w:pPr>
      <w:r>
        <w:rPr>
          <w:rFonts w:ascii="Calibri" w:hAnsi="Calibri" w:eastAsia="Calibri"/>
          <w:b/>
          <w:i w:val="0"/>
          <w:color w:val="0A2540"/>
          <w:sz w:val="22"/>
        </w:rPr>
        <w:t xml:space="preserve">A clear data posture — </w:t>
      </w:r>
      <w:r>
        <w:rPr>
          <w:rFonts w:ascii="Calibri" w:hAnsi="Calibri" w:eastAsia="Calibri"/>
          <w:b w:val="0"/>
          <w:i w:val="0"/>
          <w:color w:val="425466"/>
          <w:sz w:val="22"/>
        </w:rPr>
        <w:t>OneAI is installed on our premises so data stays with us — Hyperjump maintains it. Or they run an isolated instance for us only. Zero Data Retention (ZDR): data is not kept for model training.</w:t>
      </w:r>
    </w:p>
    <w:p>
      <w:pPr>
        <w:pStyle w:val="ListBullet"/>
        <w:spacing w:before="0" w:after="80" w:line="276" w:lineRule="auto"/>
      </w:pPr>
      <w:r>
        <w:rPr>
          <w:rFonts w:ascii="Calibri" w:hAnsi="Calibri" w:eastAsia="Calibri"/>
          <w:b/>
          <w:i w:val="0"/>
          <w:color w:val="0A2540"/>
          <w:sz w:val="22"/>
        </w:rPr>
        <w:t xml:space="preserve">Real capability — </w:t>
      </w:r>
      <w:r>
        <w:rPr>
          <w:rFonts w:ascii="Calibri" w:hAnsi="Calibri" w:eastAsia="Calibri"/>
          <w:b w:val="0"/>
          <w:i w:val="0"/>
          <w:color w:val="425466"/>
          <w:sz w:val="22"/>
        </w:rPr>
        <w:t>office files, internal knowledge, code execution, and more than one model vendor.</w:t>
      </w:r>
    </w:p>
    <w:p>
      <w:pPr>
        <w:spacing w:before="0" w:after="160" w:line="276" w:lineRule="auto"/>
        <w:jc w:val="both"/>
      </w:pPr>
      <w:r>
        <w:rPr>
          <w:rFonts w:ascii="Calibri" w:hAnsi="Calibri" w:eastAsia="Calibri"/>
          <w:b w:val="0"/>
          <w:i w:val="0"/>
          <w:color w:val="425466"/>
          <w:sz w:val="22"/>
        </w:rPr>
        <w:t>Money given as a stipend can be spent on anything. We pay for capacity we cannot see, and we cannot enforce company policy.</w:t>
      </w:r>
    </w:p>
    <w:p>
      <w:pPr>
        <w:spacing w:before="280" w:after="120" w:line="276" w:lineRule="auto"/>
      </w:pPr>
      <w:r>
        <w:rPr>
          <w:rFonts w:ascii="Calibri" w:hAnsi="Calibri" w:eastAsia="Calibri"/>
          <w:b/>
          <w:i w:val="0"/>
          <w:color w:val="0A2540"/>
          <w:sz w:val="26"/>
        </w:rPr>
        <w:t>3. Why OneAI, specifically</w:t>
      </w:r>
    </w:p>
    <w:p>
      <w:pPr>
        <w:spacing w:before="0" w:after="120" w:line="276" w:lineRule="auto"/>
        <w:jc w:val="both"/>
      </w:pPr>
      <w:r>
        <w:rPr>
          <w:rFonts w:ascii="Calibri" w:hAnsi="Calibri" w:eastAsia="Calibri"/>
          <w:b w:val="0"/>
          <w:i w:val="0"/>
          <w:color w:val="425466"/>
          <w:sz w:val="22"/>
        </w:rPr>
        <w:t>OneAI is a unified platform for up to 40 users. Published commercial terms (before tax):</w:t>
      </w:r>
    </w:p>
    <w:p>
      <w:pPr>
        <w:pStyle w:val="ListBullet"/>
        <w:spacing w:before="0" w:after="60" w:line="276" w:lineRule="auto"/>
      </w:pPr>
      <w:r>
        <w:rPr>
          <w:rFonts w:ascii="Calibri" w:hAnsi="Calibri" w:eastAsia="Calibri"/>
          <w:b w:val="0"/>
          <w:i w:val="0"/>
          <w:color w:val="425466"/>
          <w:sz w:val="22"/>
        </w:rPr>
        <w:t>Rp12.400.000 / month, billed quarterly (Rp37.200.000 per quarter).</w:t>
      </w:r>
    </w:p>
    <w:p>
      <w:pPr>
        <w:pStyle w:val="ListBullet"/>
        <w:spacing w:before="0" w:after="60" w:line="276" w:lineRule="auto"/>
      </w:pPr>
      <w:r>
        <w:rPr>
          <w:rFonts w:ascii="Calibri" w:hAnsi="Calibri" w:eastAsia="Calibri"/>
          <w:b w:val="0"/>
          <w:i w:val="0"/>
          <w:color w:val="425466"/>
          <w:sz w:val="22"/>
        </w:rPr>
        <w:t>USD 300 AI credit included each month.</w:t>
      </w:r>
    </w:p>
    <w:p>
      <w:pPr>
        <w:pStyle w:val="ListBullet"/>
        <w:spacing w:before="0" w:after="60" w:line="276" w:lineRule="auto"/>
      </w:pPr>
      <w:r>
        <w:rPr>
          <w:rFonts w:ascii="Calibri" w:hAnsi="Calibri" w:eastAsia="Calibri"/>
          <w:b w:val="0"/>
          <w:i w:val="0"/>
          <w:color w:val="425466"/>
          <w:sz w:val="22"/>
        </w:rPr>
        <w:t>10% off with annual billing.</w:t>
      </w:r>
    </w:p>
    <w:p>
      <w:pPr>
        <w:pStyle w:val="ListBullet"/>
        <w:spacing w:before="0" w:after="60" w:line="276" w:lineRule="auto"/>
      </w:pPr>
      <w:r>
        <w:rPr>
          <w:rFonts w:ascii="Calibri" w:hAnsi="Calibri" w:eastAsia="Calibri"/>
          <w:b w:val="0"/>
          <w:i w:val="0"/>
          <w:color w:val="425466"/>
          <w:sz w:val="22"/>
        </w:rPr>
        <w:t>Latest models as they launch (OpenAI, Anthropic, DeepSeek, and others); admins choose what each team can use.</w:t>
      </w:r>
    </w:p>
    <w:p>
      <w:pPr>
        <w:pStyle w:val="ListBullet"/>
        <w:spacing w:before="0" w:after="60" w:line="276" w:lineRule="auto"/>
      </w:pPr>
      <w:r>
        <w:rPr>
          <w:rFonts w:ascii="Calibri" w:hAnsi="Calibri" w:eastAsia="Calibri"/>
          <w:b w:val="0"/>
          <w:i w:val="0"/>
          <w:color w:val="425466"/>
          <w:sz w:val="22"/>
        </w:rPr>
        <w:t>Installed on-prem (Hyperjump maintains it) or on an isolated managed server for our company only.</w:t>
      </w:r>
    </w:p>
    <w:p>
      <w:pPr>
        <w:pStyle w:val="ListBullet"/>
        <w:spacing w:before="0" w:after="60" w:line="276" w:lineRule="auto"/>
      </w:pPr>
      <w:r>
        <w:rPr>
          <w:rFonts w:ascii="Calibri" w:hAnsi="Calibri" w:eastAsia="Calibri"/>
          <w:b w:val="0"/>
          <w:i w:val="0"/>
          <w:color w:val="425466"/>
          <w:sz w:val="22"/>
        </w:rPr>
        <w:t>One team onboarding session and monthly usage reports included.</w:t>
      </w:r>
    </w:p>
    <w:p>
      <w:pPr>
        <w:pStyle w:val="ListBullet"/>
        <w:spacing w:before="0" w:after="60" w:line="276" w:lineRule="auto"/>
      </w:pPr>
      <w:r>
        <w:rPr>
          <w:rFonts w:ascii="Calibri" w:hAnsi="Calibri" w:eastAsia="Calibri"/>
          <w:b w:val="0"/>
          <w:i w:val="0"/>
          <w:color w:val="425466"/>
          <w:sz w:val="22"/>
        </w:rPr>
        <w:t>Customization (internal systems, custom SSO) is scoped separately.</w:t>
      </w:r>
    </w:p>
    <w:p>
      <w:pPr>
        <w:spacing w:before="0" w:after="160" w:line="276" w:lineRule="auto"/>
        <w:jc w:val="both"/>
      </w:pPr>
      <w:r>
        <w:rPr>
          <w:rFonts w:ascii="Calibri" w:hAnsi="Calibri" w:eastAsia="Calibri"/>
          <w:b w:val="0"/>
          <w:i w:val="0"/>
          <w:color w:val="425466"/>
          <w:sz w:val="22"/>
        </w:rPr>
        <w:t>At 40 users, ChatGPT Business is about Rp16 million monthly or Rp12.8 million annually. OneAI stays at Rp12.4 million. Those prices are close. The case is one platform across vendors, not cheaper chat. The attached PDF has the full comparison table.</w:t>
      </w:r>
    </w:p>
    <w:tbl>
      <w:tblPr>
        <w:tblW w:type="auto" w:w="0"/>
        <w:tblLayout w:type="fixed"/>
        <w:tblLook w:firstColumn="1" w:firstRow="1" w:lastColumn="0" w:lastRow="0" w:noHBand="0" w:noVBand="1" w:val="04A0"/>
        <w:tblInd w:w="0" w:type="dxa"/>
      </w:tblPr>
      <w:tblGrid>
        <w:gridCol w:w="9412"/>
      </w:tblGrid>
      <w:tr>
        <w:tc>
          <w:tcPr>
            <w:tcW w:type="dxa" w:w="9411"/>
            <w:shd w:fill="EEF5FB" w:val="clear"/>
            <w:tcBorders>
              <w:top w:val="single" w:sz="8" w:space="0" w:color="635BFF"/>
              <w:left w:val="single" w:sz="8" w:space="0" w:color="635BFF"/>
              <w:bottom w:val="single" w:sz="8" w:space="0" w:color="635BFF"/>
              <w:right w:val="single" w:sz="8" w:space="0" w:color="635BFF"/>
            </w:tcBorders>
          </w:tcPr>
          <w:p>
            <w:pPr>
              <w:spacing w:before="40" w:after="40" w:line="276" w:lineRule="auto"/>
            </w:pPr>
            <w:r>
              <w:rPr>
                <w:rFonts w:ascii="Calibri" w:hAnsi="Calibri" w:eastAsia="Calibri"/>
                <w:b/>
                <w:i w:val="0"/>
                <w:color w:val="635BFF"/>
                <w:sz w:val="20"/>
              </w:rPr>
              <w:t>Honest caveat</w:t>
            </w:r>
          </w:p>
          <w:p>
            <w:pPr>
              <w:spacing w:before="0" w:after="40" w:line="276" w:lineRule="auto"/>
            </w:pPr>
            <w:r>
              <w:rPr>
                <w:rFonts w:ascii="Calibri" w:hAnsi="Calibri" w:eastAsia="Calibri"/>
                <w:b w:val="0"/>
                <w:i w:val="0"/>
                <w:color w:val="425466"/>
                <w:sz w:val="20"/>
              </w:rPr>
              <w:t>If we have fewer than 20 people and only need chat, ChatGPT Plus or Business is usually enough and cheaper. OneAI is meant for a company that needs one platform — control, multiple models, and one budget — not 20–40 subscriptions.</w:t>
            </w:r>
          </w:p>
        </w:tc>
      </w:tr>
    </w:tbl>
    <w:p>
      <w:pPr>
        <w:spacing w:before="0" w:after="80" w:line="276" w:lineRule="auto"/>
      </w:pPr>
    </w:p>
    <w:p>
      <w:pPr>
        <w:spacing w:before="280" w:after="120" w:line="276" w:lineRule="auto"/>
      </w:pPr>
      <w:r>
        <w:rPr>
          <w:rFonts w:ascii="Calibri" w:hAnsi="Calibri" w:eastAsia="Calibri"/>
          <w:b/>
          <w:i w:val="0"/>
          <w:color w:val="0A2540"/>
          <w:sz w:val="26"/>
        </w:rPr>
        <w:t>4. Cost snapshot (per month)</w:t>
      </w:r>
    </w:p>
    <w:tbl>
      <w:tblPr>
        <w:tblW w:type="auto" w:w="0"/>
        <w:tblLayout w:type="fixed"/>
        <w:tblLook w:firstColumn="1" w:firstRow="1" w:lastColumn="0" w:lastRow="0" w:noHBand="0" w:noVBand="1" w:val="04A0"/>
        <w:tblInd w:w="0" w:type="dxa"/>
      </w:tblPr>
      <w:tblGrid>
        <w:gridCol w:w="2353"/>
        <w:gridCol w:w="2353"/>
        <w:gridCol w:w="2353"/>
        <w:gridCol w:w="2353"/>
      </w:tblGrid>
      <w:tr>
        <w:tc>
          <w:tcPr>
            <w:tcW w:type="dxa" w:w="2494"/>
            <w:shd w:fill="0A2540" w:val="clear"/>
            <w:tcBorders>
              <w:top w:val="single" w:sz="4" w:space="0" w:color="0A2540"/>
              <w:left w:val="single" w:sz="4" w:space="0" w:color="0A2540"/>
              <w:bottom w:val="single" w:sz="4" w:space="0" w:color="0A2540"/>
              <w:right w:val="single" w:sz="4" w:space="0" w:color="0A2540"/>
            </w:tcBorders>
          </w:tcPr>
          <w:p>
            <w:pPr>
              <w:spacing w:before="60" w:after="60" w:line="276" w:lineRule="auto"/>
            </w:pPr>
            <w:r>
              <w:rPr>
                <w:rFonts w:ascii="Calibri" w:hAnsi="Calibri" w:eastAsia="Calibri"/>
                <w:b/>
                <w:i w:val="0"/>
                <w:color w:val="FFFFFF"/>
                <w:sz w:val="18"/>
              </w:rPr>
              <w:t>At 40 users</w:t>
            </w:r>
          </w:p>
        </w:tc>
        <w:tc>
          <w:tcPr>
            <w:tcW w:type="dxa" w:w="2324"/>
            <w:shd w:fill="0A2540" w:val="clear"/>
            <w:tcBorders>
              <w:top w:val="single" w:sz="4" w:space="0" w:color="0A2540"/>
              <w:left w:val="single" w:sz="4" w:space="0" w:color="0A2540"/>
              <w:bottom w:val="single" w:sz="4" w:space="0" w:color="0A2540"/>
              <w:right w:val="single" w:sz="4" w:space="0" w:color="0A2540"/>
            </w:tcBorders>
          </w:tcPr>
          <w:p>
            <w:pPr>
              <w:spacing w:before="60" w:after="60" w:line="276" w:lineRule="auto"/>
            </w:pPr>
            <w:r>
              <w:rPr>
                <w:rFonts w:ascii="Calibri" w:hAnsi="Calibri" w:eastAsia="Calibri"/>
                <w:b/>
                <w:i w:val="0"/>
                <w:color w:val="FFFFFF"/>
                <w:sz w:val="18"/>
              </w:rPr>
              <w:t>Individual stipends</w:t>
            </w:r>
          </w:p>
        </w:tc>
        <w:tc>
          <w:tcPr>
            <w:tcW w:type="dxa" w:w="2324"/>
            <w:shd w:fill="0A2540" w:val="clear"/>
            <w:tcBorders>
              <w:top w:val="single" w:sz="4" w:space="0" w:color="0A2540"/>
              <w:left w:val="single" w:sz="4" w:space="0" w:color="0A2540"/>
              <w:bottom w:val="single" w:sz="4" w:space="0" w:color="0A2540"/>
              <w:right w:val="single" w:sz="4" w:space="0" w:color="0A2540"/>
            </w:tcBorders>
          </w:tcPr>
          <w:p>
            <w:pPr>
              <w:spacing w:before="60" w:after="60" w:line="276" w:lineRule="auto"/>
            </w:pPr>
            <w:r>
              <w:rPr>
                <w:rFonts w:ascii="Calibri" w:hAnsi="Calibri" w:eastAsia="Calibri"/>
                <w:b/>
                <w:i w:val="0"/>
                <w:color w:val="FFFFFF"/>
                <w:sz w:val="18"/>
              </w:rPr>
              <w:t>ChatGPT Business</w:t>
            </w:r>
          </w:p>
        </w:tc>
        <w:tc>
          <w:tcPr>
            <w:tcW w:type="dxa" w:w="2268"/>
            <w:shd w:fill="0A2540" w:val="clear"/>
            <w:tcBorders>
              <w:top w:val="single" w:sz="4" w:space="0" w:color="0A2540"/>
              <w:left w:val="single" w:sz="4" w:space="0" w:color="0A2540"/>
              <w:bottom w:val="single" w:sz="4" w:space="0" w:color="0A2540"/>
              <w:right w:val="single" w:sz="4" w:space="0" w:color="0A2540"/>
            </w:tcBorders>
          </w:tcPr>
          <w:p>
            <w:pPr>
              <w:spacing w:before="60" w:after="60" w:line="276" w:lineRule="auto"/>
            </w:pPr>
            <w:r>
              <w:rPr>
                <w:rFonts w:ascii="Calibri" w:hAnsi="Calibri" w:eastAsia="Calibri"/>
                <w:b/>
                <w:i w:val="0"/>
                <w:color w:val="FFFFFF"/>
                <w:sz w:val="18"/>
              </w:rPr>
              <w:t>OneAI</w:t>
            </w:r>
          </w:p>
        </w:tc>
      </w:tr>
      <w:tr>
        <w:tc>
          <w:tcPr>
            <w:tcW w:type="dxa" w:w="249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Monthly cost</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Rp20.000.000</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Rp16.0M / Rp12.8M yr</w:t>
            </w:r>
          </w:p>
        </w:tc>
        <w:tc>
          <w:tcPr>
            <w:tcW w:type="dxa" w:w="2268"/>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Rp12.400.000 · fixed</w:t>
            </w:r>
          </w:p>
        </w:tc>
      </w:tr>
      <w:tr>
        <w:tc>
          <w:tcPr>
            <w:tcW w:type="dxa" w:w="249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Usage budget</w:t>
            </w:r>
          </w:p>
        </w:tc>
        <w:tc>
          <w:tcPr>
            <w:tcW w:type="dxa" w:w="232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No</w:t>
            </w:r>
          </w:p>
        </w:tc>
        <w:tc>
          <w:tcPr>
            <w:tcW w:type="dxa" w:w="232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Included in ChatGPT</w:t>
            </w:r>
          </w:p>
        </w:tc>
        <w:tc>
          <w:tcPr>
            <w:tcW w:type="dxa" w:w="2268"/>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USD 300 across providers</w:t>
            </w:r>
          </w:p>
        </w:tc>
      </w:tr>
      <w:tr>
        <w:tc>
          <w:tcPr>
            <w:tcW w:type="dxa" w:w="249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ZDR</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No</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Not ZDR</w:t>
            </w:r>
          </w:p>
        </w:tc>
        <w:tc>
          <w:tcPr>
            <w:tcW w:type="dxa" w:w="2268"/>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Yes</w:t>
            </w:r>
          </w:p>
        </w:tc>
      </w:tr>
      <w:tr>
        <w:tc>
          <w:tcPr>
            <w:tcW w:type="dxa" w:w="249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On-prem or isolated instance</w:t>
            </w:r>
          </w:p>
        </w:tc>
        <w:tc>
          <w:tcPr>
            <w:tcW w:type="dxa" w:w="232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No</w:t>
            </w:r>
          </w:p>
        </w:tc>
        <w:tc>
          <w:tcPr>
            <w:tcW w:type="dxa" w:w="232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Vendor cloud</w:t>
            </w:r>
          </w:p>
        </w:tc>
        <w:tc>
          <w:tcPr>
            <w:tcW w:type="dxa" w:w="2268"/>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Yes</w:t>
            </w:r>
          </w:p>
        </w:tc>
      </w:tr>
      <w:tr>
        <w:tc>
          <w:tcPr>
            <w:tcW w:type="dxa" w:w="249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One invoice &amp; usage reports</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No</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ChatGPT only</w:t>
            </w:r>
          </w:p>
        </w:tc>
        <w:tc>
          <w:tcPr>
            <w:tcW w:type="dxa" w:w="2268"/>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Yes · all models</w:t>
            </w:r>
          </w:p>
        </w:tc>
      </w:tr>
    </w:tbl>
    <w:p>
      <w:pPr>
        <w:spacing w:before="120" w:after="80" w:line="276" w:lineRule="auto"/>
      </w:pPr>
      <w:r>
        <w:rPr>
          <w:rFonts w:ascii="Calibri" w:hAnsi="Calibri" w:eastAsia="Calibri"/>
          <w:b w:val="0"/>
          <w:i/>
          <w:color w:val="8898AA"/>
          <w:sz w:val="18"/>
        </w:rPr>
        <w:t>Assumptions in the public comparison: Rp16.000/USD; stipend example Rp500.000/person; ChatGPT Business $25/user monthly or $20/user annually. ChatGPT includes model usage; extra credits are optional. Competitor prices may change; these figures are for comparison, not their quotes. Tax is extra.</w:t>
      </w:r>
    </w:p>
    <w:p>
      <w:pPr>
        <w:spacing w:before="280" w:after="120" w:line="276" w:lineRule="auto"/>
      </w:pPr>
      <w:r>
        <w:rPr>
          <w:rFonts w:ascii="Calibri" w:hAnsi="Calibri" w:eastAsia="Calibri"/>
          <w:b/>
          <w:i w:val="0"/>
          <w:color w:val="0A2540"/>
          <w:sz w:val="26"/>
        </w:rPr>
        <w:t>5. Proposed next step</w:t>
      </w:r>
    </w:p>
    <w:p>
      <w:pPr>
        <w:spacing w:before="0" w:after="60" w:line="276" w:lineRule="auto"/>
      </w:pPr>
      <w:r>
        <w:rPr>
          <w:rFonts w:ascii="Calibri" w:hAnsi="Calibri" w:eastAsia="Calibri"/>
          <w:b w:val="0"/>
          <w:i w:val="0"/>
          <w:color w:val="425466"/>
          <w:sz w:val="22"/>
        </w:rPr>
        <w:t>1. Review the attached two-page overview.</w:t>
      </w:r>
    </w:p>
    <w:p>
      <w:pPr>
        <w:spacing w:before="0" w:after="60" w:line="276" w:lineRule="auto"/>
      </w:pPr>
      <w:r>
        <w:rPr>
          <w:rFonts w:ascii="Calibri" w:hAnsi="Calibri" w:eastAsia="Calibri"/>
          <w:b w:val="0"/>
          <w:i w:val="0"/>
          <w:color w:val="425466"/>
          <w:sz w:val="22"/>
        </w:rPr>
        <w:t>2. Approve a 30-minute call with Hyperjump (solution@hyperjump.tech) to confirm fit, onboarding, and commercial terms.</w:t>
      </w:r>
    </w:p>
    <w:p>
      <w:pPr>
        <w:spacing w:before="0" w:after="60" w:line="276" w:lineRule="auto"/>
      </w:pPr>
      <w:r>
        <w:rPr>
          <w:rFonts w:ascii="Calibri" w:hAnsi="Calibri" w:eastAsia="Calibri"/>
          <w:b w:val="0"/>
          <w:i w:val="0"/>
          <w:color w:val="425466"/>
          <w:sz w:val="22"/>
        </w:rPr>
        <w:t>3. Decide after that call — adopt, wait, or stay with the current approach.</w:t>
      </w:r>
    </w:p>
    <w:p>
      <w:pPr>
        <w:spacing w:before="0" w:after="160" w:line="276" w:lineRule="auto"/>
        <w:jc w:val="both"/>
      </w:pPr>
      <w:r>
        <w:rPr>
          <w:rFonts w:ascii="Calibri" w:hAnsi="Calibri" w:eastAsia="Calibri"/>
          <w:b w:val="0"/>
          <w:i w:val="0"/>
          <w:color w:val="425466"/>
          <w:sz w:val="22"/>
        </w:rPr>
        <w:t>I am happy to coordinate the conversation and report back.</w:t>
      </w:r>
    </w:p>
    <w:p>
      <w:pPr>
        <w:spacing w:before="240" w:after="320" w:line="276" w:lineRule="auto"/>
      </w:pPr>
      <w:r>
        <w:rPr>
          <w:rFonts w:ascii="Calibri" w:hAnsi="Calibri" w:eastAsia="Calibri"/>
          <w:b w:val="0"/>
          <w:i w:val="0"/>
          <w:color w:val="425466"/>
          <w:sz w:val="22"/>
        </w:rPr>
        <w:t>Respectfully,</w:t>
      </w:r>
    </w:p>
    <w:p>
      <w:pPr>
        <w:spacing w:before="0" w:after="20" w:line="276" w:lineRule="auto"/>
      </w:pPr>
      <w:r>
        <w:rPr>
          <w:rFonts w:ascii="Calibri" w:hAnsi="Calibri" w:eastAsia="Calibri"/>
          <w:b/>
          <w:i w:val="0"/>
          <w:color w:val="8A5A00"/>
          <w:sz w:val="24"/>
          <w:highlight w:val="yellow"/>
        </w:rPr>
        <w:t>[Your name]</w:t>
      </w:r>
    </w:p>
    <w:p>
      <w:pPr>
        <w:spacing w:before="0" w:after="20" w:line="276" w:lineRule="auto"/>
      </w:pPr>
      <w:r>
        <w:rPr>
          <w:rFonts w:ascii="Calibri" w:hAnsi="Calibri" w:eastAsia="Calibri"/>
          <w:b/>
          <w:i w:val="0"/>
          <w:color w:val="8A5A00"/>
          <w:sz w:val="22"/>
          <w:highlight w:val="yellow"/>
        </w:rPr>
        <w:t>[Role / department]</w:t>
      </w:r>
    </w:p>
    <w:p>
      <w:pPr>
        <w:spacing w:before="0" w:after="20" w:line="276" w:lineRule="auto"/>
      </w:pPr>
      <w:r>
        <w:rPr>
          <w:rFonts w:ascii="Calibri" w:hAnsi="Calibri" w:eastAsia="Calibri"/>
          <w:b/>
          <w:i w:val="0"/>
          <w:color w:val="8A5A00"/>
          <w:sz w:val="20"/>
          <w:highlight w:val="yellow"/>
        </w:rPr>
        <w:t>[Phone / email]</w:t>
      </w:r>
    </w:p>
    <w:p>
      <w:pPr>
        <w:spacing w:before="320" w:after="0" w:line="276" w:lineRule="auto"/>
        <w:pBdr>
          <w:top w:val="single" w:sz="8" w:space="8" w:color="0A2540"/>
        </w:pBdr>
      </w:pPr>
      <w:r>
        <w:rPr>
          <w:rFonts w:ascii="Calibri" w:hAnsi="Calibri" w:eastAsia="Calibri"/>
          <w:b w:val="0"/>
          <w:i w:val="0"/>
          <w:color w:val="8898AA"/>
          <w:sz w:val="16"/>
        </w:rPr>
        <w:t>Vendor: Hyperjump Technology · PT Artha Rajamas Mandiri · Jakarta  ·  solution@hyperjump.tech  ·  https://hyperjump.tech/en/oneai</w:t>
      </w:r>
    </w:p>
    <w:sectPr w:rsidR="00FC693F" w:rsidRPr="0006063C" w:rsidSect="00034616">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2546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OneAI leadership memo</dc:title>
  <dc:subject>Recommendation to evaluate OneAI</dc:subject>
  <dc:creator>Hyperjump Technology</dc:creator>
  <cp:keywords/>
  <dc:description>generated by python-docx</dc:description>
  <cp:lastModifiedBy/>
  <cp:revision>1</cp:revision>
  <dcterms:created xsi:type="dcterms:W3CDTF">2013-12-23T23:15:00Z</dcterms:created>
  <dcterms:modified xsi:type="dcterms:W3CDTF">2013-12-23T23:15:00Z</dcterms:modified>
  <cp:category>OneAI</cp:category>
</cp:coreProperties>
</file>