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412"/>
      </w:tblGrid>
      <w:tr>
        <w:tc>
          <w:tcPr>
            <w:tcW w:type="dxa" w:w="9411"/>
            <w:shd w:fill="0A2540" w:val="clear"/>
            <w:tcBorders>
              <w:top w:val="single" w:sz="0" w:space="0" w:color="0A2540"/>
              <w:left w:val="single" w:sz="0" w:space="0" w:color="0A2540"/>
              <w:bottom w:val="single" w:sz="0" w:space="0" w:color="0A2540"/>
              <w:right w:val="single" w:sz="0" w:space="0" w:color="0A2540"/>
            </w:tcBorders>
            <w:vAlign w:val="center"/>
          </w:tcPr>
          <w:p>
            <w:pPr>
              <w:spacing w:before="80" w:after="0" w:line="276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00D4AA"/>
                <w:sz w:val="18"/>
              </w:rPr>
              <w:t>HYPERJUMP TECHNOLOGY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44"/>
              </w:rPr>
              <w:t>OneAI</w:t>
            </w:r>
          </w:p>
          <w:p>
            <w:pPr>
              <w:spacing w:before="40" w:after="8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C8D9EB"/>
                <w:sz w:val="20"/>
              </w:rPr>
              <w:t>Memo internal  ·  kirim ke manajer atau pimpinan</w:t>
            </w:r>
          </w:p>
        </w:tc>
      </w:tr>
    </w:tbl>
    <w:p>
      <w:pPr>
        <w:spacing w:before="0" w:after="16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9412"/>
      </w:tblGrid>
      <w:tr>
        <w:tc>
          <w:tcPr>
            <w:tcW w:type="dxa" w:w="9411"/>
            <w:shd w:fill="FFF6D8" w:val="clear"/>
            <w:tcBorders>
              <w:top w:val="single" w:sz="8" w:space="0" w:color="E6C200"/>
              <w:left w:val="single" w:sz="8" w:space="0" w:color="E6C200"/>
              <w:bottom w:val="single" w:sz="8" w:space="0" w:color="E6C200"/>
              <w:right w:val="single" w:sz="8" w:space="0" w:color="E6C20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6B5300"/>
                <w:sz w:val="20"/>
              </w:rPr>
              <w:t xml:space="preserve">Cara memakai berkas ini: ganti setiap isian </w:t>
            </w:r>
            <w:r>
              <w:rPr>
                <w:rFonts w:ascii="Calibri" w:hAnsi="Calibri" w:eastAsia="Calibri"/>
                <w:b/>
                <w:i w:val="0"/>
                <w:color w:val="8A5A00"/>
                <w:sz w:val="20"/>
                <w:highlight w:val="yellow"/>
              </w:rPr>
              <w:t>[dalam kurung siku]</w:t>
            </w:r>
            <w:r>
              <w:rPr>
                <w:rFonts w:ascii="Calibri" w:hAnsi="Calibri" w:eastAsia="Calibri"/>
                <w:b w:val="0"/>
                <w:i w:val="0"/>
                <w:color w:val="6B5300"/>
                <w:sz w:val="20"/>
              </w:rPr>
              <w:t>, lampirkan ringkasan PDF OneAI dua halaman, lalu hapus kotak kuning ini sebelum dikirim.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4706"/>
        <w:gridCol w:w="4706"/>
      </w:tblGrid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Kepada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[Nama Bapak/Ibu]</w:t>
            </w: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[Jabatan]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Dari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[Nama Anda]</w:t>
            </w: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[Jabatan / divisi]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Tanggal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[Tanggal]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Perihal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>Usulan untuk mengevaluasi OneAI sebagai platform AI perusahaan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Lampiran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>Ringkasan OneAI dua halaman (PDF)</w:t>
            </w:r>
          </w:p>
        </w:tc>
      </w:tr>
    </w:tbl>
    <w:p>
      <w:pPr>
        <w:spacing w:before="0" w:after="80" w:line="276" w:lineRule="auto"/>
      </w:pP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1. Permohonan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Saya mengusulkan agar perusahaan mengevaluasi OneAI dari Hyperjump Technology sebagai platform AI terpadu — atau setidaknya menjadwalkan briefing singkat dengan vendor.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Ini bukan usulan untuk mengganti ChatGPT pribadi bagi beberapa orang. Ini usulan untuk memutuskan bagaimana kita mengatur AI begitu 20–40 orang di perusahaan sudah memakainya.</w:t>
      </w: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2. Mengapa ini penting sekarang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Tim sudah memakai AI. Langganan pribadi, tunjangan informal, atau beli kredit secara ad hoc tidak memberi kita: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Kontrol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satu dashboard, laporan pemakaian, dan cara memilih model yang tersedia.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Satu anggaran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satu tagihan, bukan 20–40 langganan dan tunjangan yang tidak terverifikasi.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Postur data yang jelas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OneAI dipasang di infrastruktur kita agar data tetap di sisi kita — Hyperjump merawatnya. Atau mereka menjalankan instance terisolasi khusus kita. ZDR: data tidak disimpan untuk training model.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Kapabilitas yang nyata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file kantor, pengetahuan internal, eksekusi kode, dan lebih dari satu vendor model.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Uang yang diberikan sebagai tunjangan bisa dipakai untuk apa saja. Kita membayar kapasitas yang tidak bisa kita lihat, dan tidak bisa menegakkan kebijakan perusahaan.</w:t>
      </w: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3. Mengapa OneAI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OneAI adalah platform terpadu hingga 40 pengguna. Ketentuan komersial yang dipublikasikan (sebelum pajak):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Rp12.400.000 / bulan, ditagih per kuartal (Rp37.200.000 per kuartal).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Kredit AI USD 300 termasuk setiap bulan.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Hemat 10% untuk pembayaran tahunan.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Model terbaru saat rilis (OpenAI, Anthropic, DeepSeek, dan lainnya); admin memilih model yang boleh dipakai tiap tim.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Dipasang on-premise (Hyperjump merawatnya) atau di server managed terisolasi khusus perusahaan kita.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Satu sesi onboarding/orientasi tim dan laporan pemakaian bulanan termasuk.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Kustomisasi (sistem internal, SSO khusus) disepakati terpisah.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Di 40 pengguna, ChatGPT Business sekitar Rp16 juta / bulan sebelum kredit tambahan. OneAI tetap Rp12,4 juta dengan kredit termasuk. PDF terlampir memuat tabel perbandingan lengkap.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9412"/>
      </w:tblGrid>
      <w:tr>
        <w:tc>
          <w:tcPr>
            <w:tcW w:type="dxa" w:w="9411"/>
            <w:shd w:fill="EEF5FB" w:val="clear"/>
            <w:tcBorders>
              <w:top w:val="single" w:sz="8" w:space="0" w:color="635BFF"/>
              <w:left w:val="single" w:sz="8" w:space="0" w:color="635BFF"/>
              <w:bottom w:val="single" w:sz="8" w:space="0" w:color="635BFF"/>
              <w:right w:val="single" w:sz="8" w:space="0" w:color="635BFF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635BFF"/>
                <w:sz w:val="20"/>
              </w:rPr>
              <w:t>Catatan jujur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20"/>
              </w:rPr>
              <w:t>Jika kita kurang dari 20 orang dan kebutuhannya hanya chat, ChatGPT Plus atau Business biasanya cukup dan lebih murah. OneAI dimaksudkan untuk perusahaan yang butuh satu platform — kontrol, banyak model, dan satu anggaran — bukan 20–40 langganan.</w:t>
            </w:r>
          </w:p>
        </w:tc>
      </w:tr>
    </w:tbl>
    <w:p>
      <w:pPr>
        <w:spacing w:before="0" w:after="80" w:line="276" w:lineRule="auto"/>
      </w:pP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4. Ringkasan biaya (per bulan)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2353"/>
        <w:gridCol w:w="2353"/>
        <w:gridCol w:w="2353"/>
        <w:gridCol w:w="2353"/>
      </w:tblGrid>
      <w:tr>
        <w:tc>
          <w:tcPr>
            <w:tcW w:type="dxa" w:w="2494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Di 40 pengguna</w:t>
            </w:r>
          </w:p>
        </w:tc>
        <w:tc>
          <w:tcPr>
            <w:tcW w:type="dxa" w:w="2324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Tunjangan individu</w:t>
            </w:r>
          </w:p>
        </w:tc>
        <w:tc>
          <w:tcPr>
            <w:tcW w:type="dxa" w:w="2324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ChatGPT Business</w:t>
            </w:r>
          </w:p>
        </w:tc>
        <w:tc>
          <w:tcPr>
            <w:tcW w:type="dxa" w:w="2268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OneAI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Biaya bulanan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Rp20.000.000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Rp16.000.000</w:t>
            </w:r>
          </w:p>
        </w:tc>
        <w:tc>
          <w:tcPr>
            <w:tcW w:type="dxa" w:w="2268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Rp12.400.000 · tetap</w:t>
            </w:r>
          </w:p>
        </w:tc>
      </w:tr>
      <w:tr>
        <w:tc>
          <w:tcPr>
            <w:tcW w:type="dxa" w:w="249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Kredit AI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Tidak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Dibeli terpisah</w:t>
            </w:r>
          </w:p>
        </w:tc>
        <w:tc>
          <w:tcPr>
            <w:tcW w:type="dxa" w:w="2268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USD 300 termasuk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ZDR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Tidak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Bukan ZDR</w:t>
            </w:r>
          </w:p>
        </w:tc>
        <w:tc>
          <w:tcPr>
            <w:tcW w:type="dxa" w:w="2268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Ya</w:t>
            </w:r>
          </w:p>
        </w:tc>
      </w:tr>
      <w:tr>
        <w:tc>
          <w:tcPr>
            <w:tcW w:type="dxa" w:w="249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On-premise / instance terisolasi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Tidak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Cloud vendor</w:t>
            </w:r>
          </w:p>
        </w:tc>
        <w:tc>
          <w:tcPr>
            <w:tcW w:type="dxa" w:w="2268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Ya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Satu tagihan &amp; laporan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Tidak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Hanya ChatGPT</w:t>
            </w:r>
          </w:p>
        </w:tc>
        <w:tc>
          <w:tcPr>
            <w:tcW w:type="dxa" w:w="2268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Ya · semua model</w:t>
            </w:r>
          </w:p>
        </w:tc>
      </w:tr>
    </w:tbl>
    <w:p>
      <w:pPr>
        <w:spacing w:before="120" w:after="80" w:line="276" w:lineRule="auto"/>
      </w:pPr>
      <w:r>
        <w:rPr>
          <w:rFonts w:ascii="Calibri" w:hAnsi="Calibri" w:eastAsia="Calibri"/>
          <w:b w:val="0"/>
          <w:i/>
          <w:color w:val="8898AA"/>
          <w:sz w:val="18"/>
        </w:rPr>
        <w:t>Asumsi di perbandingan publik: kurs Rp16.000/USD; contoh tunjangan Rp500.000/orang; ChatGPT Business $25/orang/bulan. Harga kompetitor bisa berubah; angka ini untuk perbandingan, bukan kuotasi mereka. Pajak belum termasuk.</w:t>
      </w: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5. Usulan langkah berikutnya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1. Meninjau ringkasan dua halaman terlampir.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2. Menyetujui panggilan 30 menit dengan Hyperjump (solution@hyperjump.tech) untuk konfirmasi kesesuaian, onboarding, dan ketentuan komersial.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3. Memutuskan setelah panggilan itu — adopsi, menunggu, atau tetap dengan pendekatan saat ini.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Saya siap mengkoordinasikan percakapan tersebut dan melapor kembali.</w:t>
      </w:r>
    </w:p>
    <w:p>
      <w:pPr>
        <w:spacing w:before="240" w:after="32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Hormat saya,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i w:val="0"/>
          <w:color w:val="8A5A00"/>
          <w:sz w:val="24"/>
          <w:highlight w:val="yellow"/>
        </w:rPr>
        <w:t>[Nama Anda]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i w:val="0"/>
          <w:color w:val="8A5A00"/>
          <w:sz w:val="22"/>
          <w:highlight w:val="yellow"/>
        </w:rPr>
        <w:t>[Jabatan / divisi]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i w:val="0"/>
          <w:color w:val="8A5A00"/>
          <w:sz w:val="20"/>
          <w:highlight w:val="yellow"/>
        </w:rPr>
        <w:t>[Telepon / email]</w:t>
      </w:r>
    </w:p>
    <w:p>
      <w:pPr>
        <w:spacing w:before="320" w:after="0" w:line="276" w:lineRule="auto"/>
        <w:pBdr>
          <w:top w:val="single" w:sz="8" w:space="8" w:color="0A2540"/>
        </w:pBdr>
      </w:pPr>
      <w:r>
        <w:rPr>
          <w:rFonts w:ascii="Calibri" w:hAnsi="Calibri" w:eastAsia="Calibri"/>
          <w:b w:val="0"/>
          <w:i w:val="0"/>
          <w:color w:val="8898AA"/>
          <w:sz w:val="16"/>
        </w:rPr>
        <w:t>Vendor: Hyperjump Technology · PT Artha Rajamas Mandiri · Jakarta  ·  solution@hyperjump.tech  ·  https://hyperjump.tech/id/oneai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42546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 pimpinan OneAI</dc:title>
  <dc:subject>Usulan untuk mengevaluasi OneAI</dc:subject>
  <dc:creator>Hyperjump Technology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OneAI</cp:category>
</cp:coreProperties>
</file>