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>
        <w:trPr>
          <w:trHeight w:val="888" w:hRule="atLeast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/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2022180041 최재혁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2022180003 김도엽</w:t>
            </w:r>
            <w:r>
              <w:rPr>
                <w:szCs w:val="20"/>
              </w:rPr>
              <w:br/>
            </w:r>
            <w:r>
              <w:rPr>
                <w:szCs w:val="20"/>
              </w:rPr>
              <w:t>2020184005</w:t>
            </w:r>
            <w:r>
              <w:rPr>
                <w:rFonts w:hint="eastAsia"/>
                <w:szCs w:val="20"/>
              </w:rPr>
              <w:t xml:space="preserve"> 김나현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zl</w:t>
            </w:r>
            <w:r>
              <w:rPr>
                <w:rFonts w:hint="eastAsia"/>
                <w:sz w:val="24"/>
                <w:szCs w:val="24"/>
              </w:rPr>
              <w:t>존졸작전사</w:t>
            </w:r>
          </w:p>
        </w:tc>
      </w:tr>
      <w:tr>
        <w:trPr>
          <w:trHeight w:val="648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</w:t>
            </w:r>
            <w:r>
              <w:rPr>
                <w:rFonts w:hint="eastAsia"/>
                <w:b/>
              </w:rPr>
              <w:t>3</w:t>
            </w:r>
          </w:p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2025.0</w:t>
            </w:r>
            <w:r>
              <w:rPr>
                <w:rFonts w:hint="eastAsia"/>
                <w:b/>
              </w:rPr>
              <w:t>4</w:t>
            </w:r>
            <w:r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>29</w:t>
            </w:r>
            <w:r>
              <w:rPr>
                <w:rFonts w:hint="eastAsia"/>
                <w:b/>
              </w:rPr>
              <w:t xml:space="preserve"> ~ 2025.0</w:t>
            </w:r>
            <w:r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>05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>
        <w:trPr>
          <w:trHeight w:val="1266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>
            <w:pPr>
              <w:jc w:val="lef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최재혁: </w:t>
            </w:r>
          </w:p>
          <w:p>
            <w:pPr>
              <w:jc w:val="lef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김도엽: </w:t>
            </w:r>
            <w:r>
              <w:rPr>
                <w:rFonts w:hint="eastAsia"/>
                <w:b/>
                <w:bCs/>
              </w:rPr>
              <w:t xml:space="preserve">깊이(Alpha) 기반 지형 텍스쳐 블렌딩, </w:t>
            </w:r>
            <w:r>
              <w:rPr>
                <w:rFonts w:hint="eastAsia"/>
                <w:b/>
                <w:bCs/>
              </w:rPr>
              <w:t>지형 오브젝트 텍스쳐 · 메쉬 병합</w:t>
            </w:r>
            <w:r>
              <w:rPr>
                <w:rFonts w:hint="eastAsia"/>
                <w:b/>
                <w:bCs/>
              </w:rPr>
              <w:t>, 관전자 모드 카메라 추가</w:t>
            </w:r>
          </w:p>
          <w:p>
            <w:pPr>
              <w:jc w:val="lef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김나현: </w:t>
            </w:r>
            <w:r>
              <w:rPr>
                <w:lang w:eastAsia="ko-KR"/>
                <w:rFonts w:hint="eastAsia"/>
                <w:b/>
                <w:bCs/>
                <w:rtl w:val="off"/>
              </w:rPr>
              <w:t>사제 애니메이션, 몬스터 뛰기 애니메이션 추가 / 양 모델링+텍스처링+리깅</w:t>
            </w:r>
          </w:p>
        </w:tc>
      </w:tr>
    </w:tbl>
    <w:p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>
      <w:pPr>
        <w:pStyle w:val="ListParagraph"/>
        <w:ind w:leftChars="0"/>
        <w:numPr>
          <w:ilvl w:val="0"/>
          <w:numId w:val="1"/>
        </w:numPr>
        <w:rPr>
          <w:szCs w:val="20"/>
        </w:rPr>
      </w:pPr>
      <w:r>
        <w:rPr>
          <w:rFonts w:hint="eastAsia"/>
          <w:szCs w:val="20"/>
        </w:rPr>
        <w:t>김도엽:</w:t>
      </w:r>
    </w:p>
    <w:p>
      <w:pPr>
        <w:pStyle w:val="ListParagraph"/>
        <w:ind w:leftChars="0"/>
        <w:numPr>
          <w:ilvl w:val="1"/>
          <w:numId w:val="1"/>
        </w:numPr>
        <w:rPr>
          <w:szCs w:val="20"/>
        </w:rPr>
      </w:pPr>
      <w:r>
        <w:rPr>
          <w:noProof/>
        </w:rPr>
        <w:drawing>
          <wp:inline distT="0" distB="0" distL="0" distR="0">
            <wp:extent cx="5693927" cy="3206574"/>
            <wp:effectExtent l="0" t="0" r="0" b="0"/>
            <wp:docPr id="1025" name="shape1025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93927" cy="3206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  <w:ind w:leftChars="0"/>
        <w:numPr>
          <w:ilvl w:val="1"/>
          <w:numId w:val="1"/>
        </w:numPr>
        <w:rPr>
          <w:szCs w:val="20"/>
        </w:rPr>
      </w:pPr>
      <w:r>
        <w:rPr>
          <w:rFonts w:hint="eastAsia"/>
          <w:szCs w:val="20"/>
        </w:rPr>
        <w:t>기존에는 지형 텍스쳐 스플래팅을 선형 알파 보간으로 블렌딩하였으나, 알파 값으로 저장되어 있는 텍스쳐의 깊이 정보를 활용하는 깊이 기반 텍스쳐 블렌딩 사용.</w:t>
      </w:r>
    </w:p>
    <w:p>
      <w:pPr>
        <w:pStyle w:val="ListParagraph"/>
        <w:ind w:leftChars="0"/>
        <w:numPr>
          <w:ilvl w:val="2"/>
          <w:numId w:val="1"/>
        </w:numPr>
        <w:rPr>
          <w:szCs w:val="20"/>
        </w:rPr>
      </w:pPr>
      <w:r>
        <w:rPr>
          <w:rFonts w:hint="eastAsia"/>
          <w:szCs w:val="20"/>
        </w:rPr>
        <w:t>기존 블렌딩된 텍스쳐가 흐리게 보여 현실감이 떨어지는 반면에, 깊이 기반 텍스쳐 블렌딩은 블렌딩된 텍스쳐 중 조약돌, 나뭇가지, 나뭇잎 부분이 그대로 선명하게 보이면서 자연스럽게 두 개 이상의 텍스쳐가 전환</w:t>
      </w:r>
    </w:p>
    <w:p>
      <w:pPr>
        <w:pStyle w:val="ListParagraph"/>
        <w:ind w:leftChars="0"/>
        <w:numPr>
          <w:ilvl w:val="1"/>
          <w:numId w:val="1"/>
        </w:numPr>
        <w:rPr>
          <w:szCs w:val="20"/>
        </w:rPr>
      </w:pPr>
      <w:r>
        <w:rPr>
          <w:rFonts w:hint="eastAsia"/>
          <w:szCs w:val="20"/>
        </w:rPr>
        <w:t>유니티에서 가져온 나무 등 일부 지형 오브젝트의 기하 데이터가 손실되는 버그 수정, 암석 등 일부 지형 오브젝트의 텍스처 정보를 수정하여 지형 importer가 올바른 텍스쳐를 가져오도록 수정.</w:t>
      </w:r>
    </w:p>
    <w:p>
      <w:pPr>
        <w:pStyle w:val="ListParagraph"/>
        <w:ind w:leftChars="0"/>
        <w:numPr>
          <w:ilvl w:val="1"/>
          <w:numId w:val="1"/>
        </w:numPr>
        <w:rPr>
          <w:szCs w:val="20"/>
        </w:rPr>
      </w:pPr>
      <w:r>
        <w:rPr>
          <w:noProof/>
        </w:rPr>
        <w:drawing>
          <wp:inline distT="0" distB="0" distL="0" distR="0">
            <wp:extent cx="5588758" cy="3147348"/>
            <wp:effectExtent l="0" t="0" r="0" b="0"/>
            <wp:docPr id="1026" name="shape1026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88758" cy="3147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  <w:ind w:leftChars="0"/>
        <w:numPr>
          <w:ilvl w:val="1"/>
          <w:numId w:val="1"/>
        </w:numPr>
        <w:rPr>
          <w:szCs w:val="20"/>
        </w:rPr>
      </w:pPr>
      <w:r>
        <w:rPr>
          <w:rFonts w:hint="eastAsia"/>
          <w:szCs w:val="20"/>
        </w:rPr>
        <w:t>원활한 디버깅을 위한 관전자 모드 카메라 추가. 관전자 모드에서는 자유롭고 빠르게 월드의 다른 곳을 확인할 수 있음.</w:t>
      </w:r>
    </w:p>
    <w:p>
      <w:pPr>
        <w:pStyle w:val="ListParagraph"/>
        <w:ind w:leftChars="0"/>
        <w:numPr>
          <w:ilvl w:val="1"/>
          <w:numId w:val="1"/>
        </w:numPr>
        <w:rPr>
          <w:lang/>
          <w:rFonts/>
          <w:szCs w:val="20"/>
          <w:rtl w:val="off"/>
        </w:rPr>
      </w:pPr>
      <w:r>
        <w:rPr>
          <w:rFonts w:hint="eastAsia"/>
          <w:szCs w:val="20"/>
        </w:rPr>
        <w:t>Esc로 마우스 모드를 전환해도 마우스가 때때로 보이지 않는 버그 수정</w:t>
      </w:r>
    </w:p>
    <w:p>
      <w:pPr>
        <w:pStyle w:val="ListParagraph"/>
        <w:ind w:leftChars="0"/>
        <w:numPr>
          <w:ilvl w:val="0"/>
          <w:numId w:val="1"/>
        </w:numPr>
        <w:rPr>
          <w:lang w:eastAsia="ko-KR"/>
          <w:rFonts w:hint="eastAsia"/>
          <w:szCs w:val="20"/>
          <w:rtl w:val="off"/>
        </w:rPr>
      </w:pPr>
      <w:r>
        <w:rPr>
          <w:lang w:eastAsia="ko-KR"/>
          <w:szCs w:val="20"/>
          <w:rtl w:val="off"/>
        </w:rPr>
        <w:t>김나현: 마법사 애니메이션 (공격 1,2,3 / 스킬 1,2), 몬스터 달리기 애니메이션, 양 모델링 및 리깅</w:t>
      </w:r>
    </w:p>
    <w:p>
      <w:pPr>
        <w:pStyle w:val="ListParagraph"/>
        <w:ind w:leftChars="0" w:left="720"/>
        <w:rPr>
          <w:szCs w:val="20"/>
        </w:rPr>
      </w:pPr>
      <w:r>
        <w:rPr>
          <w:szCs w:val="20"/>
        </w:rPr>
        <w:drawing>
          <wp:inline distT="0" distB="0" distL="180" distR="180">
            <wp:extent cx="2627270" cy="2046640"/>
            <wp:effectExtent l="0" t="0" r="0" b="0"/>
            <wp:docPr id="1028" name="shape1028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27270" cy="204664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szCs w:val="20"/>
        </w:rPr>
        <w:drawing>
          <wp:inline distT="0" distB="0" distL="180" distR="180">
            <wp:extent cx="2967021" cy="2030932"/>
            <wp:effectExtent l="0" t="0" r="0" b="0"/>
            <wp:docPr id="1031" name="shape1031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67021" cy="2030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Chars="0"/>
        <w:rPr>
          <w:szCs w:val="20"/>
        </w:rPr>
      </w:pPr>
      <w:r>
        <w:rPr>
          <w:szCs w:val="20"/>
        </w:rPr>
        <w:drawing>
          <wp:inline distT="0" distB="0" distL="180" distR="180">
            <wp:extent cx="3145117" cy="2037444"/>
            <wp:effectExtent l="0" t="0" r="0" b="0"/>
            <wp:docPr id="1030" name="shape1030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5117" cy="203744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szCs w:val="20"/>
        </w:rPr>
        <w:drawing>
          <wp:inline distT="0" distB="0" distL="180" distR="180">
            <wp:extent cx="3111502" cy="2111376"/>
            <wp:effectExtent l="0" t="0" r="0" b="0"/>
            <wp:docPr id="1032" name="shape1032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11502" cy="2111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hint="eastAsia"/>
          <w:szCs w:val="20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>
        <w:trPr>
          <w:trHeight w:val="875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>
            <w:pPr>
              <w:jc w:val="left"/>
            </w:pP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>
            <w:pPr>
              <w:jc w:val="left"/>
            </w:pPr>
          </w:p>
        </w:tc>
      </w:tr>
      <w:tr>
        <w:trPr>
          <w:trHeight w:val="59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1</w:t>
            </w:r>
            <w:r>
              <w:rPr>
                <w:rFonts w:hint="eastAsia"/>
                <w:b/>
                <w:sz w:val="22"/>
              </w:rPr>
              <w:t>4</w:t>
            </w: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>
            <w:pPr>
              <w:jc w:val="center"/>
            </w:pPr>
            <w:r>
              <w:rPr>
                <w:rFonts w:hint="eastAsia"/>
                <w:b/>
              </w:rPr>
              <w:t>2025.0</w:t>
            </w:r>
            <w:r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>06</w:t>
            </w:r>
            <w:r>
              <w:rPr>
                <w:rFonts w:hint="eastAsia"/>
                <w:b/>
              </w:rPr>
              <w:t xml:space="preserve"> ~ 2025.05.</w:t>
            </w:r>
            <w:r>
              <w:rPr>
                <w:rFonts w:hint="eastAsia"/>
                <w:b/>
              </w:rPr>
              <w:t>12</w:t>
            </w:r>
          </w:p>
        </w:tc>
      </w:tr>
      <w:tr>
        <w:trPr>
          <w:trHeight w:val="152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>
            <w:pPr>
              <w:rPr>
                <w:rFonts w:hint="eastAsia"/>
                <w:szCs w:val="20"/>
              </w:rPr>
            </w:pPr>
            <w:r>
              <w:rPr>
                <w:rFonts w:hint="eastAsia"/>
                <w:szCs w:val="20"/>
              </w:rPr>
              <w:t xml:space="preserve">채집 시스템 완성, </w:t>
            </w:r>
            <w:r>
              <w:rPr>
                <w:rFonts w:hint="eastAsia"/>
                <w:szCs w:val="20"/>
              </w:rPr>
              <w:t xml:space="preserve">종합설계 </w:t>
            </w:r>
            <w:r>
              <w:rPr>
                <w:rFonts w:hint="eastAsia"/>
                <w:szCs w:val="20"/>
              </w:rPr>
              <w:t>중간 발표 준비</w:t>
            </w:r>
          </w:p>
        </w:tc>
      </w:tr>
      <w:tr>
        <w:trPr>
          <w:trHeight w:val="1963" w:hRule="atLeast"/>
        </w:trPr>
        <w:tc>
          <w:tcPr>
            <w:tcW w:w="1555" w:type="dxa"/>
            <w:shd w:val="clear" w:color="auto" w:fill="F2F2F2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>
            <w:pPr>
              <w:jc w:val="left"/>
            </w:pPr>
          </w:p>
        </w:tc>
      </w:tr>
    </w:tbl>
    <w:p/>
    <w:sectPr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Symbol">
    <w:panose1 w:val="05050102010706020507"/>
    <w:family w:val="roman"/>
    <w:charset w:val="02"/>
    <w:notTrueType w:val="false"/>
    <w:sig w:usb0="00000001" w:usb1="00000001" w:usb2="00000001" w:usb3="00000001" w:csb0="80000000" w:csb1="00000001"/>
  </w:font>
  <w:font w:name="Courier New">
    <w:panose1 w:val="02070309020205020404"/>
    <w:family w:val="modern"/>
    <w:charset w:val="00"/>
    <w:notTrueType w:val="false"/>
    <w:sig w:usb0="E0002EFF" w:usb1="C0007843" w:usb2="00000009" w:usb3="00000001" w:csb0="400001FF" w:csb1="FFFF0000"/>
  </w:font>
  <w:font w:name="Wingdings">
    <w:panose1 w:val="05000000000000000000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5d4e4970"/>
    <w:multiLevelType w:val="hybridMultilevel"/>
    <w:tmpl w:val="1924d72c"/>
    <w:lvl w:ilvl="0" w:tplc="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on" w:tplc="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on" w:tplc="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on" w:tplc="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on" w:tplc="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on" w:tplc="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on" w:tplc="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8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3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3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1">
    <w:name w:val="표 구분선1"/>
    <w:uiPriority w:val="39"/>
    <w:basedOn w:val="TableNormal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uiPriority w:val="34"/>
    <w:basedOn w:val="Normal"/>
    <w:qFormat/>
    <w:pPr>
      <w:ind w:leftChars="400" w:left="800"/>
    </w:pPr>
  </w:style>
  <w:style w:type="paragraph" w:styleId="Header">
    <w:name w:val="header"/>
    <w:uiPriority w:val="99"/>
    <w:basedOn w:val="Normal"/>
    <w:link w:val="HeaderChar"/>
    <w:unhideWhenUsed/>
    <w:pPr>
      <w:snapToGrid w:val="0"/>
      <w:tabs>
        <w:tab w:val="center" w:pos="4513"/>
        <w:tab w:val="right" w:pos="9026"/>
      </w:tabs>
    </w:pPr>
  </w:style>
  <w:style w:type="character" w:customStyle="1" w:styleId="HeaderChar">
    <w:name w:val="Header Char"/>
    <w:uiPriority w:val="99"/>
    <w:basedOn w:val="DefaultParagraphFont"/>
    <w:link w:val="Header"/>
  </w:style>
  <w:style w:type="paragraph" w:styleId="Footer">
    <w:name w:val="footer"/>
    <w:uiPriority w:val="99"/>
    <w:basedOn w:val="Normal"/>
    <w:link w:val="FooterChar"/>
    <w:unhideWhenUsed/>
    <w:pPr>
      <w:snapToGrid w:val="0"/>
      <w:tabs>
        <w:tab w:val="center" w:pos="4513"/>
        <w:tab w:val="right" w:pos="9026"/>
      </w:tabs>
    </w:pPr>
  </w:style>
  <w:style w:type="character" w:customStyle="1" w:styleId="FooterChar">
    <w:name w:val="Footer Char"/>
    <w:uiPriority w:val="99"/>
    <w:basedOn w:val="DefaultParagraphFont"/>
    <w:link w:val="Footer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image" Target="media/image3.png" /><Relationship Id="rId5" Type="http://schemas.openxmlformats.org/officeDocument/2006/relationships/image" Target="media/image4.png" /><Relationship Id="rId4" Type="http://schemas.openxmlformats.org/officeDocument/2006/relationships/image" Target="media/image5.png" /><Relationship Id="rId6" Type="http://schemas.openxmlformats.org/officeDocument/2006/relationships/image" Target="media/image6.png" /><Relationship Id="rId7" Type="http://schemas.openxmlformats.org/officeDocument/2006/relationships/styles" Target="styles.xml" /><Relationship Id="rId8" Type="http://schemas.openxmlformats.org/officeDocument/2006/relationships/settings" Target="settings.xml" /><Relationship Id="rId9" Type="http://schemas.openxmlformats.org/officeDocument/2006/relationships/fontTable" Target="fontTable.xml" /><Relationship Id="rId10" Type="http://schemas.openxmlformats.org/officeDocument/2006/relationships/webSettings" Target="webSettings.xml" /><Relationship Id="rId11" Type="http://schemas.openxmlformats.org/officeDocument/2006/relationships/numbering" Target="numbering.xml" /><Relationship Id="rId12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lastClr="000000" val="windowText"/>
      </a:dk1>
      <a:lt1>
        <a:sysClr lastClr="FFFFFF" val="window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김나현</dc:creator>
  <cp:keywords/>
  <dc:description/>
  <cp:lastModifiedBy>김나현</cp:lastModifiedBy>
  <cp:revision>1</cp:revision>
  <dcterms:created xsi:type="dcterms:W3CDTF">2024-03-09T12:03:00Z</dcterms:created>
  <dcterms:modified xsi:type="dcterms:W3CDTF">2025-05-20T05:33:42Z</dcterms:modified>
  <cp:version>1000.0100.01</cp:version>
</cp:coreProperties>
</file>