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17324D"/>
          <w:sz w:val="60"/>
        </w:rPr>
        <w:t>FORGETCHECK</w:t>
      </w:r>
    </w:p>
    <w:p>
      <w:pPr>
        <w:jc w:val="center"/>
      </w:pPr>
      <w:r>
        <w:rPr>
          <w:rFonts w:ascii="Times New Roman" w:hAnsi="Times New Roman"/>
          <w:b/>
          <w:color w:val="324A89"/>
          <w:sz w:val="36"/>
        </w:rPr>
        <w:t>A Retraining-Grounded Study of Audit Disagreement and Reversibility</w:t>
        <w:br/>
        <w:t>in Approximate Machine Unlearning</w:t>
      </w:r>
    </w:p>
    <w:p>
      <w:pPr>
        <w:spacing w:before="440"/>
        <w:jc w:val="center"/>
      </w:pPr>
      <w:r>
        <w:rPr>
          <w:b/>
          <w:color w:val="297380"/>
          <w:sz w:val="26"/>
        </w:rPr>
        <w:t>MASTER PROJECT DETAILS &amp; ARCHITECTURE REFERENCE</w:t>
      </w:r>
    </w:p>
    <w:p>
      <w:pPr>
        <w:spacing w:before="360"/>
        <w:jc w:val="center"/>
      </w:pPr>
      <w:r>
        <w:rPr>
          <w:i/>
        </w:rPr>
        <w:t>Domain: Trustworthy AI / Machine Learning Privacy / Deep Learning / AI Security</w:t>
      </w:r>
    </w:p>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2304"/>
            <w:shd w:fill="17324D"/>
            <w:vAlign w:val="center"/>
          </w:tcPr>
          <w:p>
            <w:r>
              <w:rPr>
                <w:rFonts w:ascii="Times New Roman" w:hAnsi="Times New Roman"/>
                <w:b/>
                <w:color w:val="FFFFFF"/>
                <w:sz w:val="19"/>
              </w:rPr>
              <w:t>Document Field</w:t>
            </w:r>
          </w:p>
        </w:tc>
        <w:tc>
          <w:tcPr>
            <w:tcW w:type="dxa" w:w="6912"/>
            <w:shd w:fill="17324D"/>
            <w:vAlign w:val="center"/>
          </w:tcPr>
          <w:p>
            <w:r>
              <w:rPr>
                <w:rFonts w:ascii="Times New Roman" w:hAnsi="Times New Roman"/>
                <w:b/>
                <w:color w:val="FFFFFF"/>
                <w:sz w:val="19"/>
              </w:rPr>
              <w:t>Value</w:t>
            </w:r>
          </w:p>
        </w:tc>
      </w:tr>
      <w:tr>
        <w:trPr>
          <w:cantSplit/>
        </w:trPr>
        <w:tc>
          <w:tcPr>
            <w:tcW w:type="dxa" w:w="2304"/>
            <w:vAlign w:val="top"/>
          </w:tcPr>
          <w:p>
            <w:pPr>
              <w:spacing w:after="40"/>
            </w:pPr>
            <w:r>
              <w:rPr>
                <w:rFonts w:ascii="Times New Roman" w:hAnsi="Times New Roman"/>
                <w:sz w:val="19"/>
              </w:rPr>
              <w:t>Status</w:t>
            </w:r>
          </w:p>
        </w:tc>
        <w:tc>
          <w:tcPr>
            <w:tcW w:type="dxa" w:w="6912"/>
            <w:vAlign w:val="top"/>
          </w:tcPr>
          <w:p>
            <w:pPr>
              <w:spacing w:after="40"/>
            </w:pPr>
            <w:r>
              <w:rPr>
                <w:rFonts w:ascii="Times New Roman" w:hAnsi="Times New Roman"/>
                <w:sz w:val="19"/>
              </w:rPr>
              <w:t>Working Master Reference — use as the canonical project description unless the mentor approves a change</w:t>
            </w:r>
          </w:p>
        </w:tc>
      </w:tr>
      <w:tr>
        <w:trPr>
          <w:cantSplit/>
        </w:trPr>
        <w:tc>
          <w:tcPr>
            <w:tcW w:type="dxa" w:w="2304"/>
            <w:vAlign w:val="top"/>
            <w:shd w:fill="F5F7F9"/>
          </w:tcPr>
          <w:p>
            <w:pPr>
              <w:spacing w:after="40"/>
            </w:pPr>
            <w:r>
              <w:rPr>
                <w:rFonts w:ascii="Times New Roman" w:hAnsi="Times New Roman"/>
                <w:sz w:val="19"/>
              </w:rPr>
              <w:t>Version</w:t>
            </w:r>
          </w:p>
        </w:tc>
        <w:tc>
          <w:tcPr>
            <w:tcW w:type="dxa" w:w="6912"/>
            <w:vAlign w:val="top"/>
            <w:shd w:fill="F5F7F9"/>
          </w:tcPr>
          <w:p>
            <w:pPr>
              <w:spacing w:after="40"/>
            </w:pPr>
            <w:r>
              <w:rPr>
                <w:rFonts w:ascii="Times New Roman" w:hAnsi="Times New Roman"/>
                <w:sz w:val="19"/>
              </w:rPr>
              <w:t>1.0</w:t>
            </w:r>
          </w:p>
        </w:tc>
      </w:tr>
      <w:tr>
        <w:trPr>
          <w:cantSplit/>
        </w:trPr>
        <w:tc>
          <w:tcPr>
            <w:tcW w:type="dxa" w:w="2304"/>
            <w:vAlign w:val="top"/>
          </w:tcPr>
          <w:p>
            <w:pPr>
              <w:spacing w:after="40"/>
            </w:pPr>
            <w:r>
              <w:rPr>
                <w:rFonts w:ascii="Times New Roman" w:hAnsi="Times New Roman"/>
                <w:sz w:val="19"/>
              </w:rPr>
              <w:t>Research position frozen as of</w:t>
            </w:r>
          </w:p>
        </w:tc>
        <w:tc>
          <w:tcPr>
            <w:tcW w:type="dxa" w:w="6912"/>
            <w:vAlign w:val="top"/>
          </w:tcPr>
          <w:p>
            <w:pPr>
              <w:spacing w:after="40"/>
            </w:pPr>
            <w:r>
              <w:rPr>
                <w:rFonts w:ascii="Times New Roman" w:hAnsi="Times New Roman"/>
                <w:sz w:val="19"/>
              </w:rPr>
              <w:t>7 August 2026</w:t>
            </w:r>
          </w:p>
        </w:tc>
      </w:tr>
      <w:tr>
        <w:trPr>
          <w:cantSplit/>
        </w:trPr>
        <w:tc>
          <w:tcPr>
            <w:tcW w:type="dxa" w:w="2304"/>
            <w:vAlign w:val="top"/>
            <w:shd w:fill="F5F7F9"/>
          </w:tcPr>
          <w:p>
            <w:pPr>
              <w:spacing w:after="40"/>
            </w:pPr>
            <w:r>
              <w:rPr>
                <w:rFonts w:ascii="Times New Roman" w:hAnsi="Times New Roman"/>
                <w:sz w:val="19"/>
              </w:rPr>
              <w:t>Primary benchmark</w:t>
            </w:r>
          </w:p>
        </w:tc>
        <w:tc>
          <w:tcPr>
            <w:tcW w:type="dxa" w:w="6912"/>
            <w:vAlign w:val="top"/>
            <w:shd w:fill="F5F7F9"/>
          </w:tcPr>
          <w:p>
            <w:pPr>
              <w:spacing w:after="40"/>
            </w:pPr>
            <w:r>
              <w:rPr>
                <w:rFonts w:ascii="Times New Roman" w:hAnsi="Times New Roman"/>
                <w:sz w:val="19"/>
              </w:rPr>
              <w:t>CIFAR-10</w:t>
            </w:r>
          </w:p>
        </w:tc>
      </w:tr>
      <w:tr>
        <w:trPr>
          <w:cantSplit/>
        </w:trPr>
        <w:tc>
          <w:tcPr>
            <w:tcW w:type="dxa" w:w="2304"/>
            <w:vAlign w:val="top"/>
          </w:tcPr>
          <w:p>
            <w:pPr>
              <w:spacing w:after="40"/>
            </w:pPr>
            <w:r>
              <w:rPr>
                <w:rFonts w:ascii="Times New Roman" w:hAnsi="Times New Roman"/>
                <w:sz w:val="19"/>
              </w:rPr>
              <w:t>Primary model</w:t>
            </w:r>
          </w:p>
        </w:tc>
        <w:tc>
          <w:tcPr>
            <w:tcW w:type="dxa" w:w="6912"/>
            <w:vAlign w:val="top"/>
          </w:tcPr>
          <w:p>
            <w:pPr>
              <w:spacing w:after="40"/>
            </w:pPr>
            <w:r>
              <w:rPr>
                <w:rFonts w:ascii="Times New Roman" w:hAnsi="Times New Roman"/>
                <w:sz w:val="19"/>
              </w:rPr>
              <w:t>ResNet-18</w:t>
            </w:r>
          </w:p>
        </w:tc>
      </w:tr>
      <w:tr>
        <w:trPr>
          <w:cantSplit/>
        </w:trPr>
        <w:tc>
          <w:tcPr>
            <w:tcW w:type="dxa" w:w="2304"/>
            <w:vAlign w:val="top"/>
            <w:shd w:fill="F5F7F9"/>
          </w:tcPr>
          <w:p>
            <w:pPr>
              <w:spacing w:after="40"/>
            </w:pPr>
            <w:r>
              <w:rPr>
                <w:rFonts w:ascii="Times New Roman" w:hAnsi="Times New Roman"/>
                <w:sz w:val="19"/>
              </w:rPr>
              <w:t>Core unlearning methods</w:t>
            </w:r>
          </w:p>
        </w:tc>
        <w:tc>
          <w:tcPr>
            <w:tcW w:type="dxa" w:w="6912"/>
            <w:vAlign w:val="top"/>
            <w:shd w:fill="F5F7F9"/>
          </w:tcPr>
          <w:p>
            <w:pPr>
              <w:spacing w:after="40"/>
            </w:pPr>
            <w:r>
              <w:rPr>
                <w:rFonts w:ascii="Times New Roman" w:hAnsi="Times New Roman"/>
                <w:sz w:val="19"/>
              </w:rPr>
              <w:t>Fine-tuning, Negative Gradient, SCRUB, Selective Synaptic Dampening</w:t>
            </w:r>
          </w:p>
        </w:tc>
      </w:tr>
      <w:tr>
        <w:trPr>
          <w:cantSplit/>
        </w:trPr>
        <w:tc>
          <w:tcPr>
            <w:tcW w:type="dxa" w:w="2304"/>
            <w:vAlign w:val="top"/>
          </w:tcPr>
          <w:p>
            <w:pPr>
              <w:spacing w:after="40"/>
            </w:pPr>
            <w:r>
              <w:rPr>
                <w:rFonts w:ascii="Times New Roman" w:hAnsi="Times New Roman"/>
                <w:sz w:val="19"/>
              </w:rPr>
              <w:t>Core audit families</w:t>
            </w:r>
          </w:p>
        </w:tc>
        <w:tc>
          <w:tcPr>
            <w:tcW w:type="dxa" w:w="6912"/>
            <w:vAlign w:val="top"/>
          </w:tcPr>
          <w:p>
            <w:pPr>
              <w:spacing w:after="40"/>
            </w:pPr>
            <w:r>
              <w:rPr>
                <w:rFonts w:ascii="Times New Roman" w:hAnsi="Times New Roman"/>
                <w:sz w:val="19"/>
              </w:rPr>
              <w:t>Behavioral, Privacy, Representation, Relearning / Robustness</w:t>
            </w:r>
          </w:p>
        </w:tc>
      </w:tr>
      <w:tr>
        <w:trPr>
          <w:cantSplit/>
        </w:trPr>
        <w:tc>
          <w:tcPr>
            <w:tcW w:type="dxa" w:w="2304"/>
            <w:vAlign w:val="top"/>
            <w:shd w:fill="F5F7F9"/>
          </w:tcPr>
          <w:p>
            <w:pPr>
              <w:spacing w:after="40"/>
            </w:pPr>
            <w:r>
              <w:rPr>
                <w:rFonts w:ascii="Times New Roman" w:hAnsi="Times New Roman"/>
                <w:sz w:val="19"/>
              </w:rPr>
              <w:t>Primary contribution</w:t>
            </w:r>
          </w:p>
        </w:tc>
        <w:tc>
          <w:tcPr>
            <w:tcW w:type="dxa" w:w="6912"/>
            <w:vAlign w:val="top"/>
            <w:shd w:fill="F5F7F9"/>
          </w:tcPr>
          <w:p>
            <w:pPr>
              <w:spacing w:after="40"/>
            </w:pPr>
            <w:r>
              <w:rPr>
                <w:rFonts w:ascii="Times New Roman" w:hAnsi="Times New Roman"/>
                <w:sz w:val="19"/>
              </w:rPr>
              <w:t>Cross-audit disagreement analysis grounded against full retraining</w:t>
            </w:r>
          </w:p>
        </w:tc>
      </w:tr>
    </w:tbl>
    <w:p>
      <w:pPr>
        <w:spacing w:after="20"/>
      </w:pPr>
    </w:p>
    <w:p>
      <w:pPr>
        <w:spacing w:before="240"/>
        <w:jc w:val="center"/>
      </w:pPr>
      <w:r>
        <w:rPr>
          <w:i/>
          <w:color w:val="576571"/>
        </w:rPr>
        <w:t>Prepared as a project-wide reference for synopsis, implementation, progress reviews, final report, IEEE paper and presentation.</w:t>
      </w:r>
    </w:p>
    <w:p>
      <w:r>
        <w:br w:type="page"/>
      </w:r>
    </w:p>
    <w:p>
      <w:pPr>
        <w:pStyle w:val="Heading1"/>
        <w:keepNext/>
      </w:pPr>
      <w:r>
        <w:t>How to Use This Document</w:t>
      </w:r>
    </w:p>
    <w:p>
      <w:pPr>
        <w:spacing w:after="120"/>
      </w:pPr>
      <w:r>
        <w:rPr>
          <w:i w:val="0"/>
        </w:rPr>
        <w:t>This document is intended to be the single source of truth for the project. It consolidates the final topic, research motivation, literature position, experimental architecture, audit definitions, datasets, methods, evaluation metrics, implementation decisions, risks, timetable, deliverables and working references. When preparing the synopsis, weekly progress reports, research paper or presentation, terminology should remain consistent with this document unless the project mentor formally approves a change.</w:t>
      </w:r>
    </w:p>
    <w:tbl>
      <w:tblPr>
        <w:tblStyle w:val="TableGrid"/>
        <w:tblW w:type="auto" w:w="0"/>
        <w:jc w:val="center"/>
        <w:tblLook w:firstColumn="1" w:firstRow="1" w:lastColumn="0" w:lastRow="0" w:noHBand="0" w:noVBand="1" w:val="04A0"/>
      </w:tblPr>
      <w:tblGrid>
        <w:gridCol w:w="9242"/>
      </w:tblGrid>
      <w:tr>
        <w:trPr>
          <w:cantSplit/>
        </w:trPr>
        <w:tc>
          <w:tcPr>
            <w:tcW w:type="dxa" w:w="9242"/>
            <w:shd w:fill="FFF4D6"/>
          </w:tcPr>
          <w:p>
            <w:pPr>
              <w:spacing w:after="60"/>
            </w:pPr>
            <w:r>
              <w:rPr>
                <w:b/>
                <w:color w:val="17324D"/>
                <w:sz w:val="23"/>
              </w:rPr>
              <w:t>Project discipline rule</w:t>
            </w:r>
          </w:p>
          <w:p>
            <w:pPr>
              <w:spacing w:after="20"/>
            </w:pPr>
            <w:r>
              <w:rPr>
                <w:sz w:val="21"/>
              </w:rPr>
              <w:t>Do not change the research claim merely because an experiment gives an inconvenient result. The project investigates whether audits agree; both agreement and disagreement are valid scientific outcomes. Likewise, do not claim that any empirical audit proves complete erasure of information unless a formal guarantee actually exists.</w:t>
            </w:r>
          </w:p>
        </w:tc>
      </w:tr>
    </w:tbl>
    <w:p>
      <w:pPr>
        <w:spacing w:after="20"/>
      </w:pPr>
    </w:p>
    <w:p>
      <w:pPr>
        <w:pStyle w:val="Heading1"/>
        <w:keepNext/>
      </w:pPr>
      <w:r>
        <w:t>Document Contents</w:t>
      </w:r>
    </w:p>
    <w:p>
      <w:pPr>
        <w:spacing w:after="40"/>
        <w:ind w:left="288"/>
      </w:pPr>
      <w:r>
        <w:t>1. Project Identity and One-Sentence Definition</w:t>
      </w:r>
    </w:p>
    <w:p>
      <w:pPr>
        <w:spacing w:after="40"/>
        <w:ind w:left="288"/>
      </w:pPr>
      <w:r>
        <w:t>2. Executive Summary</w:t>
      </w:r>
    </w:p>
    <w:p>
      <w:pPr>
        <w:spacing w:after="40"/>
        <w:ind w:left="288"/>
      </w:pPr>
      <w:r>
        <w:t>3. Background: What Machine Unlearning Is</w:t>
      </w:r>
    </w:p>
    <w:p>
      <w:pPr>
        <w:spacing w:after="40"/>
        <w:ind w:left="288"/>
      </w:pPr>
      <w:r>
        <w:t>4. Why the Problem Matters</w:t>
      </w:r>
    </w:p>
    <w:p>
      <w:pPr>
        <w:spacing w:after="40"/>
        <w:ind w:left="288"/>
      </w:pPr>
      <w:r>
        <w:t>5. Existing Research and Where ForgetCheck Fits</w:t>
      </w:r>
    </w:p>
    <w:p>
      <w:pPr>
        <w:spacing w:after="40"/>
        <w:ind w:left="288"/>
      </w:pPr>
      <w:r>
        <w:t>6. Final Research Gap and Novelty</w:t>
      </w:r>
    </w:p>
    <w:p>
      <w:pPr>
        <w:spacing w:after="40"/>
        <w:ind w:left="288"/>
      </w:pPr>
      <w:r>
        <w:t>7. Research Problem Statement</w:t>
      </w:r>
    </w:p>
    <w:p>
      <w:pPr>
        <w:spacing w:after="40"/>
        <w:ind w:left="288"/>
      </w:pPr>
      <w:r>
        <w:t>8. Objectives, Research Questions and Hypotheses</w:t>
      </w:r>
    </w:p>
    <w:p>
      <w:pPr>
        <w:spacing w:after="40"/>
        <w:ind w:left="288"/>
      </w:pPr>
      <w:r>
        <w:t>9. Scope and Out-of-Scope Boundaries</w:t>
      </w:r>
    </w:p>
    <w:p>
      <w:pPr>
        <w:spacing w:after="40"/>
        <w:ind w:left="288"/>
      </w:pPr>
      <w:r>
        <w:t>10. Experimental Architecture</w:t>
      </w:r>
    </w:p>
    <w:p>
      <w:pPr>
        <w:spacing w:after="40"/>
        <w:ind w:left="288"/>
      </w:pPr>
      <w:r>
        <w:t>11. Dataset and Model Decisions</w:t>
      </w:r>
    </w:p>
    <w:p>
      <w:pPr>
        <w:spacing w:after="40"/>
        <w:ind w:left="288"/>
      </w:pPr>
      <w:r>
        <w:t>12. Unlearning Methods</w:t>
      </w:r>
    </w:p>
    <w:p>
      <w:pPr>
        <w:spacing w:after="40"/>
        <w:ind w:left="288"/>
      </w:pPr>
      <w:r>
        <w:t>13. Forget-Set Design</w:t>
      </w:r>
    </w:p>
    <w:p>
      <w:pPr>
        <w:spacing w:after="40"/>
        <w:ind w:left="288"/>
      </w:pPr>
      <w:r>
        <w:t>14. ForgetCheck Audit Architecture</w:t>
      </w:r>
    </w:p>
    <w:p>
      <w:pPr>
        <w:spacing w:after="40"/>
        <w:ind w:left="288"/>
      </w:pPr>
      <w:r>
        <w:t>15. Cross-Audit Disagreement Analysis</w:t>
      </w:r>
    </w:p>
    <w:p>
      <w:pPr>
        <w:spacing w:after="40"/>
        <w:ind w:left="288"/>
      </w:pPr>
      <w:r>
        <w:t>16. Experimental Matrix and Statistical Methodology</w:t>
      </w:r>
    </w:p>
    <w:p>
      <w:pPr>
        <w:spacing w:after="40"/>
        <w:ind w:left="288"/>
      </w:pPr>
      <w:r>
        <w:t>17. Implementation Plan and Repository Structure</w:t>
      </w:r>
    </w:p>
    <w:p>
      <w:pPr>
        <w:spacing w:after="40"/>
        <w:ind w:left="288"/>
      </w:pPr>
      <w:r>
        <w:t>18. Reproducibility and Experiment Logging</w:t>
      </w:r>
    </w:p>
    <w:p>
      <w:pPr>
        <w:spacing w:after="40"/>
        <w:ind w:left="288"/>
      </w:pPr>
      <w:r>
        <w:t>19. Risks and Mitigation</w:t>
      </w:r>
    </w:p>
    <w:p>
      <w:pPr>
        <w:spacing w:after="40"/>
        <w:ind w:left="288"/>
      </w:pPr>
      <w:r>
        <w:t>20. Expected Deliverables and Demo</w:t>
      </w:r>
    </w:p>
    <w:p>
      <w:pPr>
        <w:spacing w:after="40"/>
        <w:ind w:left="288"/>
      </w:pPr>
      <w:r>
        <w:t>21. Semester Plan / Gantt</w:t>
      </w:r>
    </w:p>
    <w:p>
      <w:pPr>
        <w:spacing w:after="40"/>
        <w:ind w:left="288"/>
      </w:pPr>
      <w:r>
        <w:t>22. Working Abstract and Mentor Explanation</w:t>
      </w:r>
    </w:p>
    <w:p>
      <w:pPr>
        <w:spacing w:after="40"/>
        <w:ind w:left="288"/>
      </w:pPr>
      <w:r>
        <w:t>23. Literature Map</w:t>
      </w:r>
    </w:p>
    <w:p>
      <w:pPr>
        <w:spacing w:after="40"/>
        <w:ind w:left="288"/>
      </w:pPr>
      <w:r>
        <w:t>24. IEEE-Style Working References</w:t>
      </w:r>
    </w:p>
    <w:p>
      <w:pPr>
        <w:spacing w:after="40"/>
        <w:ind w:left="288"/>
      </w:pPr>
      <w:r>
        <w:t>25. Code and Dataset Resources</w:t>
      </w:r>
    </w:p>
    <w:p>
      <w:pPr>
        <w:spacing w:after="40"/>
        <w:ind w:left="288"/>
      </w:pPr>
      <w:r>
        <w:t>Appendix A. Canonical Decision Sheet</w:t>
      </w:r>
    </w:p>
    <w:p>
      <w:pPr>
        <w:spacing w:after="40"/>
        <w:ind w:left="288"/>
      </w:pPr>
      <w:r>
        <w:t>Appendix B. Evaluation Metric Cheat Sheet</w:t>
      </w:r>
    </w:p>
    <w:p>
      <w:pPr>
        <w:pStyle w:val="Heading1"/>
        <w:keepNext/>
      </w:pPr>
      <w:r>
        <w:t>1. Project Identity and One-Sentence Definition</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2592"/>
            <w:shd w:fill="17324D"/>
            <w:vAlign w:val="center"/>
          </w:tcPr>
          <w:p>
            <w:r>
              <w:rPr>
                <w:rFonts w:ascii="Times New Roman" w:hAnsi="Times New Roman"/>
                <w:b/>
                <w:color w:val="FFFFFF"/>
                <w:sz w:val="19"/>
              </w:rPr>
              <w:t>Field</w:t>
            </w:r>
          </w:p>
        </w:tc>
        <w:tc>
          <w:tcPr>
            <w:tcW w:type="dxa" w:w="6768"/>
            <w:shd w:fill="17324D"/>
            <w:vAlign w:val="center"/>
          </w:tcPr>
          <w:p>
            <w:r>
              <w:rPr>
                <w:rFonts w:ascii="Times New Roman" w:hAnsi="Times New Roman"/>
                <w:b/>
                <w:color w:val="FFFFFF"/>
                <w:sz w:val="19"/>
              </w:rPr>
              <w:t>Final Project Decision</w:t>
            </w:r>
          </w:p>
        </w:tc>
      </w:tr>
      <w:tr>
        <w:trPr>
          <w:cantSplit/>
        </w:trPr>
        <w:tc>
          <w:tcPr>
            <w:tcW w:type="dxa" w:w="2592"/>
            <w:vAlign w:val="top"/>
          </w:tcPr>
          <w:p>
            <w:pPr>
              <w:spacing w:after="40"/>
            </w:pPr>
            <w:r>
              <w:rPr>
                <w:rFonts w:ascii="Times New Roman" w:hAnsi="Times New Roman"/>
                <w:sz w:val="19"/>
              </w:rPr>
              <w:t>Final Topic</w:t>
            </w:r>
          </w:p>
        </w:tc>
        <w:tc>
          <w:tcPr>
            <w:tcW w:type="dxa" w:w="6768"/>
            <w:vAlign w:val="top"/>
          </w:tcPr>
          <w:p>
            <w:pPr>
              <w:spacing w:after="40"/>
            </w:pPr>
            <w:r>
              <w:rPr>
                <w:rFonts w:ascii="Times New Roman" w:hAnsi="Times New Roman"/>
                <w:sz w:val="19"/>
              </w:rPr>
              <w:t>ForgetCheck: A Retraining-Grounded Study of Audit Disagreement and Reversibility in Approximate Machine Unlearning</w:t>
            </w:r>
          </w:p>
        </w:tc>
      </w:tr>
      <w:tr>
        <w:trPr>
          <w:cantSplit/>
        </w:trPr>
        <w:tc>
          <w:tcPr>
            <w:tcW w:type="dxa" w:w="2592"/>
            <w:vAlign w:val="top"/>
            <w:shd w:fill="F5F7F9"/>
          </w:tcPr>
          <w:p>
            <w:pPr>
              <w:spacing w:after="40"/>
            </w:pPr>
            <w:r>
              <w:rPr>
                <w:rFonts w:ascii="Times New Roman" w:hAnsi="Times New Roman"/>
                <w:sz w:val="19"/>
              </w:rPr>
              <w:t>Extended Paper Title</w:t>
            </w:r>
          </w:p>
        </w:tc>
        <w:tc>
          <w:tcPr>
            <w:tcW w:type="dxa" w:w="6768"/>
            <w:vAlign w:val="top"/>
            <w:shd w:fill="F5F7F9"/>
          </w:tcPr>
          <w:p>
            <w:pPr>
              <w:spacing w:after="40"/>
            </w:pPr>
            <w:r>
              <w:rPr>
                <w:rFonts w:ascii="Times New Roman" w:hAnsi="Times New Roman"/>
                <w:sz w:val="19"/>
              </w:rPr>
              <w:t>ForgetCheck: Investigating Disagreement Between Behavioral, Privacy, Representation and Relearning Audits for Approximate Machine Unlearning</w:t>
            </w:r>
          </w:p>
        </w:tc>
      </w:tr>
      <w:tr>
        <w:trPr>
          <w:cantSplit/>
        </w:trPr>
        <w:tc>
          <w:tcPr>
            <w:tcW w:type="dxa" w:w="2592"/>
            <w:vAlign w:val="top"/>
          </w:tcPr>
          <w:p>
            <w:pPr>
              <w:spacing w:after="40"/>
            </w:pPr>
            <w:r>
              <w:rPr>
                <w:rFonts w:ascii="Times New Roman" w:hAnsi="Times New Roman"/>
                <w:sz w:val="19"/>
              </w:rPr>
              <w:t>Domain</w:t>
            </w:r>
          </w:p>
        </w:tc>
        <w:tc>
          <w:tcPr>
            <w:tcW w:type="dxa" w:w="6768"/>
            <w:vAlign w:val="top"/>
          </w:tcPr>
          <w:p>
            <w:pPr>
              <w:spacing w:after="40"/>
            </w:pPr>
            <w:r>
              <w:rPr>
                <w:rFonts w:ascii="Times New Roman" w:hAnsi="Times New Roman"/>
                <w:sz w:val="19"/>
              </w:rPr>
              <w:t>Trustworthy Artificial Intelligence / Machine Learning Privacy / Deep Learning / AI Security</w:t>
            </w:r>
          </w:p>
        </w:tc>
      </w:tr>
      <w:tr>
        <w:trPr>
          <w:cantSplit/>
        </w:trPr>
        <w:tc>
          <w:tcPr>
            <w:tcW w:type="dxa" w:w="2592"/>
            <w:vAlign w:val="top"/>
            <w:shd w:fill="F5F7F9"/>
          </w:tcPr>
          <w:p>
            <w:pPr>
              <w:spacing w:after="40"/>
            </w:pPr>
            <w:r>
              <w:rPr>
                <w:rFonts w:ascii="Times New Roman" w:hAnsi="Times New Roman"/>
                <w:sz w:val="19"/>
              </w:rPr>
              <w:t>Primary Research Object</w:t>
            </w:r>
          </w:p>
        </w:tc>
        <w:tc>
          <w:tcPr>
            <w:tcW w:type="dxa" w:w="6768"/>
            <w:vAlign w:val="top"/>
            <w:shd w:fill="F5F7F9"/>
          </w:tcPr>
          <w:p>
            <w:pPr>
              <w:spacing w:after="40"/>
            </w:pPr>
            <w:r>
              <w:rPr>
                <w:rFonts w:ascii="Times New Roman" w:hAnsi="Times New Roman"/>
                <w:sz w:val="19"/>
              </w:rPr>
              <w:t>Approximate machine-unlearning algorithms</w:t>
            </w:r>
          </w:p>
        </w:tc>
      </w:tr>
      <w:tr>
        <w:trPr>
          <w:cantSplit/>
        </w:trPr>
        <w:tc>
          <w:tcPr>
            <w:tcW w:type="dxa" w:w="2592"/>
            <w:vAlign w:val="top"/>
          </w:tcPr>
          <w:p>
            <w:pPr>
              <w:spacing w:after="40"/>
            </w:pPr>
            <w:r>
              <w:rPr>
                <w:rFonts w:ascii="Times New Roman" w:hAnsi="Times New Roman"/>
                <w:sz w:val="19"/>
              </w:rPr>
              <w:t>Primary Research Question</w:t>
            </w:r>
          </w:p>
        </w:tc>
        <w:tc>
          <w:tcPr>
            <w:tcW w:type="dxa" w:w="6768"/>
            <w:vAlign w:val="top"/>
          </w:tcPr>
          <w:p>
            <w:pPr>
              <w:spacing w:after="40"/>
            </w:pPr>
            <w:r>
              <w:rPr>
                <w:rFonts w:ascii="Times New Roman" w:hAnsi="Times New Roman"/>
                <w:sz w:val="19"/>
              </w:rPr>
              <w:t>Do different audit families reach the same conclusion about whether an approximate unlearning method has succeeded?</w:t>
            </w:r>
          </w:p>
        </w:tc>
      </w:tr>
      <w:tr>
        <w:trPr>
          <w:cantSplit/>
        </w:trPr>
        <w:tc>
          <w:tcPr>
            <w:tcW w:type="dxa" w:w="2592"/>
            <w:vAlign w:val="top"/>
            <w:shd w:fill="F5F7F9"/>
          </w:tcPr>
          <w:p>
            <w:pPr>
              <w:spacing w:after="40"/>
            </w:pPr>
            <w:r>
              <w:rPr>
                <w:rFonts w:ascii="Times New Roman" w:hAnsi="Times New Roman"/>
                <w:sz w:val="19"/>
              </w:rPr>
              <w:t>Reference Standard</w:t>
            </w:r>
          </w:p>
        </w:tc>
        <w:tc>
          <w:tcPr>
            <w:tcW w:type="dxa" w:w="6768"/>
            <w:vAlign w:val="top"/>
            <w:shd w:fill="F5F7F9"/>
          </w:tcPr>
          <w:p>
            <w:pPr>
              <w:spacing w:after="40"/>
            </w:pPr>
            <w:r>
              <w:rPr>
                <w:rFonts w:ascii="Times New Roman" w:hAnsi="Times New Roman"/>
                <w:sz w:val="19"/>
              </w:rPr>
              <w:t>A model retrained from scratch without the forget set</w:t>
            </w:r>
          </w:p>
        </w:tc>
      </w:tr>
      <w:tr>
        <w:trPr>
          <w:cantSplit/>
        </w:trPr>
        <w:tc>
          <w:tcPr>
            <w:tcW w:type="dxa" w:w="2592"/>
            <w:vAlign w:val="top"/>
          </w:tcPr>
          <w:p>
            <w:pPr>
              <w:spacing w:after="40"/>
            </w:pPr>
            <w:r>
              <w:rPr>
                <w:rFonts w:ascii="Times New Roman" w:hAnsi="Times New Roman"/>
                <w:sz w:val="19"/>
              </w:rPr>
              <w:t>Primary Benchmark</w:t>
            </w:r>
          </w:p>
        </w:tc>
        <w:tc>
          <w:tcPr>
            <w:tcW w:type="dxa" w:w="6768"/>
            <w:vAlign w:val="top"/>
          </w:tcPr>
          <w:p>
            <w:pPr>
              <w:spacing w:after="40"/>
            </w:pPr>
            <w:r>
              <w:rPr>
                <w:rFonts w:ascii="Times New Roman" w:hAnsi="Times New Roman"/>
                <w:sz w:val="19"/>
              </w:rPr>
              <w:t>CIFAR-10 with ResNet-18</w:t>
            </w:r>
          </w:p>
        </w:tc>
      </w:tr>
      <w:tr>
        <w:trPr>
          <w:cantSplit/>
        </w:trPr>
        <w:tc>
          <w:tcPr>
            <w:tcW w:type="dxa" w:w="2592"/>
            <w:vAlign w:val="top"/>
            <w:shd w:fill="F5F7F9"/>
          </w:tcPr>
          <w:p>
            <w:pPr>
              <w:spacing w:after="40"/>
            </w:pPr>
            <w:r>
              <w:rPr>
                <w:rFonts w:ascii="Times New Roman" w:hAnsi="Times New Roman"/>
                <w:sz w:val="19"/>
              </w:rPr>
              <w:t>Publication Format</w:t>
            </w:r>
          </w:p>
        </w:tc>
        <w:tc>
          <w:tcPr>
            <w:tcW w:type="dxa" w:w="6768"/>
            <w:vAlign w:val="top"/>
            <w:shd w:fill="F5F7F9"/>
          </w:tcPr>
          <w:p>
            <w:pPr>
              <w:spacing w:after="40"/>
            </w:pPr>
            <w:r>
              <w:rPr>
                <w:rFonts w:ascii="Times New Roman" w:hAnsi="Times New Roman"/>
                <w:sz w:val="19"/>
              </w:rPr>
              <w:t>IEEE-style research paper</w:t>
            </w:r>
          </w:p>
        </w:tc>
      </w:tr>
    </w:tbl>
    <w:p>
      <w:pPr>
        <w:spacing w:after="20"/>
      </w:pPr>
    </w:p>
    <w:tbl>
      <w:tblPr>
        <w:tblStyle w:val="TableGrid"/>
        <w:tblW w:type="auto" w:w="0"/>
        <w:jc w:val="center"/>
        <w:tblLook w:firstColumn="1" w:firstRow="1" w:lastColumn="0" w:lastRow="0" w:noHBand="0" w:noVBand="1" w:val="04A0"/>
      </w:tblPr>
      <w:tblGrid>
        <w:gridCol w:w="9242"/>
      </w:tblGrid>
      <w:tr>
        <w:trPr>
          <w:cantSplit/>
        </w:trPr>
        <w:tc>
          <w:tcPr>
            <w:tcW w:type="dxa" w:w="9242"/>
            <w:shd w:fill="EAF3F8"/>
          </w:tcPr>
          <w:p>
            <w:pPr>
              <w:spacing w:after="60"/>
            </w:pPr>
            <w:r>
              <w:rPr>
                <w:b/>
                <w:color w:val="17324D"/>
                <w:sz w:val="23"/>
              </w:rPr>
              <w:t>Project in one sentence</w:t>
            </w:r>
          </w:p>
          <w:p>
            <w:pPr>
              <w:spacing w:after="20"/>
            </w:pPr>
            <w:r>
              <w:rPr>
                <w:sz w:val="21"/>
              </w:rPr>
              <w:t>We will apply several existing machine-unlearning algorithms to selected training data and investigate whether behavioral, privacy, representation-level and relearning audits agree or contradict one another, using full retraining as the strongest practical reference.</w:t>
            </w:r>
          </w:p>
        </w:tc>
      </w:tr>
    </w:tbl>
    <w:p>
      <w:pPr>
        <w:spacing w:after="20"/>
      </w:pPr>
    </w:p>
    <w:p>
      <w:pPr>
        <w:pStyle w:val="Heading1"/>
        <w:keepNext/>
      </w:pPr>
      <w:r>
        <w:t>2. Executive Summary</w:t>
      </w:r>
    </w:p>
    <w:p>
      <w:pPr>
        <w:spacing w:after="120"/>
      </w:pPr>
      <w:r>
        <w:rPr>
          <w:i w:val="0"/>
        </w:rPr>
        <w:t>Machine unlearning aims to remove the influence of selected training data from an already trained model without paying the full computational cost of retraining the model from scratch. The central difficulty is not only how to unlearn, but how to determine whether unlearning actually worked. A model may stop producing a previously learned output while still retaining internal structure that allows the behavior to be recovered quickly. Conversely, an unlearning method may make the forget set look forgotten only because it has damaged the model more generally.</w:t>
      </w:r>
    </w:p>
    <w:p>
      <w:pPr>
        <w:spacing w:after="120"/>
      </w:pPr>
      <w:r>
        <w:rPr>
          <w:i w:val="0"/>
        </w:rPr>
        <w:t>ForgetCheck therefore does not claim to invent machine unlearning, membership inference, representation analysis or relearning diagnostics. Its contribution is a controlled, retraining-grounded study of whether different audit families provide consistent conclusions across representative approximate unlearning methods and across forget sets of different difficulty. The project explicitly treats audit disagreement as a research object.</w:t>
      </w:r>
    </w:p>
    <w:p>
      <w:pPr>
        <w:spacing w:after="120"/>
      </w:pPr>
      <w:r>
        <w:rPr>
          <w:i w:val="0"/>
        </w:rPr>
        <w:t>The core experiment uses CIFAR-10 and ResNet-18. The original model is trained on the full training dataset. A forget set is then selected. A separate oracle model is retrained from scratch on the retained data only, while four approximate unlearning methods are applied to the original model. Each resulting model is evaluated under a layered audit comprising retained utility, forget-set behavior, output-distribution similarity, membership-inference privacy, internal representation similarity and controlled relearning. Method rankings are then compared using rank-correlation and disagreement analyses.</w:t>
      </w:r>
    </w:p>
    <w:p>
      <w:pPr>
        <w:pStyle w:val="Heading1"/>
        <w:keepNext/>
      </w:pPr>
      <w:r>
        <w:t>3. Background: What Machine Unlearning Is</w:t>
      </w:r>
    </w:p>
    <w:p>
      <w:pPr>
        <w:pStyle w:val="Heading2"/>
        <w:keepNext/>
      </w:pPr>
      <w:r>
        <w:t>3.1 Formal Setup</w:t>
      </w:r>
    </w:p>
    <w:p>
      <w:pPr>
        <w:spacing w:after="120"/>
      </w:pPr>
      <w:r>
        <w:rPr>
          <w:i w:val="0"/>
        </w:rPr>
        <w:t>Let the original training dataset be D. After a deletion request, D is divided into a forget set F and a retain set R, such that D = R ∪ F. The original model M0 is trained on D. A full retraining reference Mr is trained from scratch on R only. An approximate unlearning algorithm U modifies M0 to obtain an unlearned model Mu.</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1440"/>
            <w:shd w:fill="17324D"/>
            <w:vAlign w:val="center"/>
          </w:tcPr>
          <w:p>
            <w:r>
              <w:rPr>
                <w:rFonts w:ascii="Times New Roman" w:hAnsi="Times New Roman"/>
                <w:b/>
                <w:color w:val="FFFFFF"/>
                <w:sz w:val="19"/>
              </w:rPr>
              <w:t>Symbol</w:t>
            </w:r>
          </w:p>
        </w:tc>
        <w:tc>
          <w:tcPr>
            <w:tcW w:type="dxa" w:w="7776"/>
            <w:shd w:fill="17324D"/>
            <w:vAlign w:val="center"/>
          </w:tcPr>
          <w:p>
            <w:r>
              <w:rPr>
                <w:rFonts w:ascii="Times New Roman" w:hAnsi="Times New Roman"/>
                <w:b/>
                <w:color w:val="FFFFFF"/>
                <w:sz w:val="19"/>
              </w:rPr>
              <w:t>Meaning</w:t>
            </w:r>
          </w:p>
        </w:tc>
      </w:tr>
      <w:tr>
        <w:trPr>
          <w:cantSplit/>
        </w:trPr>
        <w:tc>
          <w:tcPr>
            <w:tcW w:type="dxa" w:w="1440"/>
            <w:vAlign w:val="top"/>
          </w:tcPr>
          <w:p>
            <w:pPr>
              <w:spacing w:after="40"/>
            </w:pPr>
            <w:r>
              <w:rPr>
                <w:rFonts w:ascii="Times New Roman" w:hAnsi="Times New Roman"/>
                <w:sz w:val="19"/>
              </w:rPr>
              <w:t>D</w:t>
            </w:r>
          </w:p>
        </w:tc>
        <w:tc>
          <w:tcPr>
            <w:tcW w:type="dxa" w:w="7776"/>
            <w:vAlign w:val="top"/>
          </w:tcPr>
          <w:p>
            <w:pPr>
              <w:spacing w:after="40"/>
            </w:pPr>
            <w:r>
              <w:rPr>
                <w:rFonts w:ascii="Times New Roman" w:hAnsi="Times New Roman"/>
                <w:sz w:val="19"/>
              </w:rPr>
              <w:t>Original full training dataset</w:t>
            </w:r>
          </w:p>
        </w:tc>
      </w:tr>
      <w:tr>
        <w:trPr>
          <w:cantSplit/>
        </w:trPr>
        <w:tc>
          <w:tcPr>
            <w:tcW w:type="dxa" w:w="1440"/>
            <w:vAlign w:val="top"/>
            <w:shd w:fill="F5F7F9"/>
          </w:tcPr>
          <w:p>
            <w:pPr>
              <w:spacing w:after="40"/>
            </w:pPr>
            <w:r>
              <w:rPr>
                <w:rFonts w:ascii="Times New Roman" w:hAnsi="Times New Roman"/>
                <w:sz w:val="19"/>
              </w:rPr>
              <w:t>F</w:t>
            </w:r>
          </w:p>
        </w:tc>
        <w:tc>
          <w:tcPr>
            <w:tcW w:type="dxa" w:w="7776"/>
            <w:vAlign w:val="top"/>
            <w:shd w:fill="F5F7F9"/>
          </w:tcPr>
          <w:p>
            <w:pPr>
              <w:spacing w:after="40"/>
            </w:pPr>
            <w:r>
              <w:rPr>
                <w:rFonts w:ascii="Times New Roman" w:hAnsi="Times New Roman"/>
                <w:sz w:val="19"/>
              </w:rPr>
              <w:t>Forget set: training examples whose influence is requested to be removed</w:t>
            </w:r>
          </w:p>
        </w:tc>
      </w:tr>
      <w:tr>
        <w:trPr>
          <w:cantSplit/>
        </w:trPr>
        <w:tc>
          <w:tcPr>
            <w:tcW w:type="dxa" w:w="1440"/>
            <w:vAlign w:val="top"/>
          </w:tcPr>
          <w:p>
            <w:pPr>
              <w:spacing w:after="40"/>
            </w:pPr>
            <w:r>
              <w:rPr>
                <w:rFonts w:ascii="Times New Roman" w:hAnsi="Times New Roman"/>
                <w:sz w:val="19"/>
              </w:rPr>
              <w:t>R</w:t>
            </w:r>
          </w:p>
        </w:tc>
        <w:tc>
          <w:tcPr>
            <w:tcW w:type="dxa" w:w="7776"/>
            <w:vAlign w:val="top"/>
          </w:tcPr>
          <w:p>
            <w:pPr>
              <w:spacing w:after="40"/>
            </w:pPr>
            <w:r>
              <w:rPr>
                <w:rFonts w:ascii="Times New Roman" w:hAnsi="Times New Roman"/>
                <w:sz w:val="19"/>
              </w:rPr>
              <w:t>Retain set: all training examples that remain</w:t>
            </w:r>
          </w:p>
        </w:tc>
      </w:tr>
      <w:tr>
        <w:trPr>
          <w:cantSplit/>
        </w:trPr>
        <w:tc>
          <w:tcPr>
            <w:tcW w:type="dxa" w:w="1440"/>
            <w:vAlign w:val="top"/>
            <w:shd w:fill="F5F7F9"/>
          </w:tcPr>
          <w:p>
            <w:pPr>
              <w:spacing w:after="40"/>
            </w:pPr>
            <w:r>
              <w:rPr>
                <w:rFonts w:ascii="Times New Roman" w:hAnsi="Times New Roman"/>
                <w:sz w:val="19"/>
              </w:rPr>
              <w:t>M0</w:t>
            </w:r>
          </w:p>
        </w:tc>
        <w:tc>
          <w:tcPr>
            <w:tcW w:type="dxa" w:w="7776"/>
            <w:vAlign w:val="top"/>
            <w:shd w:fill="F5F7F9"/>
          </w:tcPr>
          <w:p>
            <w:pPr>
              <w:spacing w:after="40"/>
            </w:pPr>
            <w:r>
              <w:rPr>
                <w:rFonts w:ascii="Times New Roman" w:hAnsi="Times New Roman"/>
                <w:sz w:val="19"/>
              </w:rPr>
              <w:t>Original model trained on D</w:t>
            </w:r>
          </w:p>
        </w:tc>
      </w:tr>
      <w:tr>
        <w:trPr>
          <w:cantSplit/>
        </w:trPr>
        <w:tc>
          <w:tcPr>
            <w:tcW w:type="dxa" w:w="1440"/>
            <w:vAlign w:val="top"/>
          </w:tcPr>
          <w:p>
            <w:pPr>
              <w:spacing w:after="40"/>
            </w:pPr>
            <w:r>
              <w:rPr>
                <w:rFonts w:ascii="Times New Roman" w:hAnsi="Times New Roman"/>
                <w:sz w:val="19"/>
              </w:rPr>
              <w:t>Mr</w:t>
            </w:r>
          </w:p>
        </w:tc>
        <w:tc>
          <w:tcPr>
            <w:tcW w:type="dxa" w:w="7776"/>
            <w:vAlign w:val="top"/>
          </w:tcPr>
          <w:p>
            <w:pPr>
              <w:spacing w:after="40"/>
            </w:pPr>
            <w:r>
              <w:rPr>
                <w:rFonts w:ascii="Times New Roman" w:hAnsi="Times New Roman"/>
                <w:sz w:val="19"/>
              </w:rPr>
              <w:t>Retrained oracle model trained from scratch on R</w:t>
            </w:r>
          </w:p>
        </w:tc>
      </w:tr>
      <w:tr>
        <w:trPr>
          <w:cantSplit/>
        </w:trPr>
        <w:tc>
          <w:tcPr>
            <w:tcW w:type="dxa" w:w="1440"/>
            <w:vAlign w:val="top"/>
            <w:shd w:fill="F5F7F9"/>
          </w:tcPr>
          <w:p>
            <w:pPr>
              <w:spacing w:after="40"/>
            </w:pPr>
            <w:r>
              <w:rPr>
                <w:rFonts w:ascii="Times New Roman" w:hAnsi="Times New Roman"/>
                <w:sz w:val="19"/>
              </w:rPr>
              <w:t>U</w:t>
            </w:r>
          </w:p>
        </w:tc>
        <w:tc>
          <w:tcPr>
            <w:tcW w:type="dxa" w:w="7776"/>
            <w:vAlign w:val="top"/>
            <w:shd w:fill="F5F7F9"/>
          </w:tcPr>
          <w:p>
            <w:pPr>
              <w:spacing w:after="40"/>
            </w:pPr>
            <w:r>
              <w:rPr>
                <w:rFonts w:ascii="Times New Roman" w:hAnsi="Times New Roman"/>
                <w:sz w:val="19"/>
              </w:rPr>
              <w:t>Approximate unlearning algorithm</w:t>
            </w:r>
          </w:p>
        </w:tc>
      </w:tr>
      <w:tr>
        <w:trPr>
          <w:cantSplit/>
        </w:trPr>
        <w:tc>
          <w:tcPr>
            <w:tcW w:type="dxa" w:w="1440"/>
            <w:vAlign w:val="top"/>
          </w:tcPr>
          <w:p>
            <w:pPr>
              <w:spacing w:after="40"/>
            </w:pPr>
            <w:r>
              <w:rPr>
                <w:rFonts w:ascii="Times New Roman" w:hAnsi="Times New Roman"/>
                <w:sz w:val="19"/>
              </w:rPr>
              <w:t>Mu</w:t>
            </w:r>
          </w:p>
        </w:tc>
        <w:tc>
          <w:tcPr>
            <w:tcW w:type="dxa" w:w="7776"/>
            <w:vAlign w:val="top"/>
          </w:tcPr>
          <w:p>
            <w:pPr>
              <w:spacing w:after="40"/>
            </w:pPr>
            <w:r>
              <w:rPr>
                <w:rFonts w:ascii="Times New Roman" w:hAnsi="Times New Roman"/>
                <w:sz w:val="19"/>
              </w:rPr>
              <w:t>Unlearned model obtained by applying U to M0</w:t>
            </w:r>
          </w:p>
        </w:tc>
      </w:tr>
    </w:tbl>
    <w:p>
      <w:pPr>
        <w:spacing w:after="20"/>
      </w:pPr>
    </w:p>
    <w:p>
      <w:pPr>
        <w:spacing w:after="120"/>
      </w:pPr>
      <w:r>
        <w:rPr>
          <w:i w:val="0"/>
        </w:rPr>
        <w:t>The practical goal is not necessarily to make Mu perform badly on F. Instead, Mu should behave as closely as possible to the model that would have existed had F never been used for training. This is why Mr is treated as the practical oracle/reference rather than “zero accuracy on forgotten samples.” Certified-removal research established the much stronger formal notion that the post-removal model should be statistically indistinguishable from a model trained without the removed data [1].</w:t>
      </w:r>
    </w:p>
    <w:p>
      <w:pPr>
        <w:pStyle w:val="Heading2"/>
        <w:keepNext/>
      </w:pPr>
      <w:r>
        <w:t>3.2 Why “Low Forget Accuracy” Is Not the Goal</w:t>
      </w:r>
    </w:p>
    <w:p>
      <w:pPr>
        <w:spacing w:after="120"/>
      </w:pPr>
      <w:r>
        <w:rPr>
          <w:i w:val="0"/>
        </w:rPr>
        <w:t>If a single dog image is removed from a classifier’s training set, a fully retrained model may still classify that exact image correctly because it learned the general concept “dog” from many other examples. Therefore, successful instance unlearning cannot be defined as making the model wrong on the deleted image. The meaningful target is retraining-consistent behavior: the unlearned model should resemble the counterfactual model trained without that example.</w:t>
      </w:r>
    </w:p>
    <w:tbl>
      <w:tblPr>
        <w:tblStyle w:val="TableGrid"/>
        <w:tblW w:type="auto" w:w="0"/>
        <w:jc w:val="center"/>
        <w:tblLook w:firstColumn="1" w:firstRow="1" w:lastColumn="0" w:lastRow="0" w:noHBand="0" w:noVBand="1" w:val="04A0"/>
      </w:tblPr>
      <w:tblGrid>
        <w:gridCol w:w="9242"/>
      </w:tblGrid>
      <w:tr>
        <w:trPr>
          <w:cantSplit/>
        </w:trPr>
        <w:tc>
          <w:tcPr>
            <w:tcW w:type="dxa" w:w="9242"/>
            <w:shd w:fill="E7F2EC"/>
          </w:tcPr>
          <w:p>
            <w:pPr>
              <w:spacing w:after="60"/>
            </w:pPr>
            <w:r>
              <w:rPr>
                <w:b/>
                <w:color w:val="17324D"/>
                <w:sz w:val="23"/>
              </w:rPr>
              <w:t>Canonical concept to remember</w:t>
            </w:r>
          </w:p>
          <w:p>
            <w:pPr>
              <w:spacing w:after="20"/>
            </w:pPr>
            <w:r>
              <w:rPr>
                <w:sz w:val="21"/>
              </w:rPr>
              <w:t>Machine unlearning does not mean “make the model fail on deleted examples.” It means “make the model behave as if those examples had not participated in training,” subject to the limits of the selected unlearning definition and audit.</w:t>
            </w:r>
          </w:p>
        </w:tc>
      </w:tr>
    </w:tbl>
    <w:p>
      <w:pPr>
        <w:spacing w:after="20"/>
      </w:pPr>
    </w:p>
    <w:p>
      <w:pPr>
        <w:pStyle w:val="Heading2"/>
        <w:keepNext/>
      </w:pPr>
      <w:r>
        <w:t>3.3 Forgetting Versus Suppression</w:t>
      </w:r>
    </w:p>
    <w:p>
      <w:pPr>
        <w:spacing w:after="120"/>
      </w:pPr>
      <w:r>
        <w:rPr>
          <w:i w:val="0"/>
        </w:rPr>
        <w:t>A model may appear to forget at the output level while latent information or a recoverable representation remains inside the network. Recent work on LLM unlearning shows that conventional task-level metrics can be misleading: supposedly forgotten behavior can sometimes be recovered with limited fine-tuning, motivating representation-level and relearning analysis [13]. ForgetCheck studies the analogous diagnostic question in a smaller, retraining-feasible setting rather than claiming that every remaining representation constitutes private information.</w:t>
      </w:r>
    </w:p>
    <w:p>
      <w:pPr>
        <w:pStyle w:val="Heading1"/>
        <w:keepNext/>
      </w:pPr>
      <w:r>
        <w:t>4. Why the Problem Matters</w:t>
      </w:r>
    </w:p>
    <w:p>
      <w:pPr>
        <w:spacing w:after="120"/>
      </w:pPr>
      <w:r>
        <w:rPr>
          <w:i w:val="0"/>
        </w:rPr>
        <w:t>Machine unlearning is motivated by practical data-governance, privacy, safety and model-maintenance needs. Examples include user deletion requests, copyrighted or sensitive content, erroneous records, poisoned examples, outdated data and training data that should no longer influence deployed models. Regulations such as GDPR Article 17 establish rights to erasure in defined circumstances, but the project will not claim that machine unlearning is the legally mandated implementation mechanism. Rather, data-erasure requirements are one motivation for technical research into removing training influence.</w:t>
      </w:r>
    </w:p>
    <w:p>
      <w:pPr>
        <w:spacing w:after="120"/>
      </w:pPr>
      <w:r>
        <w:rPr>
          <w:i w:val="0"/>
        </w:rPr>
        <w:t>The research community has also recognized evaluation as a bottleneck. The NeurIPS 2023 Machine Unlearning Competition was explicitly designed to advance standardized evaluation, and its starter kit includes CIFAR-10 training, a baseline unlearning procedure and membership-inference-based scoring [17]. This makes the field unusually suitable for an undergraduate project: the central research questions are current, while reproducible public infrastructure already exists.</w:t>
      </w:r>
    </w:p>
    <w:p>
      <w:pPr>
        <w:pStyle w:val="Heading1"/>
        <w:keepNext/>
      </w:pPr>
      <w:r>
        <w:t>5. Existing Research and Where ForgetCheck Fits</w:t>
      </w:r>
    </w:p>
    <w:p>
      <w:pPr>
        <w:spacing w:after="120"/>
      </w:pPr>
      <w:r>
        <w:rPr>
          <w:i w:val="0"/>
        </w:rPr>
        <w:t>The project sits at the intersection of two mature subproblems: designing unlearning algorithms and verifying whether unlearning succeeded. Because several recent works already propose multi-metric evaluation and even general-purpose auditing, ForgetCheck must be positioned carefully. The table below states what is already similar and what remains distinct in our project.</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2232"/>
            <w:shd w:fill="17324D"/>
            <w:vAlign w:val="center"/>
          </w:tcPr>
          <w:p>
            <w:r>
              <w:rPr>
                <w:rFonts w:ascii="Times New Roman" w:hAnsi="Times New Roman"/>
                <w:b/>
                <w:color w:val="FFFFFF"/>
                <w:sz w:val="17"/>
              </w:rPr>
              <w:t>Existing Research</w:t>
            </w:r>
          </w:p>
        </w:tc>
        <w:tc>
          <w:tcPr>
            <w:tcW w:type="dxa" w:w="3456"/>
            <w:shd w:fill="17324D"/>
            <w:vAlign w:val="center"/>
          </w:tcPr>
          <w:p>
            <w:r>
              <w:rPr>
                <w:rFonts w:ascii="Times New Roman" w:hAnsi="Times New Roman"/>
                <w:b/>
                <w:color w:val="FFFFFF"/>
                <w:sz w:val="17"/>
              </w:rPr>
              <w:t>What Is Similar</w:t>
            </w:r>
          </w:p>
        </w:tc>
        <w:tc>
          <w:tcPr>
            <w:tcW w:type="dxa" w:w="3528"/>
            <w:shd w:fill="17324D"/>
            <w:vAlign w:val="center"/>
          </w:tcPr>
          <w:p>
            <w:r>
              <w:rPr>
                <w:rFonts w:ascii="Times New Roman" w:hAnsi="Times New Roman"/>
                <w:b/>
                <w:color w:val="FFFFFF"/>
                <w:sz w:val="17"/>
              </w:rPr>
              <w:t>ForgetCheck Position</w:t>
            </w:r>
          </w:p>
        </w:tc>
      </w:tr>
      <w:tr>
        <w:trPr>
          <w:cantSplit/>
        </w:trPr>
        <w:tc>
          <w:tcPr>
            <w:tcW w:type="dxa" w:w="2232"/>
            <w:vAlign w:val="top"/>
          </w:tcPr>
          <w:p>
            <w:pPr>
              <w:spacing w:after="40"/>
            </w:pPr>
            <w:r>
              <w:rPr>
                <w:rFonts w:ascii="Times New Roman" w:hAnsi="Times New Roman"/>
                <w:sz w:val="17"/>
              </w:rPr>
              <w:t>Certified Data Removal [1]</w:t>
            </w:r>
          </w:p>
        </w:tc>
        <w:tc>
          <w:tcPr>
            <w:tcW w:type="dxa" w:w="3456"/>
            <w:vAlign w:val="top"/>
          </w:tcPr>
          <w:p>
            <w:pPr>
              <w:spacing w:after="40"/>
            </w:pPr>
            <w:r>
              <w:rPr>
                <w:rFonts w:ascii="Times New Roman" w:hAnsi="Times New Roman"/>
                <w:sz w:val="17"/>
              </w:rPr>
              <w:t>Defines a strong counterfactual/certified removal target.</w:t>
            </w:r>
          </w:p>
        </w:tc>
        <w:tc>
          <w:tcPr>
            <w:tcW w:type="dxa" w:w="3528"/>
            <w:vAlign w:val="top"/>
          </w:tcPr>
          <w:p>
            <w:pPr>
              <w:spacing w:after="40"/>
            </w:pPr>
            <w:r>
              <w:rPr>
                <w:rFonts w:ascii="Times New Roman" w:hAnsi="Times New Roman"/>
                <w:sz w:val="17"/>
              </w:rPr>
              <w:t>Provides conceptual foundation; ForgetCheck is an empirical study on deep approximate unlearning, not a new certificate.</w:t>
            </w:r>
          </w:p>
        </w:tc>
      </w:tr>
      <w:tr>
        <w:trPr>
          <w:cantSplit/>
        </w:trPr>
        <w:tc>
          <w:tcPr>
            <w:tcW w:type="dxa" w:w="2232"/>
            <w:vAlign w:val="top"/>
            <w:shd w:fill="F5F7F9"/>
          </w:tcPr>
          <w:p>
            <w:pPr>
              <w:spacing w:after="40"/>
            </w:pPr>
            <w:r>
              <w:rPr>
                <w:rFonts w:ascii="Times New Roman" w:hAnsi="Times New Roman"/>
                <w:sz w:val="17"/>
              </w:rPr>
              <w:t>SISA / Machine Unlearning [2]</w:t>
            </w:r>
          </w:p>
        </w:tc>
        <w:tc>
          <w:tcPr>
            <w:tcW w:type="dxa" w:w="3456"/>
            <w:vAlign w:val="top"/>
            <w:shd w:fill="F5F7F9"/>
          </w:tcPr>
          <w:p>
            <w:pPr>
              <w:spacing w:after="40"/>
            </w:pPr>
            <w:r>
              <w:rPr>
                <w:rFonts w:ascii="Times New Roman" w:hAnsi="Times New Roman"/>
                <w:sz w:val="17"/>
              </w:rPr>
              <w:t>Makes deletion cheaper using sharding, slicing and selective retraining.</w:t>
            </w:r>
          </w:p>
        </w:tc>
        <w:tc>
          <w:tcPr>
            <w:tcW w:type="dxa" w:w="3528"/>
            <w:vAlign w:val="top"/>
            <w:shd w:fill="F5F7F9"/>
          </w:tcPr>
          <w:p>
            <w:pPr>
              <w:spacing w:after="40"/>
            </w:pPr>
            <w:r>
              <w:rPr>
                <w:rFonts w:ascii="Times New Roman" w:hAnsi="Times New Roman"/>
                <w:sz w:val="17"/>
              </w:rPr>
              <w:t>SISA is an unlearning mechanism; ForgetCheck is primarily an evaluation study.</w:t>
            </w:r>
          </w:p>
        </w:tc>
      </w:tr>
      <w:tr>
        <w:trPr>
          <w:cantSplit/>
        </w:trPr>
        <w:tc>
          <w:tcPr>
            <w:tcW w:type="dxa" w:w="2232"/>
            <w:vAlign w:val="top"/>
          </w:tcPr>
          <w:p>
            <w:pPr>
              <w:spacing w:after="40"/>
            </w:pPr>
            <w:r>
              <w:rPr>
                <w:rFonts w:ascii="Times New Roman" w:hAnsi="Times New Roman"/>
                <w:sz w:val="17"/>
              </w:rPr>
              <w:t>Incompetent Teacher [3]</w:t>
            </w:r>
          </w:p>
        </w:tc>
        <w:tc>
          <w:tcPr>
            <w:tcW w:type="dxa" w:w="3456"/>
            <w:vAlign w:val="top"/>
          </w:tcPr>
          <w:p>
            <w:pPr>
              <w:spacing w:after="40"/>
            </w:pPr>
            <w:r>
              <w:rPr>
                <w:rFonts w:ascii="Times New Roman" w:hAnsi="Times New Roman"/>
                <w:sz w:val="17"/>
              </w:rPr>
              <w:t>Deep-network unlearning method with retraining-independent evaluation ideas.</w:t>
            </w:r>
          </w:p>
        </w:tc>
        <w:tc>
          <w:tcPr>
            <w:tcW w:type="dxa" w:w="3528"/>
            <w:vAlign w:val="top"/>
          </w:tcPr>
          <w:p>
            <w:pPr>
              <w:spacing w:after="40"/>
            </w:pPr>
            <w:r>
              <w:rPr>
                <w:rFonts w:ascii="Times New Roman" w:hAnsi="Times New Roman"/>
                <w:sz w:val="17"/>
              </w:rPr>
              <w:t>Can be an optional baseline, not our main contribution.</w:t>
            </w:r>
          </w:p>
        </w:tc>
      </w:tr>
      <w:tr>
        <w:trPr>
          <w:cantSplit/>
        </w:trPr>
        <w:tc>
          <w:tcPr>
            <w:tcW w:type="dxa" w:w="2232"/>
            <w:vAlign w:val="top"/>
            <w:shd w:fill="F5F7F9"/>
          </w:tcPr>
          <w:p>
            <w:pPr>
              <w:spacing w:after="40"/>
            </w:pPr>
            <w:r>
              <w:rPr>
                <w:rFonts w:ascii="Times New Roman" w:hAnsi="Times New Roman"/>
                <w:sz w:val="17"/>
              </w:rPr>
              <w:t>SCRUB [4]</w:t>
            </w:r>
          </w:p>
        </w:tc>
        <w:tc>
          <w:tcPr>
            <w:tcW w:type="dxa" w:w="3456"/>
            <w:vAlign w:val="top"/>
            <w:shd w:fill="F5F7F9"/>
          </w:tcPr>
          <w:p>
            <w:pPr>
              <w:spacing w:after="40"/>
            </w:pPr>
            <w:r>
              <w:rPr>
                <w:rFonts w:ascii="Times New Roman" w:hAnsi="Times New Roman"/>
                <w:sz w:val="17"/>
              </w:rPr>
              <w:t>Proposes unlearning with teacher/student optimization and uses MIA for privacy evaluation.</w:t>
            </w:r>
          </w:p>
        </w:tc>
        <w:tc>
          <w:tcPr>
            <w:tcW w:type="dxa" w:w="3528"/>
            <w:vAlign w:val="top"/>
            <w:shd w:fill="F5F7F9"/>
          </w:tcPr>
          <w:p>
            <w:pPr>
              <w:spacing w:after="40"/>
            </w:pPr>
            <w:r>
              <w:rPr>
                <w:rFonts w:ascii="Times New Roman" w:hAnsi="Times New Roman"/>
                <w:sz w:val="17"/>
              </w:rPr>
              <w:t>SCRUB is one audited method; MIA itself is not novel in our work.</w:t>
            </w:r>
          </w:p>
        </w:tc>
      </w:tr>
      <w:tr>
        <w:trPr>
          <w:cantSplit/>
        </w:trPr>
        <w:tc>
          <w:tcPr>
            <w:tcW w:type="dxa" w:w="2232"/>
            <w:vAlign w:val="top"/>
          </w:tcPr>
          <w:p>
            <w:pPr>
              <w:spacing w:after="40"/>
            </w:pPr>
            <w:r>
              <w:rPr>
                <w:rFonts w:ascii="Times New Roman" w:hAnsi="Times New Roman"/>
                <w:sz w:val="17"/>
              </w:rPr>
              <w:t>Model Sparsity [5]</w:t>
            </w:r>
          </w:p>
        </w:tc>
        <w:tc>
          <w:tcPr>
            <w:tcW w:type="dxa" w:w="3456"/>
            <w:vAlign w:val="top"/>
          </w:tcPr>
          <w:p>
            <w:pPr>
              <w:spacing w:after="40"/>
            </w:pPr>
            <w:r>
              <w:rPr>
                <w:rFonts w:ascii="Times New Roman" w:hAnsi="Times New Roman"/>
                <w:sz w:val="17"/>
              </w:rPr>
              <w:t>Studies prune-first-then-unlearn and approximation to retraining.</w:t>
            </w:r>
          </w:p>
        </w:tc>
        <w:tc>
          <w:tcPr>
            <w:tcW w:type="dxa" w:w="3528"/>
            <w:vAlign w:val="top"/>
          </w:tcPr>
          <w:p>
            <w:pPr>
              <w:spacing w:after="40"/>
            </w:pPr>
            <w:r>
              <w:rPr>
                <w:rFonts w:ascii="Times New Roman" w:hAnsi="Times New Roman"/>
                <w:sz w:val="17"/>
              </w:rPr>
              <w:t>Shows how model structure can aid unlearning; can inform optional extension.</w:t>
            </w:r>
          </w:p>
        </w:tc>
      </w:tr>
      <w:tr>
        <w:trPr>
          <w:cantSplit/>
        </w:trPr>
        <w:tc>
          <w:tcPr>
            <w:tcW w:type="dxa" w:w="2232"/>
            <w:vAlign w:val="top"/>
            <w:shd w:fill="F5F7F9"/>
          </w:tcPr>
          <w:p>
            <w:pPr>
              <w:spacing w:after="40"/>
            </w:pPr>
            <w:r>
              <w:rPr>
                <w:rFonts w:ascii="Times New Roman" w:hAnsi="Times New Roman"/>
                <w:sz w:val="17"/>
              </w:rPr>
              <w:t>SSD [6]</w:t>
            </w:r>
          </w:p>
        </w:tc>
        <w:tc>
          <w:tcPr>
            <w:tcW w:type="dxa" w:w="3456"/>
            <w:vAlign w:val="top"/>
            <w:shd w:fill="F5F7F9"/>
          </w:tcPr>
          <w:p>
            <w:pPr>
              <w:spacing w:after="40"/>
            </w:pPr>
            <w:r>
              <w:rPr>
                <w:rFonts w:ascii="Times New Roman" w:hAnsi="Times New Roman"/>
                <w:sz w:val="17"/>
              </w:rPr>
              <w:t>Selective synaptic dampening using parameter importance/Fisher information.</w:t>
            </w:r>
          </w:p>
        </w:tc>
        <w:tc>
          <w:tcPr>
            <w:tcW w:type="dxa" w:w="3528"/>
            <w:vAlign w:val="top"/>
            <w:shd w:fill="F5F7F9"/>
          </w:tcPr>
          <w:p>
            <w:pPr>
              <w:spacing w:after="40"/>
            </w:pPr>
            <w:r>
              <w:rPr>
                <w:rFonts w:ascii="Times New Roman" w:hAnsi="Times New Roman"/>
                <w:sz w:val="17"/>
              </w:rPr>
              <w:t>Provides a mechanism that is qualitatively different from SCRUB and is ideal as a comparator.</w:t>
            </w:r>
          </w:p>
        </w:tc>
      </w:tr>
      <w:tr>
        <w:trPr>
          <w:cantSplit/>
        </w:trPr>
        <w:tc>
          <w:tcPr>
            <w:tcW w:type="dxa" w:w="2232"/>
            <w:vAlign w:val="top"/>
          </w:tcPr>
          <w:p>
            <w:pPr>
              <w:spacing w:after="40"/>
            </w:pPr>
            <w:r>
              <w:rPr>
                <w:rFonts w:ascii="Times New Roman" w:hAnsi="Times New Roman"/>
                <w:sz w:val="17"/>
              </w:rPr>
              <w:t>Wichert &amp; Sikdar [7]</w:t>
            </w:r>
          </w:p>
        </w:tc>
        <w:tc>
          <w:tcPr>
            <w:tcW w:type="dxa" w:w="3456"/>
            <w:vAlign w:val="top"/>
          </w:tcPr>
          <w:p>
            <w:pPr>
              <w:spacing w:after="40"/>
            </w:pPr>
            <w:r>
              <w:rPr>
                <w:rFonts w:ascii="Times New Roman" w:hAnsi="Times New Roman"/>
                <w:sz w:val="17"/>
              </w:rPr>
              <w:t>Shows random forget sets can make evaluation misleading; influential examples reveal more.</w:t>
            </w:r>
          </w:p>
        </w:tc>
        <w:tc>
          <w:tcPr>
            <w:tcW w:type="dxa" w:w="3528"/>
            <w:vAlign w:val="top"/>
          </w:tcPr>
          <w:p>
            <w:pPr>
              <w:spacing w:after="40"/>
            </w:pPr>
            <w:r>
              <w:rPr>
                <w:rFonts w:ascii="Times New Roman" w:hAnsi="Times New Roman"/>
                <w:sz w:val="17"/>
              </w:rPr>
              <w:t>Directly motivates our random vs. hard/high-memorization forget-set experiment.</w:t>
            </w:r>
          </w:p>
        </w:tc>
      </w:tr>
      <w:tr>
        <w:trPr>
          <w:cantSplit/>
        </w:trPr>
        <w:tc>
          <w:tcPr>
            <w:tcW w:type="dxa" w:w="2232"/>
            <w:vAlign w:val="top"/>
            <w:shd w:fill="F5F7F9"/>
          </w:tcPr>
          <w:p>
            <w:pPr>
              <w:spacing w:after="40"/>
            </w:pPr>
            <w:r>
              <w:rPr>
                <w:rFonts w:ascii="Times New Roman" w:hAnsi="Times New Roman"/>
                <w:sz w:val="17"/>
              </w:rPr>
              <w:t>RUM [8]</w:t>
            </w:r>
          </w:p>
        </w:tc>
        <w:tc>
          <w:tcPr>
            <w:tcW w:type="dxa" w:w="3456"/>
            <w:vAlign w:val="top"/>
            <w:shd w:fill="F5F7F9"/>
          </w:tcPr>
          <w:p>
            <w:pPr>
              <w:spacing w:after="40"/>
            </w:pPr>
            <w:r>
              <w:rPr>
                <w:rFonts w:ascii="Times New Roman" w:hAnsi="Times New Roman"/>
                <w:sz w:val="17"/>
              </w:rPr>
              <w:t>Shows unlearning difficulty varies by forget-set characteristics; provides CIFAR memorization scores and code.</w:t>
            </w:r>
          </w:p>
        </w:tc>
        <w:tc>
          <w:tcPr>
            <w:tcW w:type="dxa" w:w="3528"/>
            <w:vAlign w:val="top"/>
            <w:shd w:fill="F5F7F9"/>
          </w:tcPr>
          <w:p>
            <w:pPr>
              <w:spacing w:after="40"/>
            </w:pPr>
            <w:r>
              <w:rPr>
                <w:rFonts w:ascii="Times New Roman" w:hAnsi="Times New Roman"/>
                <w:sz w:val="17"/>
              </w:rPr>
              <w:t>We use forget difficulty as an experimental factor rather than proposing RUM itself.</w:t>
            </w:r>
          </w:p>
        </w:tc>
      </w:tr>
      <w:tr>
        <w:trPr>
          <w:cantSplit/>
        </w:trPr>
        <w:tc>
          <w:tcPr>
            <w:tcW w:type="dxa" w:w="2232"/>
            <w:vAlign w:val="top"/>
          </w:tcPr>
          <w:p>
            <w:pPr>
              <w:spacing w:after="40"/>
            </w:pPr>
            <w:r>
              <w:rPr>
                <w:rFonts w:ascii="Times New Roman" w:hAnsi="Times New Roman"/>
                <w:sz w:val="17"/>
              </w:rPr>
              <w:t>TOFU [9]</w:t>
            </w:r>
          </w:p>
        </w:tc>
        <w:tc>
          <w:tcPr>
            <w:tcW w:type="dxa" w:w="3456"/>
            <w:vAlign w:val="top"/>
          </w:tcPr>
          <w:p>
            <w:pPr>
              <w:spacing w:after="40"/>
            </w:pPr>
            <w:r>
              <w:rPr>
                <w:rFonts w:ascii="Times New Roman" w:hAnsi="Times New Roman"/>
                <w:sz w:val="17"/>
              </w:rPr>
              <w:t>Controlled synthetic LLM unlearning benchmark with fictitious facts.</w:t>
            </w:r>
          </w:p>
        </w:tc>
        <w:tc>
          <w:tcPr>
            <w:tcW w:type="dxa" w:w="3528"/>
            <w:vAlign w:val="top"/>
          </w:tcPr>
          <w:p>
            <w:pPr>
              <w:spacing w:after="40"/>
            </w:pPr>
            <w:r>
              <w:rPr>
                <w:rFonts w:ascii="Times New Roman" w:hAnsi="Times New Roman"/>
                <w:sz w:val="17"/>
              </w:rPr>
              <w:t>Supports the legitimacy of synthetic extensions, but our core experiment is vision and retraining-feasible.</w:t>
            </w:r>
          </w:p>
        </w:tc>
      </w:tr>
      <w:tr>
        <w:trPr>
          <w:cantSplit/>
        </w:trPr>
        <w:tc>
          <w:tcPr>
            <w:tcW w:type="dxa" w:w="2232"/>
            <w:vAlign w:val="top"/>
            <w:shd w:fill="F5F7F9"/>
          </w:tcPr>
          <w:p>
            <w:pPr>
              <w:spacing w:after="40"/>
            </w:pPr>
            <w:r>
              <w:rPr>
                <w:rFonts w:ascii="Times New Roman" w:hAnsi="Times New Roman"/>
                <w:sz w:val="17"/>
              </w:rPr>
              <w:t>Robust LLM Evaluation via Transformations [10]</w:t>
            </w:r>
          </w:p>
        </w:tc>
        <w:tc>
          <w:tcPr>
            <w:tcW w:type="dxa" w:w="3456"/>
            <w:vAlign w:val="top"/>
            <w:shd w:fill="F5F7F9"/>
          </w:tcPr>
          <w:p>
            <w:pPr>
              <w:spacing w:after="40"/>
            </w:pPr>
            <w:r>
              <w:rPr>
                <w:rFonts w:ascii="Times New Roman" w:hAnsi="Times New Roman"/>
                <w:sz w:val="17"/>
              </w:rPr>
              <w:t>Shows transformed prompts can expose residual forgotten information.</w:t>
            </w:r>
          </w:p>
        </w:tc>
        <w:tc>
          <w:tcPr>
            <w:tcW w:type="dxa" w:w="3528"/>
            <w:vAlign w:val="top"/>
            <w:shd w:fill="F5F7F9"/>
          </w:tcPr>
          <w:p>
            <w:pPr>
              <w:spacing w:after="40"/>
            </w:pPr>
            <w:r>
              <w:rPr>
                <w:rFonts w:ascii="Times New Roman" w:hAnsi="Times New Roman"/>
                <w:sz w:val="17"/>
              </w:rPr>
              <w:t>Supports the broader principle that one behavioral test may not be robust.</w:t>
            </w:r>
          </w:p>
        </w:tc>
      </w:tr>
      <w:tr>
        <w:trPr>
          <w:cantSplit/>
        </w:trPr>
        <w:tc>
          <w:tcPr>
            <w:tcW w:type="dxa" w:w="2232"/>
            <w:vAlign w:val="top"/>
          </w:tcPr>
          <w:p>
            <w:pPr>
              <w:spacing w:after="40"/>
            </w:pPr>
            <w:r>
              <w:rPr>
                <w:rFonts w:ascii="Times New Roman" w:hAnsi="Times New Roman"/>
                <w:sz w:val="17"/>
              </w:rPr>
              <w:t>MUSE [11]</w:t>
            </w:r>
          </w:p>
        </w:tc>
        <w:tc>
          <w:tcPr>
            <w:tcW w:type="dxa" w:w="3456"/>
            <w:vAlign w:val="top"/>
          </w:tcPr>
          <w:p>
            <w:pPr>
              <w:spacing w:after="40"/>
            </w:pPr>
            <w:r>
              <w:rPr>
                <w:rFonts w:ascii="Times New Roman" w:hAnsi="Times New Roman"/>
                <w:sz w:val="17"/>
              </w:rPr>
              <w:t>Six-way LLM unlearning evaluation including utility, privacy, scalability and sequential deletion.</w:t>
            </w:r>
          </w:p>
        </w:tc>
        <w:tc>
          <w:tcPr>
            <w:tcW w:type="dxa" w:w="3528"/>
            <w:vAlign w:val="top"/>
          </w:tcPr>
          <w:p>
            <w:pPr>
              <w:spacing w:after="40"/>
            </w:pPr>
            <w:r>
              <w:rPr>
                <w:rFonts w:ascii="Times New Roman" w:hAnsi="Times New Roman"/>
                <w:sz w:val="17"/>
              </w:rPr>
              <w:t>Multi-axis evaluation is therefore not our novelty; cross-audit disagreement is the sharper focus.</w:t>
            </w:r>
          </w:p>
        </w:tc>
      </w:tr>
      <w:tr>
        <w:trPr>
          <w:cantSplit/>
        </w:trPr>
        <w:tc>
          <w:tcPr>
            <w:tcW w:type="dxa" w:w="2232"/>
            <w:vAlign w:val="top"/>
            <w:shd w:fill="F5F7F9"/>
          </w:tcPr>
          <w:p>
            <w:pPr>
              <w:spacing w:after="40"/>
            </w:pPr>
            <w:r>
              <w:rPr>
                <w:rFonts w:ascii="Times New Roman" w:hAnsi="Times New Roman"/>
                <w:sz w:val="17"/>
              </w:rPr>
              <w:t>Rethinking Machine Unlearning for LLMs [12]</w:t>
            </w:r>
          </w:p>
        </w:tc>
        <w:tc>
          <w:tcPr>
            <w:tcW w:type="dxa" w:w="3456"/>
            <w:vAlign w:val="top"/>
            <w:shd w:fill="F5F7F9"/>
          </w:tcPr>
          <w:p>
            <w:pPr>
              <w:spacing w:after="40"/>
            </w:pPr>
            <w:r>
              <w:rPr>
                <w:rFonts w:ascii="Times New Roman" w:hAnsi="Times New Roman"/>
                <w:sz w:val="17"/>
              </w:rPr>
              <w:t>Review of current LLM-unlearning challenges and evaluation concerns.</w:t>
            </w:r>
          </w:p>
        </w:tc>
        <w:tc>
          <w:tcPr>
            <w:tcW w:type="dxa" w:w="3528"/>
            <w:vAlign w:val="top"/>
            <w:shd w:fill="F5F7F9"/>
          </w:tcPr>
          <w:p>
            <w:pPr>
              <w:spacing w:after="40"/>
            </w:pPr>
            <w:r>
              <w:rPr>
                <w:rFonts w:ascii="Times New Roman" w:hAnsi="Times New Roman"/>
                <w:sz w:val="17"/>
              </w:rPr>
              <w:t>Provides recent field context and supports cautious claims.</w:t>
            </w:r>
          </w:p>
        </w:tc>
      </w:tr>
      <w:tr>
        <w:trPr>
          <w:cantSplit/>
        </w:trPr>
        <w:tc>
          <w:tcPr>
            <w:tcW w:type="dxa" w:w="2232"/>
            <w:vAlign w:val="top"/>
          </w:tcPr>
          <w:p>
            <w:pPr>
              <w:spacing w:after="40"/>
            </w:pPr>
            <w:r>
              <w:rPr>
                <w:rFonts w:ascii="Times New Roman" w:hAnsi="Times New Roman"/>
                <w:sz w:val="17"/>
              </w:rPr>
              <w:t>Unlearning Isn’t Deletion [13]</w:t>
            </w:r>
          </w:p>
        </w:tc>
        <w:tc>
          <w:tcPr>
            <w:tcW w:type="dxa" w:w="3456"/>
            <w:vAlign w:val="top"/>
          </w:tcPr>
          <w:p>
            <w:pPr>
              <w:spacing w:after="40"/>
            </w:pPr>
            <w:r>
              <w:rPr>
                <w:rFonts w:ascii="Times New Roman" w:hAnsi="Times New Roman"/>
                <w:sz w:val="17"/>
              </w:rPr>
              <w:t>Representation-level and relearning analysis; shows reversibility can reveal suppression.</w:t>
            </w:r>
          </w:p>
        </w:tc>
        <w:tc>
          <w:tcPr>
            <w:tcW w:type="dxa" w:w="3528"/>
            <w:vAlign w:val="top"/>
          </w:tcPr>
          <w:p>
            <w:pPr>
              <w:spacing w:after="40"/>
            </w:pPr>
            <w:r>
              <w:rPr>
                <w:rFonts w:ascii="Times New Roman" w:hAnsi="Times New Roman"/>
                <w:sz w:val="17"/>
              </w:rPr>
              <w:t>Very close philosophically. ForgetCheck adapts the question to a full-retraining-grounded small-model study and focuses on disagreement among audit families.</w:t>
            </w:r>
          </w:p>
        </w:tc>
      </w:tr>
      <w:tr>
        <w:trPr>
          <w:cantSplit/>
        </w:trPr>
        <w:tc>
          <w:tcPr>
            <w:tcW w:type="dxa" w:w="2232"/>
            <w:vAlign w:val="top"/>
            <w:shd w:fill="F5F7F9"/>
          </w:tcPr>
          <w:p>
            <w:pPr>
              <w:spacing w:after="40"/>
            </w:pPr>
            <w:r>
              <w:rPr>
                <w:rFonts w:ascii="Times New Roman" w:hAnsi="Times New Roman"/>
                <w:sz w:val="17"/>
              </w:rPr>
              <w:t>Regularized f-Divergence / Google Audit [14,15]</w:t>
            </w:r>
          </w:p>
        </w:tc>
        <w:tc>
          <w:tcPr>
            <w:tcW w:type="dxa" w:w="3456"/>
            <w:vAlign w:val="top"/>
            <w:shd w:fill="F5F7F9"/>
          </w:tcPr>
          <w:p>
            <w:pPr>
              <w:spacing w:after="40"/>
            </w:pPr>
            <w:r>
              <w:rPr>
                <w:rFonts w:ascii="Times New Roman" w:hAnsi="Times New Roman"/>
                <w:sz w:val="17"/>
              </w:rPr>
              <w:t>Statistical relative-distribution tests for comparing model output distributions.</w:t>
            </w:r>
          </w:p>
        </w:tc>
        <w:tc>
          <w:tcPr>
            <w:tcW w:type="dxa" w:w="3528"/>
            <w:vAlign w:val="top"/>
            <w:shd w:fill="F5F7F9"/>
          </w:tcPr>
          <w:p>
            <w:pPr>
              <w:spacing w:after="40"/>
            </w:pPr>
            <w:r>
              <w:rPr>
                <w:rFonts w:ascii="Times New Roman" w:hAnsi="Times New Roman"/>
                <w:sz w:val="17"/>
              </w:rPr>
              <w:t>Motivates relative original–unlearned–retrained comparison and caution about stochastic retraining.</w:t>
            </w:r>
          </w:p>
        </w:tc>
      </w:tr>
      <w:tr>
        <w:trPr>
          <w:cantSplit/>
        </w:trPr>
        <w:tc>
          <w:tcPr>
            <w:tcW w:type="dxa" w:w="2232"/>
            <w:vAlign w:val="top"/>
          </w:tcPr>
          <w:p>
            <w:pPr>
              <w:spacing w:after="40"/>
            </w:pPr>
            <w:r>
              <w:rPr>
                <w:rFonts w:ascii="Times New Roman" w:hAnsi="Times New Roman"/>
                <w:sz w:val="17"/>
              </w:rPr>
              <w:t>Auditing Machine Unlearning [16]</w:t>
            </w:r>
          </w:p>
        </w:tc>
        <w:tc>
          <w:tcPr>
            <w:tcW w:type="dxa" w:w="3456"/>
            <w:vAlign w:val="top"/>
          </w:tcPr>
          <w:p>
            <w:pPr>
              <w:spacing w:after="40"/>
            </w:pPr>
            <w:r>
              <w:rPr>
                <w:rFonts w:ascii="Times New Roman" w:hAnsi="Times New Roman"/>
                <w:sz w:val="17"/>
              </w:rPr>
              <w:t>General-purpose auditing framework across datasets and unlearning methods.</w:t>
            </w:r>
          </w:p>
        </w:tc>
        <w:tc>
          <w:tcPr>
            <w:tcW w:type="dxa" w:w="3528"/>
            <w:vAlign w:val="top"/>
          </w:tcPr>
          <w:p>
            <w:pPr>
              <w:spacing w:after="40"/>
            </w:pPr>
            <w:r>
              <w:rPr>
                <w:rFonts w:ascii="Times New Roman" w:hAnsi="Times New Roman"/>
                <w:sz w:val="17"/>
              </w:rPr>
              <w:t>Makes it incorrect to claim that ForgetCheck is the first unlearning auditor. We instead study cross-audit consistency and reversibility under controlled retraining references.</w:t>
            </w:r>
          </w:p>
        </w:tc>
      </w:tr>
    </w:tbl>
    <w:p>
      <w:pPr>
        <w:spacing w:after="20"/>
      </w:pPr>
    </w:p>
    <w:p>
      <w:pPr>
        <w:pStyle w:val="Heading1"/>
        <w:keepNext/>
      </w:pPr>
      <w:r>
        <w:t>6. Final Research Gap and Novelty</w:t>
      </w:r>
    </w:p>
    <w:p>
      <w:pPr>
        <w:spacing w:after="120"/>
      </w:pPr>
      <w:r>
        <w:rPr>
          <w:i w:val="0"/>
        </w:rPr>
        <w:t>The novelty claim must be narrow and accurate. The project is not the first unlearning benchmark, not the first to use MIA, not the first to compare with retraining, not the first to study representations and not the first to test relearning. Its research contribution is the controlled study of cross-audit disagreement under a common experimental protocol.</w:t>
      </w:r>
    </w:p>
    <w:tbl>
      <w:tblPr>
        <w:tblStyle w:val="TableGrid"/>
        <w:tblW w:type="auto" w:w="0"/>
        <w:jc w:val="center"/>
        <w:tblLook w:firstColumn="1" w:firstRow="1" w:lastColumn="0" w:lastRow="0" w:noHBand="0" w:noVBand="1" w:val="04A0"/>
      </w:tblPr>
      <w:tblGrid>
        <w:gridCol w:w="9242"/>
      </w:tblGrid>
      <w:tr>
        <w:trPr>
          <w:cantSplit/>
        </w:trPr>
        <w:tc>
          <w:tcPr>
            <w:tcW w:type="dxa" w:w="9242"/>
            <w:shd w:fill="EAF3F8"/>
          </w:tcPr>
          <w:p>
            <w:pPr>
              <w:spacing w:after="60"/>
            </w:pPr>
            <w:r>
              <w:rPr>
                <w:b/>
                <w:color w:val="17324D"/>
                <w:sz w:val="23"/>
              </w:rPr>
              <w:t>Final novelty statement</w:t>
            </w:r>
          </w:p>
          <w:p>
            <w:pPr>
              <w:spacing w:after="20"/>
            </w:pPr>
            <w:r>
              <w:rPr>
                <w:sz w:val="21"/>
              </w:rPr>
              <w:t>The proposed contribution is a retraining-grounded empirical study of cross-audit disagreement: we investigate whether behavioral, membership-privacy, representation and relearning diagnostics reach consistent conclusions across approximate unlearning algorithms and across forget sets of different difficulty.</w:t>
            </w:r>
          </w:p>
        </w:tc>
      </w:tr>
    </w:tbl>
    <w:p>
      <w:pPr>
        <w:spacing w:after="20"/>
      </w:pPr>
    </w:p>
    <w:p>
      <w:pPr>
        <w:spacing w:after="120"/>
      </w:pPr>
      <w:r>
        <w:rPr>
          <w:i w:val="0"/>
        </w:rPr>
        <w:t>A second contribution is the explicit coupling of audit disagreement with forget-set difficulty. Recent literature shows that random deletion sets may be too easy or insufficiently discriminative [7], while RUM demonstrates that unlearning difficulty is influenced by the characteristics of the samples being forgotten [8]. ForgetCheck therefore compares random forget sets with high-memorization/high-influence sets rather than assuming all deletion requests are equally informative.</w:t>
      </w:r>
    </w:p>
    <w:p>
      <w:pPr>
        <w:pStyle w:val="Heading1"/>
        <w:keepNext/>
      </w:pPr>
      <w:r>
        <w:t>7. Research Problem Statement</w:t>
      </w:r>
    </w:p>
    <w:p>
      <w:pPr>
        <w:spacing w:after="120"/>
      </w:pPr>
      <w:r>
        <w:rPr>
          <w:i w:val="0"/>
        </w:rPr>
        <w:t>Approximate machine-unlearning algorithms are commonly evaluated using behavioral performance, privacy attacks, similarity to retrained models or changes in internal representations. However, recent evidence suggests that individual evaluation approaches may provide incomplete or misleading evidence of forgetting, and the apparent difficulty of unlearning depends on the composition of the forget set. This project proposes a retraining-grounded experimental study to determine whether behavioral, membership-privacy, representation-level and relearning audits provide consistent conclusions when evaluating approximate machine-unlearning algorithms under random and high-memorization deletion scenarios.</w:t>
      </w:r>
    </w:p>
    <w:p>
      <w:pPr>
        <w:pStyle w:val="Heading1"/>
        <w:keepNext/>
      </w:pPr>
      <w:r>
        <w:t>8. Objectives, Research Questions and Hypotheses</w:t>
      </w:r>
    </w:p>
    <w:p>
      <w:pPr>
        <w:pStyle w:val="Heading2"/>
        <w:keepNext/>
      </w:pPr>
      <w:r>
        <w:t>8.1 Official Objectives</w:t>
      </w:r>
    </w:p>
    <w:p>
      <w:pPr>
        <w:spacing w:after="60"/>
        <w:ind w:left="403" w:hanging="317"/>
      </w:pPr>
      <w:r>
        <w:rPr>
          <w:b/>
        </w:rPr>
        <w:t xml:space="preserve">1. </w:t>
      </w:r>
      <w:r>
        <w:t>To implement and comparatively evaluate representative approximate machine-unlearning techniques on a standard deep-learning benchmark.</w:t>
      </w:r>
    </w:p>
    <w:p>
      <w:pPr>
        <w:spacing w:after="60"/>
        <w:ind w:left="403" w:hanging="317"/>
      </w:pPr>
      <w:r>
        <w:rPr>
          <w:b/>
        </w:rPr>
        <w:t xml:space="preserve">2. </w:t>
      </w:r>
      <w:r>
        <w:t>To develop a reproducible multi-level audit pipeline covering behavioral performance, retraining similarity, membership privacy, representation changes and relearning behavior.</w:t>
      </w:r>
    </w:p>
    <w:p>
      <w:pPr>
        <w:spacing w:after="60"/>
        <w:ind w:left="403" w:hanging="317"/>
      </w:pPr>
      <w:r>
        <w:rPr>
          <w:b/>
        </w:rPr>
        <w:t xml:space="preserve">3. </w:t>
      </w:r>
      <w:r>
        <w:t>To quantitatively study whether different auditing techniques agree or disagree when ranking machine-unlearning algorithms.</w:t>
      </w:r>
    </w:p>
    <w:p>
      <w:pPr>
        <w:spacing w:after="60"/>
        <w:ind w:left="403" w:hanging="317"/>
      </w:pPr>
      <w:r>
        <w:rPr>
          <w:b/>
        </w:rPr>
        <w:t xml:space="preserve">4. </w:t>
      </w:r>
      <w:r>
        <w:t>To investigate whether audit conclusions change when the forget set consists of randomly selected examples versus high-influence/high-memorization training examples.</w:t>
      </w:r>
    </w:p>
    <w:p>
      <w:pPr>
        <w:spacing w:after="60"/>
        <w:ind w:left="403" w:hanging="317"/>
      </w:pPr>
      <w:r>
        <w:rPr>
          <w:b/>
        </w:rPr>
        <w:t xml:space="preserve">5. </w:t>
      </w:r>
      <w:r>
        <w:t>To analyze the trade-off between forgetting effectiveness, retained model utility, privacy, computational cost and reversibility.</w:t>
      </w:r>
    </w:p>
    <w:p>
      <w:pPr>
        <w:pStyle w:val="Heading2"/>
        <w:keepNext/>
      </w:pPr>
      <w:r>
        <w:t>8.2 Research Questions</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936"/>
            <w:shd w:fill="17324D"/>
            <w:vAlign w:val="center"/>
          </w:tcPr>
          <w:p>
            <w:r>
              <w:rPr>
                <w:rFonts w:ascii="Times New Roman" w:hAnsi="Times New Roman"/>
                <w:b/>
                <w:color w:val="FFFFFF"/>
                <w:sz w:val="19"/>
              </w:rPr>
              <w:t>ID</w:t>
            </w:r>
          </w:p>
        </w:tc>
        <w:tc>
          <w:tcPr>
            <w:tcW w:type="dxa" w:w="8280"/>
            <w:shd w:fill="17324D"/>
            <w:vAlign w:val="center"/>
          </w:tcPr>
          <w:p>
            <w:r>
              <w:rPr>
                <w:rFonts w:ascii="Times New Roman" w:hAnsi="Times New Roman"/>
                <w:b/>
                <w:color w:val="FFFFFF"/>
                <w:sz w:val="19"/>
              </w:rPr>
              <w:t>Research Question</w:t>
            </w:r>
          </w:p>
        </w:tc>
      </w:tr>
      <w:tr>
        <w:trPr>
          <w:cantSplit/>
        </w:trPr>
        <w:tc>
          <w:tcPr>
            <w:tcW w:type="dxa" w:w="936"/>
            <w:vAlign w:val="top"/>
          </w:tcPr>
          <w:p>
            <w:pPr>
              <w:spacing w:after="40"/>
            </w:pPr>
            <w:r>
              <w:rPr>
                <w:rFonts w:ascii="Times New Roman" w:hAnsi="Times New Roman"/>
                <w:sz w:val="19"/>
              </w:rPr>
              <w:t>RQ1</w:t>
            </w:r>
          </w:p>
        </w:tc>
        <w:tc>
          <w:tcPr>
            <w:tcW w:type="dxa" w:w="8280"/>
            <w:vAlign w:val="top"/>
          </w:tcPr>
          <w:p>
            <w:pPr>
              <w:spacing w:after="40"/>
            </w:pPr>
            <w:r>
              <w:rPr>
                <w:rFonts w:ascii="Times New Roman" w:hAnsi="Times New Roman"/>
                <w:sz w:val="19"/>
              </w:rPr>
              <w:t>How closely do approximate unlearning methods reproduce the behavior of a model retrained from scratch without the forgotten data?</w:t>
            </w:r>
          </w:p>
        </w:tc>
      </w:tr>
      <w:tr>
        <w:trPr>
          <w:cantSplit/>
        </w:trPr>
        <w:tc>
          <w:tcPr>
            <w:tcW w:type="dxa" w:w="936"/>
            <w:vAlign w:val="top"/>
            <w:shd w:fill="F5F7F9"/>
          </w:tcPr>
          <w:p>
            <w:pPr>
              <w:spacing w:after="40"/>
            </w:pPr>
            <w:r>
              <w:rPr>
                <w:rFonts w:ascii="Times New Roman" w:hAnsi="Times New Roman"/>
                <w:sz w:val="19"/>
              </w:rPr>
              <w:t>RQ2</w:t>
            </w:r>
          </w:p>
        </w:tc>
        <w:tc>
          <w:tcPr>
            <w:tcW w:type="dxa" w:w="8280"/>
            <w:vAlign w:val="top"/>
            <w:shd w:fill="F5F7F9"/>
          </w:tcPr>
          <w:p>
            <w:pPr>
              <w:spacing w:after="40"/>
            </w:pPr>
            <w:r>
              <w:rPr>
                <w:rFonts w:ascii="Times New Roman" w:hAnsi="Times New Roman"/>
                <w:sz w:val="19"/>
              </w:rPr>
              <w:t>Do behavioral metrics and membership-inference metrics reach the same conclusions regarding successful unlearning?</w:t>
            </w:r>
          </w:p>
        </w:tc>
      </w:tr>
      <w:tr>
        <w:trPr>
          <w:cantSplit/>
        </w:trPr>
        <w:tc>
          <w:tcPr>
            <w:tcW w:type="dxa" w:w="936"/>
            <w:vAlign w:val="top"/>
          </w:tcPr>
          <w:p>
            <w:pPr>
              <w:spacing w:after="40"/>
            </w:pPr>
            <w:r>
              <w:rPr>
                <w:rFonts w:ascii="Times New Roman" w:hAnsi="Times New Roman"/>
                <w:sz w:val="19"/>
              </w:rPr>
              <w:t>RQ3</w:t>
            </w:r>
          </w:p>
        </w:tc>
        <w:tc>
          <w:tcPr>
            <w:tcW w:type="dxa" w:w="8280"/>
            <w:vAlign w:val="top"/>
          </w:tcPr>
          <w:p>
            <w:pPr>
              <w:spacing w:after="40"/>
            </w:pPr>
            <w:r>
              <w:rPr>
                <w:rFonts w:ascii="Times New Roman" w:hAnsi="Times New Roman"/>
                <w:sz w:val="19"/>
              </w:rPr>
              <w:t>Can an apparently successful unlearned model remain more similar internally to the original model than to the retrained oracle?</w:t>
            </w:r>
          </w:p>
        </w:tc>
      </w:tr>
      <w:tr>
        <w:trPr>
          <w:cantSplit/>
        </w:trPr>
        <w:tc>
          <w:tcPr>
            <w:tcW w:type="dxa" w:w="936"/>
            <w:vAlign w:val="top"/>
            <w:shd w:fill="F5F7F9"/>
          </w:tcPr>
          <w:p>
            <w:pPr>
              <w:spacing w:after="40"/>
            </w:pPr>
            <w:r>
              <w:rPr>
                <w:rFonts w:ascii="Times New Roman" w:hAnsi="Times New Roman"/>
                <w:sz w:val="19"/>
              </w:rPr>
              <w:t>RQ4</w:t>
            </w:r>
          </w:p>
        </w:tc>
        <w:tc>
          <w:tcPr>
            <w:tcW w:type="dxa" w:w="8280"/>
            <w:vAlign w:val="top"/>
            <w:shd w:fill="F5F7F9"/>
          </w:tcPr>
          <w:p>
            <w:pPr>
              <w:spacing w:after="40"/>
            </w:pPr>
            <w:r>
              <w:rPr>
                <w:rFonts w:ascii="Times New Roman" w:hAnsi="Times New Roman"/>
                <w:sz w:val="19"/>
              </w:rPr>
              <w:t>Does rapid relearning reveal residual structure not captured by conventional behavioral or privacy metrics?</w:t>
            </w:r>
          </w:p>
        </w:tc>
      </w:tr>
      <w:tr>
        <w:trPr>
          <w:cantSplit/>
        </w:trPr>
        <w:tc>
          <w:tcPr>
            <w:tcW w:type="dxa" w:w="936"/>
            <w:vAlign w:val="top"/>
          </w:tcPr>
          <w:p>
            <w:pPr>
              <w:spacing w:after="40"/>
            </w:pPr>
            <w:r>
              <w:rPr>
                <w:rFonts w:ascii="Times New Roman" w:hAnsi="Times New Roman"/>
                <w:sz w:val="19"/>
              </w:rPr>
              <w:t>RQ5</w:t>
            </w:r>
          </w:p>
        </w:tc>
        <w:tc>
          <w:tcPr>
            <w:tcW w:type="dxa" w:w="8280"/>
            <w:vAlign w:val="top"/>
          </w:tcPr>
          <w:p>
            <w:pPr>
              <w:spacing w:after="40"/>
            </w:pPr>
            <w:r>
              <w:rPr>
                <w:rFonts w:ascii="Times New Roman" w:hAnsi="Times New Roman"/>
                <w:sz w:val="19"/>
              </w:rPr>
              <w:t>Does audit disagreement become greater for high-memorization / influential forget sets than for randomly selected forget sets?</w:t>
            </w:r>
          </w:p>
        </w:tc>
      </w:tr>
    </w:tbl>
    <w:p>
      <w:pPr>
        <w:spacing w:after="20"/>
      </w:pPr>
    </w:p>
    <w:p>
      <w:pPr>
        <w:pStyle w:val="Heading2"/>
        <w:keepNext/>
      </w:pPr>
      <w:r>
        <w:t>8.3 Working Hypotheses</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936"/>
            <w:shd w:fill="17324D"/>
            <w:vAlign w:val="center"/>
          </w:tcPr>
          <w:p>
            <w:r>
              <w:rPr>
                <w:rFonts w:ascii="Times New Roman" w:hAnsi="Times New Roman"/>
                <w:b/>
                <w:color w:val="FFFFFF"/>
                <w:sz w:val="19"/>
              </w:rPr>
              <w:t>ID</w:t>
            </w:r>
          </w:p>
        </w:tc>
        <w:tc>
          <w:tcPr>
            <w:tcW w:type="dxa" w:w="8280"/>
            <w:shd w:fill="17324D"/>
            <w:vAlign w:val="center"/>
          </w:tcPr>
          <w:p>
            <w:r>
              <w:rPr>
                <w:rFonts w:ascii="Times New Roman" w:hAnsi="Times New Roman"/>
                <w:b/>
                <w:color w:val="FFFFFF"/>
                <w:sz w:val="19"/>
              </w:rPr>
              <w:t>Hypothesis</w:t>
            </w:r>
          </w:p>
        </w:tc>
      </w:tr>
      <w:tr>
        <w:trPr>
          <w:cantSplit/>
        </w:trPr>
        <w:tc>
          <w:tcPr>
            <w:tcW w:type="dxa" w:w="936"/>
            <w:vAlign w:val="top"/>
          </w:tcPr>
          <w:p>
            <w:pPr>
              <w:spacing w:after="40"/>
            </w:pPr>
            <w:r>
              <w:rPr>
                <w:rFonts w:ascii="Times New Roman" w:hAnsi="Times New Roman"/>
                <w:sz w:val="19"/>
              </w:rPr>
              <w:t>H1</w:t>
            </w:r>
          </w:p>
        </w:tc>
        <w:tc>
          <w:tcPr>
            <w:tcW w:type="dxa" w:w="8280"/>
            <w:vAlign w:val="top"/>
          </w:tcPr>
          <w:p>
            <w:pPr>
              <w:spacing w:after="40"/>
            </w:pPr>
            <w:r>
              <w:rPr>
                <w:rFonts w:ascii="Times New Roman" w:hAnsi="Times New Roman"/>
                <w:sz w:val="19"/>
              </w:rPr>
              <w:t>Some approximate unlearning algorithms that perform well under output-level evaluation will remain distinguishable from full retraining under representation-level analysis.</w:t>
            </w:r>
          </w:p>
        </w:tc>
      </w:tr>
      <w:tr>
        <w:trPr>
          <w:cantSplit/>
        </w:trPr>
        <w:tc>
          <w:tcPr>
            <w:tcW w:type="dxa" w:w="936"/>
            <w:vAlign w:val="top"/>
            <w:shd w:fill="F5F7F9"/>
          </w:tcPr>
          <w:p>
            <w:pPr>
              <w:spacing w:after="40"/>
            </w:pPr>
            <w:r>
              <w:rPr>
                <w:rFonts w:ascii="Times New Roman" w:hAnsi="Times New Roman"/>
                <w:sz w:val="19"/>
              </w:rPr>
              <w:t>H2</w:t>
            </w:r>
          </w:p>
        </w:tc>
        <w:tc>
          <w:tcPr>
            <w:tcW w:type="dxa" w:w="8280"/>
            <w:vAlign w:val="top"/>
            <w:shd w:fill="F5F7F9"/>
          </w:tcPr>
          <w:p>
            <w:pPr>
              <w:spacing w:after="40"/>
            </w:pPr>
            <w:r>
              <w:rPr>
                <w:rFonts w:ascii="Times New Roman" w:hAnsi="Times New Roman"/>
                <w:sz w:val="19"/>
              </w:rPr>
              <w:t>Membership-inference success and behavioral similarity will not always rank unlearning algorithms identically.</w:t>
            </w:r>
          </w:p>
        </w:tc>
      </w:tr>
      <w:tr>
        <w:trPr>
          <w:cantSplit/>
        </w:trPr>
        <w:tc>
          <w:tcPr>
            <w:tcW w:type="dxa" w:w="936"/>
            <w:vAlign w:val="top"/>
          </w:tcPr>
          <w:p>
            <w:pPr>
              <w:spacing w:after="40"/>
            </w:pPr>
            <w:r>
              <w:rPr>
                <w:rFonts w:ascii="Times New Roman" w:hAnsi="Times New Roman"/>
                <w:sz w:val="19"/>
              </w:rPr>
              <w:t>H3</w:t>
            </w:r>
          </w:p>
        </w:tc>
        <w:tc>
          <w:tcPr>
            <w:tcW w:type="dxa" w:w="8280"/>
            <w:vAlign w:val="top"/>
          </w:tcPr>
          <w:p>
            <w:pPr>
              <w:spacing w:after="40"/>
            </w:pPr>
            <w:r>
              <w:rPr>
                <w:rFonts w:ascii="Times New Roman" w:hAnsi="Times New Roman"/>
                <w:sz w:val="19"/>
              </w:rPr>
              <w:t>Models retaining representations closer to the original model may exhibit faster relearning than models whose representations more closely resemble the retrained oracle.</w:t>
            </w:r>
          </w:p>
        </w:tc>
      </w:tr>
      <w:tr>
        <w:trPr>
          <w:cantSplit/>
        </w:trPr>
        <w:tc>
          <w:tcPr>
            <w:tcW w:type="dxa" w:w="936"/>
            <w:vAlign w:val="top"/>
            <w:shd w:fill="F5F7F9"/>
          </w:tcPr>
          <w:p>
            <w:pPr>
              <w:spacing w:after="40"/>
            </w:pPr>
            <w:r>
              <w:rPr>
                <w:rFonts w:ascii="Times New Roman" w:hAnsi="Times New Roman"/>
                <w:sz w:val="19"/>
              </w:rPr>
              <w:t>H4</w:t>
            </w:r>
          </w:p>
        </w:tc>
        <w:tc>
          <w:tcPr>
            <w:tcW w:type="dxa" w:w="8280"/>
            <w:vAlign w:val="top"/>
            <w:shd w:fill="F5F7F9"/>
          </w:tcPr>
          <w:p>
            <w:pPr>
              <w:spacing w:after="40"/>
            </w:pPr>
            <w:r>
              <w:rPr>
                <w:rFonts w:ascii="Times New Roman" w:hAnsi="Times New Roman"/>
                <w:sz w:val="19"/>
              </w:rPr>
              <w:t>High-memorization / influential forget sets will reveal larger differences among unlearning algorithms than equally sized randomly selected forget sets.</w:t>
            </w:r>
          </w:p>
        </w:tc>
      </w:tr>
    </w:tbl>
    <w:p>
      <w:pPr>
        <w:spacing w:after="20"/>
      </w:pPr>
    </w:p>
    <w:tbl>
      <w:tblPr>
        <w:tblStyle w:val="TableGrid"/>
        <w:tblW w:type="auto" w:w="0"/>
        <w:jc w:val="center"/>
        <w:tblLook w:firstColumn="1" w:firstRow="1" w:lastColumn="0" w:lastRow="0" w:noHBand="0" w:noVBand="1" w:val="04A0"/>
      </w:tblPr>
      <w:tblGrid>
        <w:gridCol w:w="9242"/>
      </w:tblGrid>
      <w:tr>
        <w:trPr>
          <w:cantSplit/>
        </w:trPr>
        <w:tc>
          <w:tcPr>
            <w:tcW w:type="dxa" w:w="9242"/>
            <w:shd w:fill="FFF4D6"/>
          </w:tcPr>
          <w:p>
            <w:pPr>
              <w:spacing w:after="60"/>
            </w:pPr>
            <w:r>
              <w:rPr>
                <w:b/>
                <w:color w:val="17324D"/>
                <w:sz w:val="23"/>
              </w:rPr>
              <w:t>Scientific integrity rule</w:t>
            </w:r>
          </w:p>
          <w:p>
            <w:pPr>
              <w:spacing w:after="20"/>
            </w:pPr>
            <w:r>
              <w:rPr>
                <w:sz w:val="21"/>
              </w:rPr>
              <w:t>The hypotheses are testable propositions, not desired outcomes. Agreement across all audits would also be a valid result and could imply that simpler audits are sufficient in the studied small-model setting.</w:t>
            </w:r>
          </w:p>
        </w:tc>
      </w:tr>
    </w:tbl>
    <w:p>
      <w:pPr>
        <w:spacing w:after="20"/>
      </w:pPr>
    </w:p>
    <w:p>
      <w:pPr>
        <w:pStyle w:val="Heading1"/>
        <w:keepNext/>
      </w:pPr>
      <w:r>
        <w:t>9. Scope and Out-of-Scope Boundaries</w:t>
      </w:r>
    </w:p>
    <w:p>
      <w:pPr>
        <w:pStyle w:val="Heading2"/>
        <w:keepNext/>
      </w:pPr>
      <w:r>
        <w:t>9.1 In Scope</w:t>
      </w:r>
    </w:p>
    <w:p>
      <w:pPr>
        <w:pStyle w:val="ListBullet"/>
        <w:spacing w:after="60"/>
        <w:ind w:left="346"/>
      </w:pPr>
      <w:r>
        <w:t>CIFAR-10 as the primary benchmark and ResNet-18 as the primary architecture.</w:t>
      </w:r>
    </w:p>
    <w:p>
      <w:pPr>
        <w:pStyle w:val="ListBullet"/>
        <w:spacing w:after="60"/>
        <w:ind w:left="346"/>
      </w:pPr>
      <w:r>
        <w:t>Approximate post-hoc machine-unlearning methods with different mechanisms.</w:t>
      </w:r>
    </w:p>
    <w:p>
      <w:pPr>
        <w:pStyle w:val="ListBullet"/>
        <w:spacing w:after="60"/>
        <w:ind w:left="346"/>
      </w:pPr>
      <w:r>
        <w:t>Full retraining as a practical oracle/reference for the selected small-scale experiments.</w:t>
      </w:r>
    </w:p>
    <w:p>
      <w:pPr>
        <w:pStyle w:val="ListBullet"/>
        <w:spacing w:after="60"/>
        <w:ind w:left="346"/>
      </w:pPr>
      <w:r>
        <w:t>Behavioral, privacy, representation-level and relearning audits.</w:t>
      </w:r>
    </w:p>
    <w:p>
      <w:pPr>
        <w:pStyle w:val="ListBullet"/>
        <w:spacing w:after="60"/>
        <w:ind w:left="346"/>
      </w:pPr>
      <w:r>
        <w:t>Random deletion fractions and a high-memorization/high-influence deletion condition.</w:t>
      </w:r>
    </w:p>
    <w:p>
      <w:pPr>
        <w:pStyle w:val="ListBullet"/>
        <w:spacing w:after="60"/>
        <w:ind w:left="346"/>
      </w:pPr>
      <w:r>
        <w:t>Multi-seed experiments, uncertainty reporting and rank/disagreement analysis.</w:t>
      </w:r>
    </w:p>
    <w:p>
      <w:pPr>
        <w:pStyle w:val="ListBullet"/>
        <w:spacing w:after="60"/>
        <w:ind w:left="346"/>
      </w:pPr>
      <w:r>
        <w:t>A reproducible codebase plus a Streamlit demonstration dashboard.</w:t>
      </w:r>
    </w:p>
    <w:p>
      <w:pPr>
        <w:pStyle w:val="Heading2"/>
        <w:keepNext/>
      </w:pPr>
      <w:r>
        <w:t>9.2 Explicitly Out of Scope</w:t>
      </w:r>
    </w:p>
    <w:p>
      <w:pPr>
        <w:pStyle w:val="ListBullet"/>
        <w:spacing w:after="60"/>
        <w:ind w:left="346"/>
      </w:pPr>
      <w:r>
        <w:t>Formal proof that every trace of a sample has been removed from arbitrary neural-network weights.</w:t>
      </w:r>
    </w:p>
    <w:p>
      <w:pPr>
        <w:pStyle w:val="ListBullet"/>
        <w:spacing w:after="60"/>
        <w:ind w:left="346"/>
      </w:pPr>
      <w:r>
        <w:t>Certified unlearning for arbitrary deep networks.</w:t>
      </w:r>
    </w:p>
    <w:p>
      <w:pPr>
        <w:pStyle w:val="ListBullet"/>
        <w:spacing w:after="60"/>
        <w:ind w:left="346"/>
      </w:pPr>
      <w:r>
        <w:t>Training a large language model from scratch.</w:t>
      </w:r>
    </w:p>
    <w:p>
      <w:pPr>
        <w:pStyle w:val="ListBullet"/>
        <w:spacing w:after="60"/>
        <w:ind w:left="346"/>
      </w:pPr>
      <w:r>
        <w:t>Cryptographic proof-of-unlearning or trusted-hardware attestation.</w:t>
      </w:r>
    </w:p>
    <w:p>
      <w:pPr>
        <w:pStyle w:val="ListBullet"/>
        <w:spacing w:after="60"/>
        <w:ind w:left="346"/>
      </w:pPr>
      <w:r>
        <w:t>Legal certification of GDPR compliance.</w:t>
      </w:r>
    </w:p>
    <w:p>
      <w:pPr>
        <w:pStyle w:val="ListBullet"/>
        <w:spacing w:after="60"/>
        <w:ind w:left="346"/>
      </w:pPr>
      <w:r>
        <w:t>Benchmarking large numbers of architectures or datasets at the cost of audit depth.</w:t>
      </w:r>
    </w:p>
    <w:p>
      <w:pPr>
        <w:pStyle w:val="ListBullet"/>
        <w:spacing w:after="60"/>
        <w:ind w:left="346"/>
      </w:pPr>
      <w:r>
        <w:t>Claiming that a passing membership-inference attack alone proves successful deletion.</w:t>
      </w:r>
    </w:p>
    <w:p>
      <w:pPr>
        <w:pStyle w:val="Heading1"/>
        <w:keepNext/>
      </w:pPr>
      <w:r>
        <w:t>10. Experimental Architecture</w:t>
      </w:r>
    </w:p>
    <w:p>
      <w:pPr>
        <w:spacing w:after="120"/>
      </w:pPr>
      <w:r>
        <w:rPr>
          <w:i w:val="0"/>
        </w:rPr>
        <w:t>Every primary experiment contains three model states: an original model M0 trained on all data, an unlearned model Mu produced by an approximate unlearning algorithm, and a retrained oracle Mr trained from scratch without the forget set. The audit stage compares Mu to both M0 and Mr. This three-way structure prevents the project from treating a single degraded output as evidence of successful forgetting.</w:t>
      </w:r>
    </w:p>
    <w:p>
      <w:pPr>
        <w:jc w:val="center"/>
      </w:pPr>
      <w:r>
        <w:drawing>
          <wp:inline xmlns:a="http://schemas.openxmlformats.org/drawingml/2006/main" xmlns:pic="http://schemas.openxmlformats.org/drawingml/2006/picture">
            <wp:extent cx="5989320" cy="3388389"/>
            <wp:docPr id="1" name="Picture 1"/>
            <wp:cNvGraphicFramePr>
              <a:graphicFrameLocks noChangeAspect="1"/>
            </wp:cNvGraphicFramePr>
            <a:graphic>
              <a:graphicData uri="http://schemas.openxmlformats.org/drawingml/2006/picture">
                <pic:pic>
                  <pic:nvPicPr>
                    <pic:cNvPr id="0" name="forgetcheck_architecture.png"/>
                    <pic:cNvPicPr/>
                  </pic:nvPicPr>
                  <pic:blipFill>
                    <a:blip r:embed="rId11"/>
                    <a:stretch>
                      <a:fillRect/>
                    </a:stretch>
                  </pic:blipFill>
                  <pic:spPr>
                    <a:xfrm>
                      <a:off x="0" y="0"/>
                      <a:ext cx="5989320" cy="3388389"/>
                    </a:xfrm>
                    <a:prstGeom prst="rect"/>
                  </pic:spPr>
                </pic:pic>
              </a:graphicData>
            </a:graphic>
          </wp:inline>
        </w:drawing>
      </w:r>
    </w:p>
    <w:p>
      <w:pPr>
        <w:jc w:val="center"/>
      </w:pPr>
      <w:r>
        <w:rPr>
          <w:i/>
          <w:sz w:val="19"/>
        </w:rPr>
        <w:t>Figure 1. Core ForgetCheck experimental architecture.</w:t>
      </w:r>
    </w:p>
    <w:p>
      <w:pPr>
        <w:spacing w:after="120"/>
      </w:pPr>
      <w:r>
        <w:rPr>
          <w:i w:val="0"/>
        </w:rPr>
        <w:t>The retrained model is not a competitor that approximate methods need to “beat.” It represents the counterfactual behavior we would obtain if the forget set had never participated in training. Approximate methods are evaluated by how closely they approach this behavior while requiring less computational effort.</w:t>
      </w:r>
    </w:p>
    <w:p>
      <w:pPr>
        <w:pStyle w:val="Heading1"/>
        <w:keepNext/>
      </w:pPr>
      <w:r>
        <w:t>11. Dataset and Model Decisions</w:t>
      </w:r>
    </w:p>
    <w:p>
      <w:pPr>
        <w:pStyle w:val="Heading2"/>
        <w:keepNext/>
      </w:pPr>
      <w:r>
        <w:t>11.1 Primary Dataset: CIFAR-10</w:t>
      </w:r>
    </w:p>
    <w:p>
      <w:pPr>
        <w:spacing w:after="120"/>
      </w:pPr>
      <w:r>
        <w:rPr>
          <w:i w:val="0"/>
        </w:rPr>
        <w:t>CIFAR-10 is the primary benchmark because it is standard, small enough to support repeated retraining, widely supported by PyTorch/torchvision, used in the NeurIPS Machine Unlearning Competition starter code [17], and compatible with publicly released memorization scores from RUM [8]. These properties are unusually valuable for a project whose main scientific requirement is repeated, controlled comparison against retraining.</w:t>
      </w:r>
    </w:p>
    <w:p>
      <w:pPr>
        <w:pStyle w:val="ListBullet"/>
        <w:spacing w:after="60"/>
        <w:ind w:left="346"/>
      </w:pPr>
      <w:r>
        <w:rPr>
          <w:b/>
        </w:rPr>
        <w:t xml:space="preserve">Dataset size: </w:t>
      </w:r>
      <w:r>
        <w:t>60,000 color images in 10 classes; 50,000 standard training images and 10,000 test images.</w:t>
      </w:r>
    </w:p>
    <w:p>
      <w:pPr>
        <w:pStyle w:val="ListBullet"/>
        <w:spacing w:after="60"/>
        <w:ind w:left="346"/>
      </w:pPr>
      <w:r>
        <w:rPr>
          <w:b/>
        </w:rPr>
        <w:t xml:space="preserve">Role in project: </w:t>
      </w:r>
      <w:r>
        <w:t>Primary dataset for all core experiments.</w:t>
      </w:r>
    </w:p>
    <w:p>
      <w:pPr>
        <w:pStyle w:val="ListBullet"/>
        <w:spacing w:after="60"/>
        <w:ind w:left="346"/>
      </w:pPr>
      <w:r>
        <w:rPr>
          <w:b/>
        </w:rPr>
        <w:t xml:space="preserve">Reason for choice: </w:t>
      </w:r>
      <w:r>
        <w:t>Strong reproducibility, manageable compute and existing unlearning infrastructure.</w:t>
      </w:r>
    </w:p>
    <w:p>
      <w:pPr>
        <w:pStyle w:val="ListBullet"/>
        <w:spacing w:after="60"/>
        <w:ind w:left="346"/>
      </w:pPr>
      <w:r>
        <w:rPr>
          <w:b/>
        </w:rPr>
        <w:t xml:space="preserve">Data source: </w:t>
      </w:r>
      <w:r>
        <w:t>torchvision.datasets.CIFAR10 or the official CIFAR distribution.</w:t>
      </w:r>
    </w:p>
    <w:p>
      <w:pPr>
        <w:pStyle w:val="Heading2"/>
        <w:keepNext/>
      </w:pPr>
      <w:r>
        <w:t>11.2 Secondary Dataset: CIFAR-100</w:t>
      </w:r>
    </w:p>
    <w:p>
      <w:pPr>
        <w:spacing w:after="120"/>
      </w:pPr>
      <w:r>
        <w:rPr>
          <w:i w:val="0"/>
        </w:rPr>
        <w:t>CIFAR-100 is optional secondary validation. It should be attempted only after the complete CIFAR-10 pipeline is stable. If time becomes limited, secondary-dataset breadth should be dropped before any of the core audit families are dropped.</w:t>
      </w:r>
    </w:p>
    <w:p>
      <w:pPr>
        <w:pStyle w:val="Heading2"/>
        <w:keepNext/>
      </w:pPr>
      <w:r>
        <w:t>11.3 Synthetic Data Policy</w:t>
      </w:r>
    </w:p>
    <w:p>
      <w:pPr>
        <w:spacing w:after="120"/>
      </w:pPr>
      <w:r>
        <w:rPr>
          <w:i w:val="0"/>
        </w:rPr>
        <w:t>Synthetic data is academically acceptable when it serves a controlled research purpose. TOFU is an important precedent because it deliberately constructs fictitious author profiles to make LLM unlearning ground truth precise [9]. For ForgetCheck, synthetic data should be an optional extension rather than the sole benchmark. A possible user-level simulation assigns image groups to synthetic users and then deletes all examples associated with one user. Random user assignment alone is weak; a stronger extension would create user-specific acquisition patterns or perturbations so that user deletion represents a structured signal.</w:t>
      </w:r>
    </w:p>
    <w:p>
      <w:pPr>
        <w:pStyle w:val="Heading2"/>
        <w:keepNext/>
      </w:pPr>
      <w:r>
        <w:t>11.4 Primary Model: ResNet-18</w:t>
      </w:r>
    </w:p>
    <w:p>
      <w:pPr>
        <w:spacing w:after="120"/>
      </w:pPr>
      <w:r>
        <w:rPr>
          <w:i w:val="0"/>
        </w:rPr>
        <w:t>ResNet-18 is the primary model because it is well understood, computationally manageable, sufficiently deep for layer-wise representation analysis and easy to instrument for intermediate activations. The project should use one architecture first; architecture comparison is not the central research question.</w:t>
      </w:r>
    </w:p>
    <w:p>
      <w:pPr>
        <w:pStyle w:val="Heading1"/>
        <w:keepNext/>
      </w:pPr>
      <w:r>
        <w:t>12. Unlearning Methods</w:t>
      </w:r>
    </w:p>
    <w:p>
      <w:pPr>
        <w:spacing w:after="120"/>
      </w:pPr>
      <w:r>
        <w:rPr>
          <w:i w:val="0"/>
        </w:rPr>
        <w:t>Four core approximate methods are selected to provide mechanistic diversity without turning the semester into a reproduction exercise. The precise hyperparameters will be frozen only after pilot experiments and should be logged per run.</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2016"/>
            <w:shd w:fill="17324D"/>
            <w:vAlign w:val="center"/>
          </w:tcPr>
          <w:p>
            <w:r>
              <w:rPr>
                <w:rFonts w:ascii="Times New Roman" w:hAnsi="Times New Roman"/>
                <w:b/>
                <w:color w:val="FFFFFF"/>
                <w:sz w:val="18"/>
              </w:rPr>
              <w:t>Method</w:t>
            </w:r>
          </w:p>
        </w:tc>
        <w:tc>
          <w:tcPr>
            <w:tcW w:type="dxa" w:w="3600"/>
            <w:shd w:fill="17324D"/>
            <w:vAlign w:val="center"/>
          </w:tcPr>
          <w:p>
            <w:r>
              <w:rPr>
                <w:rFonts w:ascii="Times New Roman" w:hAnsi="Times New Roman"/>
                <w:b/>
                <w:color w:val="FFFFFF"/>
                <w:sz w:val="18"/>
              </w:rPr>
              <w:t>Mechanism</w:t>
            </w:r>
          </w:p>
        </w:tc>
        <w:tc>
          <w:tcPr>
            <w:tcW w:type="dxa" w:w="3744"/>
            <w:shd w:fill="17324D"/>
            <w:vAlign w:val="center"/>
          </w:tcPr>
          <w:p>
            <w:r>
              <w:rPr>
                <w:rFonts w:ascii="Times New Roman" w:hAnsi="Times New Roman"/>
                <w:b/>
                <w:color w:val="FFFFFF"/>
                <w:sz w:val="18"/>
              </w:rPr>
              <w:t>Why Included</w:t>
            </w:r>
          </w:p>
        </w:tc>
      </w:tr>
      <w:tr>
        <w:trPr>
          <w:cantSplit/>
        </w:trPr>
        <w:tc>
          <w:tcPr>
            <w:tcW w:type="dxa" w:w="2016"/>
            <w:vAlign w:val="top"/>
          </w:tcPr>
          <w:p>
            <w:pPr>
              <w:spacing w:after="40"/>
            </w:pPr>
            <w:r>
              <w:rPr>
                <w:rFonts w:ascii="Times New Roman" w:hAnsi="Times New Roman"/>
                <w:sz w:val="18"/>
              </w:rPr>
              <w:t>Fine-tuning</w:t>
            </w:r>
          </w:p>
        </w:tc>
        <w:tc>
          <w:tcPr>
            <w:tcW w:type="dxa" w:w="3600"/>
            <w:vAlign w:val="top"/>
          </w:tcPr>
          <w:p>
            <w:pPr>
              <w:spacing w:after="40"/>
            </w:pPr>
            <w:r>
              <w:rPr>
                <w:rFonts w:ascii="Times New Roman" w:hAnsi="Times New Roman"/>
                <w:sz w:val="18"/>
              </w:rPr>
              <w:t>Continue training M0 on the retain set R only.</w:t>
            </w:r>
          </w:p>
        </w:tc>
        <w:tc>
          <w:tcPr>
            <w:tcW w:type="dxa" w:w="3744"/>
            <w:vAlign w:val="top"/>
          </w:tcPr>
          <w:p>
            <w:pPr>
              <w:spacing w:after="40"/>
            </w:pPr>
            <w:r>
              <w:rPr>
                <w:rFonts w:ascii="Times New Roman" w:hAnsi="Times New Roman"/>
                <w:sz w:val="18"/>
              </w:rPr>
              <w:t>Very simple practical baseline. Tests whether exposure to retained data alone is sufficient to move the model toward retraining.</w:t>
            </w:r>
          </w:p>
        </w:tc>
      </w:tr>
      <w:tr>
        <w:trPr>
          <w:cantSplit/>
        </w:trPr>
        <w:tc>
          <w:tcPr>
            <w:tcW w:type="dxa" w:w="2016"/>
            <w:vAlign w:val="top"/>
            <w:shd w:fill="F5F7F9"/>
          </w:tcPr>
          <w:p>
            <w:pPr>
              <w:spacing w:after="40"/>
            </w:pPr>
            <w:r>
              <w:rPr>
                <w:rFonts w:ascii="Times New Roman" w:hAnsi="Times New Roman"/>
                <w:sz w:val="18"/>
              </w:rPr>
              <w:t>Negative Gradient / Gradient Ascent</w:t>
            </w:r>
          </w:p>
        </w:tc>
        <w:tc>
          <w:tcPr>
            <w:tcW w:type="dxa" w:w="3600"/>
            <w:vAlign w:val="top"/>
            <w:shd w:fill="F5F7F9"/>
          </w:tcPr>
          <w:p>
            <w:pPr>
              <w:spacing w:after="40"/>
            </w:pPr>
            <w:r>
              <w:rPr>
                <w:rFonts w:ascii="Times New Roman" w:hAnsi="Times New Roman"/>
                <w:sz w:val="18"/>
              </w:rPr>
              <w:t>Update the model in the direction that increases loss on the forget set, optionally with retained-data regularization.</w:t>
            </w:r>
          </w:p>
        </w:tc>
        <w:tc>
          <w:tcPr>
            <w:tcW w:type="dxa" w:w="3744"/>
            <w:vAlign w:val="top"/>
            <w:shd w:fill="F5F7F9"/>
          </w:tcPr>
          <w:p>
            <w:pPr>
              <w:spacing w:after="40"/>
            </w:pPr>
            <w:r>
              <w:rPr>
                <w:rFonts w:ascii="Times New Roman" w:hAnsi="Times New Roman"/>
                <w:sz w:val="18"/>
              </w:rPr>
              <w:t>Can strongly degrade forget performance, making it ideal for testing whether “looks forgotten” is actually retraining-like or merely destructive.</w:t>
            </w:r>
          </w:p>
        </w:tc>
      </w:tr>
      <w:tr>
        <w:trPr>
          <w:cantSplit/>
        </w:trPr>
        <w:tc>
          <w:tcPr>
            <w:tcW w:type="dxa" w:w="2016"/>
            <w:vAlign w:val="top"/>
          </w:tcPr>
          <w:p>
            <w:pPr>
              <w:spacing w:after="40"/>
            </w:pPr>
            <w:r>
              <w:rPr>
                <w:rFonts w:ascii="Times New Roman" w:hAnsi="Times New Roman"/>
                <w:sz w:val="18"/>
              </w:rPr>
              <w:t>SCRUB [4]</w:t>
            </w:r>
          </w:p>
        </w:tc>
        <w:tc>
          <w:tcPr>
            <w:tcW w:type="dxa" w:w="3600"/>
            <w:vAlign w:val="top"/>
          </w:tcPr>
          <w:p>
            <w:pPr>
              <w:spacing w:after="40"/>
            </w:pPr>
            <w:r>
              <w:rPr>
                <w:rFonts w:ascii="Times New Roman" w:hAnsi="Times New Roman"/>
                <w:sz w:val="18"/>
              </w:rPr>
              <w:t>Teacher/student style unlearning that preserves behavior on retained data while disrupting forgotten behavior.</w:t>
            </w:r>
          </w:p>
        </w:tc>
        <w:tc>
          <w:tcPr>
            <w:tcW w:type="dxa" w:w="3744"/>
            <w:vAlign w:val="top"/>
          </w:tcPr>
          <w:p>
            <w:pPr>
              <w:spacing w:after="40"/>
            </w:pPr>
            <w:r>
              <w:rPr>
                <w:rFonts w:ascii="Times New Roman" w:hAnsi="Times New Roman"/>
                <w:sz w:val="18"/>
              </w:rPr>
              <w:t>Strong published baseline with public code and MIA-oriented evaluation.</w:t>
            </w:r>
          </w:p>
        </w:tc>
      </w:tr>
      <w:tr>
        <w:trPr>
          <w:cantSplit/>
        </w:trPr>
        <w:tc>
          <w:tcPr>
            <w:tcW w:type="dxa" w:w="2016"/>
            <w:vAlign w:val="top"/>
            <w:shd w:fill="F5F7F9"/>
          </w:tcPr>
          <w:p>
            <w:pPr>
              <w:spacing w:after="40"/>
            </w:pPr>
            <w:r>
              <w:rPr>
                <w:rFonts w:ascii="Times New Roman" w:hAnsi="Times New Roman"/>
                <w:sz w:val="18"/>
              </w:rPr>
              <w:t>Selective Synaptic Dampening (SSD) [6]</w:t>
            </w:r>
          </w:p>
        </w:tc>
        <w:tc>
          <w:tcPr>
            <w:tcW w:type="dxa" w:w="3600"/>
            <w:vAlign w:val="top"/>
            <w:shd w:fill="F5F7F9"/>
          </w:tcPr>
          <w:p>
            <w:pPr>
              <w:spacing w:after="40"/>
            </w:pPr>
            <w:r>
              <w:rPr>
                <w:rFonts w:ascii="Times New Roman" w:hAnsi="Times New Roman"/>
                <w:sz w:val="18"/>
              </w:rPr>
              <w:t>Identify parameters disproportionately important to the forget set using importance/Fisher-style signals, then selectively dampen them.</w:t>
            </w:r>
          </w:p>
        </w:tc>
        <w:tc>
          <w:tcPr>
            <w:tcW w:type="dxa" w:w="3744"/>
            <w:vAlign w:val="top"/>
            <w:shd w:fill="F5F7F9"/>
          </w:tcPr>
          <w:p>
            <w:pPr>
              <w:spacing w:after="40"/>
            </w:pPr>
            <w:r>
              <w:rPr>
                <w:rFonts w:ascii="Times New Roman" w:hAnsi="Times New Roman"/>
                <w:sz w:val="18"/>
              </w:rPr>
              <w:t>Mechanistically distinct, fast post-hoc unlearning method with official code.</w:t>
            </w:r>
          </w:p>
        </w:tc>
      </w:tr>
    </w:tbl>
    <w:p>
      <w:pPr>
        <w:spacing w:after="20"/>
      </w:pPr>
    </w:p>
    <w:p>
      <w:pPr>
        <w:spacing w:after="120"/>
      </w:pPr>
      <w:r>
        <w:rPr>
          <w:i w:val="0"/>
        </w:rPr>
        <w:t>Optional fifth method: the Incompetent Teacher approach [3]. It should only be added after the four core methods and all audit modules are stable.</w:t>
      </w:r>
    </w:p>
    <w:p>
      <w:pPr>
        <w:pStyle w:val="Heading1"/>
        <w:keepNext/>
      </w:pPr>
      <w:r>
        <w:t>13. Forget-Set Design</w:t>
      </w:r>
    </w:p>
    <w:p>
      <w:pPr>
        <w:spacing w:after="120"/>
      </w:pPr>
      <w:r>
        <w:rPr>
          <w:i w:val="0"/>
        </w:rPr>
        <w:t>Forget-set design is a deliberate independent variable. Recent research shows that randomly chosen examples can be insufficiently discriminative and that the characteristics of the deleted samples change unlearning difficulty [7], [8].</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1944"/>
            <w:shd w:fill="17324D"/>
            <w:vAlign w:val="center"/>
          </w:tcPr>
          <w:p>
            <w:r>
              <w:rPr>
                <w:rFonts w:ascii="Times New Roman" w:hAnsi="Times New Roman"/>
                <w:b/>
                <w:color w:val="FFFFFF"/>
                <w:sz w:val="18"/>
              </w:rPr>
              <w:t>Condition</w:t>
            </w:r>
          </w:p>
        </w:tc>
        <w:tc>
          <w:tcPr>
            <w:tcW w:type="dxa" w:w="3888"/>
            <w:shd w:fill="17324D"/>
            <w:vAlign w:val="center"/>
          </w:tcPr>
          <w:p>
            <w:r>
              <w:rPr>
                <w:rFonts w:ascii="Times New Roman" w:hAnsi="Times New Roman"/>
                <w:b/>
                <w:color w:val="FFFFFF"/>
                <w:sz w:val="18"/>
              </w:rPr>
              <w:t>Definition</w:t>
            </w:r>
          </w:p>
        </w:tc>
        <w:tc>
          <w:tcPr>
            <w:tcW w:type="dxa" w:w="3528"/>
            <w:shd w:fill="17324D"/>
            <w:vAlign w:val="center"/>
          </w:tcPr>
          <w:p>
            <w:r>
              <w:rPr>
                <w:rFonts w:ascii="Times New Roman" w:hAnsi="Times New Roman"/>
                <w:b/>
                <w:color w:val="FFFFFF"/>
                <w:sz w:val="18"/>
              </w:rPr>
              <w:t>Purpose</w:t>
            </w:r>
          </w:p>
        </w:tc>
      </w:tr>
      <w:tr>
        <w:trPr>
          <w:cantSplit/>
        </w:trPr>
        <w:tc>
          <w:tcPr>
            <w:tcW w:type="dxa" w:w="1944"/>
            <w:vAlign w:val="top"/>
          </w:tcPr>
          <w:p>
            <w:pPr>
              <w:spacing w:after="40"/>
            </w:pPr>
            <w:r>
              <w:rPr>
                <w:rFonts w:ascii="Times New Roman" w:hAnsi="Times New Roman"/>
                <w:sz w:val="18"/>
              </w:rPr>
              <w:t>Random 1%</w:t>
            </w:r>
          </w:p>
        </w:tc>
        <w:tc>
          <w:tcPr>
            <w:tcW w:type="dxa" w:w="3888"/>
            <w:vAlign w:val="top"/>
          </w:tcPr>
          <w:p>
            <w:pPr>
              <w:spacing w:after="40"/>
            </w:pPr>
            <w:r>
              <w:rPr>
                <w:rFonts w:ascii="Times New Roman" w:hAnsi="Times New Roman"/>
                <w:sz w:val="18"/>
              </w:rPr>
              <w:t>Randomly select 1% of training examples for F.</w:t>
            </w:r>
          </w:p>
        </w:tc>
        <w:tc>
          <w:tcPr>
            <w:tcW w:type="dxa" w:w="3528"/>
            <w:vAlign w:val="top"/>
          </w:tcPr>
          <w:p>
            <w:pPr>
              <w:spacing w:after="40"/>
            </w:pPr>
            <w:r>
              <w:rPr>
                <w:rFonts w:ascii="Times New Roman" w:hAnsi="Times New Roman"/>
                <w:sz w:val="18"/>
              </w:rPr>
              <w:t>Low-volume deletion baseline.</w:t>
            </w:r>
          </w:p>
        </w:tc>
      </w:tr>
      <w:tr>
        <w:trPr>
          <w:cantSplit/>
        </w:trPr>
        <w:tc>
          <w:tcPr>
            <w:tcW w:type="dxa" w:w="1944"/>
            <w:vAlign w:val="top"/>
            <w:shd w:fill="F5F7F9"/>
          </w:tcPr>
          <w:p>
            <w:pPr>
              <w:spacing w:after="40"/>
            </w:pPr>
            <w:r>
              <w:rPr>
                <w:rFonts w:ascii="Times New Roman" w:hAnsi="Times New Roman"/>
                <w:sz w:val="18"/>
              </w:rPr>
              <w:t>Random 5%</w:t>
            </w:r>
          </w:p>
        </w:tc>
        <w:tc>
          <w:tcPr>
            <w:tcW w:type="dxa" w:w="3888"/>
            <w:vAlign w:val="top"/>
            <w:shd w:fill="F5F7F9"/>
          </w:tcPr>
          <w:p>
            <w:pPr>
              <w:spacing w:after="40"/>
            </w:pPr>
            <w:r>
              <w:rPr>
                <w:rFonts w:ascii="Times New Roman" w:hAnsi="Times New Roman"/>
                <w:sz w:val="18"/>
              </w:rPr>
              <w:t>Randomly select 5% of training examples for F.</w:t>
            </w:r>
          </w:p>
        </w:tc>
        <w:tc>
          <w:tcPr>
            <w:tcW w:type="dxa" w:w="3528"/>
            <w:vAlign w:val="top"/>
            <w:shd w:fill="F5F7F9"/>
          </w:tcPr>
          <w:p>
            <w:pPr>
              <w:spacing w:after="40"/>
            </w:pPr>
            <w:r>
              <w:rPr>
                <w:rFonts w:ascii="Times New Roman" w:hAnsi="Times New Roman"/>
                <w:sz w:val="18"/>
              </w:rPr>
              <w:t>Primary middle-scale condition.</w:t>
            </w:r>
          </w:p>
        </w:tc>
      </w:tr>
      <w:tr>
        <w:trPr>
          <w:cantSplit/>
        </w:trPr>
        <w:tc>
          <w:tcPr>
            <w:tcW w:type="dxa" w:w="1944"/>
            <w:vAlign w:val="top"/>
          </w:tcPr>
          <w:p>
            <w:pPr>
              <w:spacing w:after="40"/>
            </w:pPr>
            <w:r>
              <w:rPr>
                <w:rFonts w:ascii="Times New Roman" w:hAnsi="Times New Roman"/>
                <w:sz w:val="18"/>
              </w:rPr>
              <w:t>Random 10%</w:t>
            </w:r>
          </w:p>
        </w:tc>
        <w:tc>
          <w:tcPr>
            <w:tcW w:type="dxa" w:w="3888"/>
            <w:vAlign w:val="top"/>
          </w:tcPr>
          <w:p>
            <w:pPr>
              <w:spacing w:after="40"/>
            </w:pPr>
            <w:r>
              <w:rPr>
                <w:rFonts w:ascii="Times New Roman" w:hAnsi="Times New Roman"/>
                <w:sz w:val="18"/>
              </w:rPr>
              <w:t>Randomly select 10% of training examples for F.</w:t>
            </w:r>
          </w:p>
        </w:tc>
        <w:tc>
          <w:tcPr>
            <w:tcW w:type="dxa" w:w="3528"/>
            <w:vAlign w:val="top"/>
          </w:tcPr>
          <w:p>
            <w:pPr>
              <w:spacing w:after="40"/>
            </w:pPr>
            <w:r>
              <w:rPr>
                <w:rFonts w:ascii="Times New Roman" w:hAnsi="Times New Roman"/>
                <w:sz w:val="18"/>
              </w:rPr>
              <w:t>Scalability / stress condition.</w:t>
            </w:r>
          </w:p>
        </w:tc>
      </w:tr>
      <w:tr>
        <w:trPr>
          <w:cantSplit/>
        </w:trPr>
        <w:tc>
          <w:tcPr>
            <w:tcW w:type="dxa" w:w="1944"/>
            <w:vAlign w:val="top"/>
            <w:shd w:fill="F5F7F9"/>
          </w:tcPr>
          <w:p>
            <w:pPr>
              <w:spacing w:after="40"/>
            </w:pPr>
            <w:r>
              <w:rPr>
                <w:rFonts w:ascii="Times New Roman" w:hAnsi="Times New Roman"/>
                <w:sz w:val="18"/>
              </w:rPr>
              <w:t>High-memorization 5%</w:t>
            </w:r>
          </w:p>
        </w:tc>
        <w:tc>
          <w:tcPr>
            <w:tcW w:type="dxa" w:w="3888"/>
            <w:vAlign w:val="top"/>
            <w:shd w:fill="F5F7F9"/>
          </w:tcPr>
          <w:p>
            <w:pPr>
              <w:spacing w:after="40"/>
            </w:pPr>
            <w:r>
              <w:rPr>
                <w:rFonts w:ascii="Times New Roman" w:hAnsi="Times New Roman"/>
                <w:sz w:val="18"/>
              </w:rPr>
              <w:t>Select 5% using high memorization / influence proxies; use released CIFAR-10 memorization scores where practical [8].</w:t>
            </w:r>
          </w:p>
        </w:tc>
        <w:tc>
          <w:tcPr>
            <w:tcW w:type="dxa" w:w="3528"/>
            <w:vAlign w:val="top"/>
            <w:shd w:fill="F5F7F9"/>
          </w:tcPr>
          <w:p>
            <w:pPr>
              <w:spacing w:after="40"/>
            </w:pPr>
            <w:r>
              <w:rPr>
                <w:rFonts w:ascii="Times New Roman" w:hAnsi="Times New Roman"/>
                <w:sz w:val="18"/>
              </w:rPr>
              <w:t>Hard condition intended to make original-vs-retrained differences more discriminative.</w:t>
            </w:r>
          </w:p>
        </w:tc>
      </w:tr>
    </w:tbl>
    <w:p>
      <w:pPr>
        <w:spacing w:after="20"/>
      </w:pPr>
    </w:p>
    <w:p>
      <w:pPr>
        <w:spacing w:after="120"/>
      </w:pPr>
      <w:r>
        <w:rPr>
          <w:i w:val="0"/>
        </w:rPr>
        <w:t>Optional structured/user-level deletion can be added later, but it must not replace the random-versus-hard comparison because the latter is directly tied to the primary research gap.</w:t>
      </w:r>
    </w:p>
    <w:p>
      <w:pPr>
        <w:pStyle w:val="Heading1"/>
        <w:keepNext/>
      </w:pPr>
      <w:r>
        <w:t>14. ForgetCheck Audit Architecture</w:t>
      </w:r>
    </w:p>
    <w:p>
      <w:pPr>
        <w:spacing w:after="120"/>
      </w:pPr>
      <w:r>
        <w:rPr>
          <w:i w:val="0"/>
        </w:rPr>
        <w:t>ForgetCheck is deliberately layered. Each audit tests a different failure mode. A deeper audit is not treated as magic proof; it provides an additional, partially independent view. The central outcome is whether these views agree.</w:t>
      </w:r>
    </w:p>
    <w:p>
      <w:pPr>
        <w:jc w:val="center"/>
      </w:pPr>
      <w:r>
        <w:drawing>
          <wp:inline xmlns:a="http://schemas.openxmlformats.org/drawingml/2006/main" xmlns:pic="http://schemas.openxmlformats.org/drawingml/2006/picture">
            <wp:extent cx="5394960" cy="5273663"/>
            <wp:docPr id="2" name="Picture 2"/>
            <wp:cNvGraphicFramePr>
              <a:graphicFrameLocks noChangeAspect="1"/>
            </wp:cNvGraphicFramePr>
            <a:graphic>
              <a:graphicData uri="http://schemas.openxmlformats.org/drawingml/2006/picture">
                <pic:pic>
                  <pic:nvPicPr>
                    <pic:cNvPr id="0" name="forgetcheck_audit_ladder.png"/>
                    <pic:cNvPicPr/>
                  </pic:nvPicPr>
                  <pic:blipFill>
                    <a:blip r:embed="rId12"/>
                    <a:stretch>
                      <a:fillRect/>
                    </a:stretch>
                  </pic:blipFill>
                  <pic:spPr>
                    <a:xfrm>
                      <a:off x="0" y="0"/>
                      <a:ext cx="5394960" cy="5273663"/>
                    </a:xfrm>
                    <a:prstGeom prst="rect"/>
                  </pic:spPr>
                </pic:pic>
              </a:graphicData>
            </a:graphic>
          </wp:inline>
        </w:drawing>
      </w:r>
    </w:p>
    <w:p>
      <w:pPr>
        <w:jc w:val="center"/>
      </w:pPr>
      <w:r>
        <w:rPr>
          <w:i/>
          <w:sz w:val="19"/>
        </w:rPr>
        <w:t>Figure 2. Audit ladder used by ForgetCheck.</w:t>
      </w:r>
    </w:p>
    <w:p>
      <w:pPr>
        <w:pStyle w:val="Heading2"/>
        <w:keepNext/>
      </w:pPr>
      <w:r>
        <w:t>14.1 Audit Layer 1 — Retained Utility</w:t>
      </w:r>
    </w:p>
    <w:p>
      <w:pPr>
        <w:spacing w:after="120"/>
      </w:pPr>
      <w:r>
        <w:rPr>
          <w:i w:val="0"/>
        </w:rPr>
        <w:t>The first check asks whether the unlearning method simply damaged the model. A method that destroys normal capability can easily appear to have forgotten the target data. Retained utility therefore acts as a safety condition on every other forgetting claim.</w:t>
      </w:r>
    </w:p>
    <w:p>
      <w:pPr>
        <w:pStyle w:val="ListBullet"/>
        <w:spacing w:after="60"/>
        <w:ind w:left="346"/>
      </w:pPr>
      <w:r>
        <w:t>Test-set accuracy</w:t>
      </w:r>
    </w:p>
    <w:p>
      <w:pPr>
        <w:pStyle w:val="ListBullet"/>
        <w:spacing w:after="60"/>
        <w:ind w:left="346"/>
      </w:pPr>
      <w:r>
        <w:t>Retain-set accuracy</w:t>
      </w:r>
    </w:p>
    <w:p>
      <w:pPr>
        <w:pStyle w:val="ListBullet"/>
        <w:spacing w:after="60"/>
        <w:ind w:left="346"/>
      </w:pPr>
      <w:r>
        <w:t>Macro-F1</w:t>
      </w:r>
    </w:p>
    <w:p>
      <w:pPr>
        <w:pStyle w:val="ListBullet"/>
        <w:spacing w:after="60"/>
        <w:ind w:left="346"/>
      </w:pPr>
      <w:r>
        <w:t>Cross-entropy loss</w:t>
      </w:r>
    </w:p>
    <w:p>
      <w:pPr>
        <w:pStyle w:val="ListBullet"/>
        <w:spacing w:after="60"/>
        <w:ind w:left="346"/>
      </w:pPr>
      <w:r>
        <w:t>Optional confidence/calibration diagnostics</w:t>
      </w:r>
    </w:p>
    <w:tbl>
      <w:tblPr>
        <w:tblStyle w:val="TableGrid"/>
        <w:tblW w:type="auto" w:w="0"/>
        <w:jc w:val="center"/>
        <w:tblLook w:firstColumn="1" w:firstRow="1" w:lastColumn="0" w:lastRow="0" w:noHBand="0" w:noVBand="1" w:val="04A0"/>
      </w:tblPr>
      <w:tblGrid>
        <w:gridCol w:w="9242"/>
      </w:tblGrid>
      <w:tr>
        <w:trPr>
          <w:cantSplit/>
        </w:trPr>
        <w:tc>
          <w:tcPr>
            <w:tcW w:type="dxa" w:w="9242"/>
            <w:shd w:fill="FDE9D9"/>
          </w:tcPr>
          <w:p>
            <w:pPr>
              <w:spacing w:after="60"/>
            </w:pPr>
            <w:r>
              <w:rPr>
                <w:b/>
                <w:color w:val="17324D"/>
                <w:sz w:val="23"/>
              </w:rPr>
              <w:t>Interpretation</w:t>
            </w:r>
          </w:p>
          <w:p>
            <w:pPr>
              <w:spacing w:after="20"/>
            </w:pPr>
            <w:r>
              <w:rPr>
                <w:sz w:val="21"/>
              </w:rPr>
              <w:t>A method with excellent forget-set degradation but severe retained/test degradation is not “strong unlearning”; it is potentially catastrophic model damage.</w:t>
            </w:r>
          </w:p>
        </w:tc>
      </w:tr>
    </w:tbl>
    <w:p>
      <w:pPr>
        <w:spacing w:after="20"/>
      </w:pPr>
    </w:p>
    <w:p>
      <w:pPr>
        <w:pStyle w:val="Heading2"/>
        <w:keepNext/>
      </w:pPr>
      <w:r>
        <w:t>14.2 Audit Layer 1B — Forget-Set Behavior</w:t>
      </w:r>
    </w:p>
    <w:p>
      <w:pPr>
        <w:spacing w:after="120"/>
      </w:pPr>
      <w:r>
        <w:rPr>
          <w:i w:val="0"/>
        </w:rPr>
        <w:t>Measure the behavior of M0, Mu and Mr on F. The key comparison is Mu versus Mr, not simply whether Mu becomes wrong. For each sample, store predicted class, loss, confidence and full output distribution. This allows later separation of “changed output” from “retraining-consistent output.”</w:t>
      </w:r>
    </w:p>
    <w:p>
      <w:pPr>
        <w:pStyle w:val="Heading2"/>
        <w:keepNext/>
      </w:pPr>
      <w:r>
        <w:t>14.3 Audit Layer 1C — Output-Distribution Similarity</w:t>
      </w:r>
    </w:p>
    <w:p>
      <w:pPr>
        <w:spacing w:after="120"/>
      </w:pPr>
      <w:r>
        <w:rPr>
          <w:i w:val="0"/>
        </w:rPr>
        <w:t>For the same inputs, compare the probability or logit distributions produced by M0, Mu and Mr. Useful metrics include Jensen-Shannon divergence, prediction agreement and logit-space distance. KL divergence can be used carefully when numerical stability and support assumptions are satisfied.</w:t>
      </w:r>
    </w:p>
    <w:p>
      <w:pPr>
        <w:spacing w:after="120"/>
      </w:pPr>
      <w:r>
        <w:rPr>
          <w:i w:val="0"/>
        </w:rPr>
        <w:t>The directional intuition is that Mu should move away from M0 and toward Mr on the aspects affected by deletion. Recent relative-distribution auditing research further motivates comparing all three distributions rather than treating one retrained model as an absolute deterministic truth [14], [15].</w:t>
      </w:r>
    </w:p>
    <w:p>
      <w:pPr>
        <w:pStyle w:val="Heading2"/>
        <w:keepNext/>
      </w:pPr>
      <w:r>
        <w:t>14.4 Audit Layer 2 — Membership Inference</w:t>
      </w:r>
    </w:p>
    <w:p>
      <w:pPr>
        <w:spacing w:after="120"/>
      </w:pPr>
      <w:r>
        <w:rPr>
          <w:i w:val="0"/>
        </w:rPr>
        <w:t>Membership inference asks whether an attacker can distinguish former training members from non-members using model behavior such as loss, confidence or entropy. For forgotten samples, successful unlearning should ideally make their membership characteristics resemble those of a model that never trained on them. SCRUB and the NeurIPS challenge already use MIA-style evaluation, so MIA is a baseline audit rather than a novel contribution [4], [17].</w:t>
      </w:r>
    </w:p>
    <w:p>
      <w:pPr>
        <w:pStyle w:val="ListBullet"/>
        <w:spacing w:after="60"/>
        <w:ind w:left="346"/>
      </w:pPr>
      <w:r>
        <w:t>ROC-AUC</w:t>
      </w:r>
    </w:p>
    <w:p>
      <w:pPr>
        <w:pStyle w:val="ListBullet"/>
        <w:spacing w:after="60"/>
        <w:ind w:left="346"/>
      </w:pPr>
      <w:r>
        <w:t>Attack accuracy</w:t>
      </w:r>
    </w:p>
    <w:p>
      <w:pPr>
        <w:pStyle w:val="ListBullet"/>
        <w:spacing w:after="60"/>
        <w:ind w:left="346"/>
      </w:pPr>
      <w:r>
        <w:t>Optional TPR at fixed low FPR</w:t>
      </w:r>
    </w:p>
    <w:p>
      <w:pPr>
        <w:pStyle w:val="ListBullet"/>
        <w:spacing w:after="60"/>
        <w:ind w:left="346"/>
      </w:pPr>
      <w:r>
        <w:t>Difference from retrained-oracle attack performance</w:t>
      </w:r>
    </w:p>
    <w:tbl>
      <w:tblPr>
        <w:tblStyle w:val="TableGrid"/>
        <w:tblW w:type="auto" w:w="0"/>
        <w:jc w:val="center"/>
        <w:tblLook w:firstColumn="1" w:firstRow="1" w:lastColumn="0" w:lastRow="0" w:noHBand="0" w:noVBand="1" w:val="04A0"/>
      </w:tblPr>
      <w:tblGrid>
        <w:gridCol w:w="9242"/>
      </w:tblGrid>
      <w:tr>
        <w:trPr>
          <w:cantSplit/>
        </w:trPr>
        <w:tc>
          <w:tcPr>
            <w:tcW w:type="dxa" w:w="9242"/>
            <w:shd w:fill="FFF4D6"/>
          </w:tcPr>
          <w:p>
            <w:pPr>
              <w:spacing w:after="60"/>
            </w:pPr>
            <w:r>
              <w:rPr>
                <w:b/>
                <w:color w:val="17324D"/>
                <w:sz w:val="23"/>
              </w:rPr>
              <w:t>Important limitation</w:t>
            </w:r>
          </w:p>
          <w:p>
            <w:pPr>
              <w:spacing w:after="20"/>
            </w:pPr>
            <w:r>
              <w:rPr>
                <w:sz w:val="21"/>
              </w:rPr>
              <w:t>A weak or failed membership-inference attack does not prove that the model erased the sample. It only shows that this attack, under this protocol, could not reliably exploit a membership signal.</w:t>
            </w:r>
          </w:p>
        </w:tc>
      </w:tr>
    </w:tbl>
    <w:p>
      <w:pPr>
        <w:spacing w:after="20"/>
      </w:pPr>
    </w:p>
    <w:p>
      <w:pPr>
        <w:pStyle w:val="Heading2"/>
        <w:keepNext/>
      </w:pPr>
      <w:r>
        <w:t>14.5 Audit Layer 3 — Representation-Level Analysis</w:t>
      </w:r>
    </w:p>
    <w:p>
      <w:pPr>
        <w:spacing w:after="120"/>
      </w:pPr>
      <w:r>
        <w:rPr>
          <w:i w:val="0"/>
        </w:rPr>
        <w:t>Internal activations are collected from selected ResNet stages for the same probe examples across M0, Mu and Mr. The purpose is not to assert that representation similarity equals privacy leakage. Rather, it asks whether an unlearned model that looks retraining-like at the output level still remains internally much closer to the original model than to retraining.</w:t>
      </w:r>
    </w:p>
    <w:p>
      <w:pPr>
        <w:pStyle w:val="ListBullet"/>
        <w:spacing w:after="60"/>
        <w:ind w:left="346"/>
      </w:pPr>
      <w:r>
        <w:rPr>
          <w:b/>
        </w:rPr>
        <w:t xml:space="preserve">Layer-wise CKA: </w:t>
      </w:r>
      <w:r>
        <w:t>Centered Kernel Alignment provides a scale- and basis-robust way to compare representation geometry between models.</w:t>
      </w:r>
    </w:p>
    <w:p>
      <w:pPr>
        <w:pStyle w:val="ListBullet"/>
        <w:spacing w:after="60"/>
        <w:ind w:left="346"/>
      </w:pPr>
      <w:r>
        <w:rPr>
          <w:b/>
        </w:rPr>
        <w:t xml:space="preserve">Activation distance: </w:t>
      </w:r>
      <w:r>
        <w:t>Cosine or Euclidean summary distances can complement CKA for direct feature shifts.</w:t>
      </w:r>
    </w:p>
    <w:p>
      <w:pPr>
        <w:pStyle w:val="ListBullet"/>
        <w:spacing w:after="60"/>
        <w:ind w:left="346"/>
      </w:pPr>
      <w:r>
        <w:rPr>
          <w:b/>
        </w:rPr>
        <w:t xml:space="preserve">PCA visualization: </w:t>
      </w:r>
      <w:r>
        <w:t>Useful for presentation and exploratory analysis, but not a standalone proof.</w:t>
      </w:r>
    </w:p>
    <w:p>
      <w:pPr>
        <w:pStyle w:val="ListBullet"/>
        <w:spacing w:after="60"/>
        <w:ind w:left="346"/>
      </w:pPr>
      <w:r>
        <w:rPr>
          <w:b/>
        </w:rPr>
        <w:t xml:space="preserve">Probe-set separation: </w:t>
      </w:r>
      <w:r>
        <w:t>Analyze forget, retain and held-out test examples separately when interpreting representation changes.</w:t>
      </w:r>
    </w:p>
    <w:p>
      <w:pPr>
        <w:spacing w:after="120"/>
      </w:pPr>
      <w:r>
        <w:rPr>
          <w:i w:val="0"/>
        </w:rPr>
        <w:t>Recent representation-level unlearning work uses tools such as PCA, CKA and Fisher information and demonstrates that task-level collapse can coexist with recoverable internal structure [13]. ForgetCheck therefore uses these tools as diagnostics rather than claiming to invent them.</w:t>
      </w:r>
    </w:p>
    <w:p>
      <w:pPr>
        <w:pStyle w:val="Heading2"/>
        <w:keepNext/>
      </w:pPr>
      <w:r>
        <w:t>14.6 Why Linear Probing Is Optional, Not Core</w:t>
      </w:r>
    </w:p>
    <w:p>
      <w:pPr>
        <w:spacing w:after="120"/>
      </w:pPr>
      <w:r>
        <w:rPr>
          <w:i w:val="0"/>
        </w:rPr>
        <w:t>A linear probe can be misleading for ordinary instance deletion. If one dog image is forgotten, it is perfectly legitimate for the network to retain a representation of the general “dog” concept. Therefore a probe that still decodes dog-versus-cat is not proof that the specific image remains memorized. Linear probes become more meaningful for class unlearning or synthetic user-specific attributes. They are an optional extension, not a mandatory core audit.</w:t>
      </w:r>
    </w:p>
    <w:p>
      <w:pPr>
        <w:pStyle w:val="Heading2"/>
        <w:keepNext/>
      </w:pPr>
      <w:r>
        <w:t>14.7 Audit Layer 4 — Relearning / Reversibility</w:t>
      </w:r>
    </w:p>
    <w:p>
      <w:pPr>
        <w:spacing w:after="120"/>
      </w:pPr>
      <w:r>
        <w:rPr>
          <w:i w:val="0"/>
        </w:rPr>
        <w:t>Relearning tests whether apparently forgotten behavior can be reacquired unusually quickly. Starting separately from Mu and Mr, both models are fine-tuned under exactly the same controlled protocol using a small, specified reintroduction of forgotten information. Performance is recorded at fixed steps, for example 0, 1, 5, 10, 25 and 50 updates.</w:t>
      </w:r>
    </w:p>
    <w:p>
      <w:pPr>
        <w:pStyle w:val="ListBullet"/>
        <w:spacing w:after="60"/>
        <w:ind w:left="346"/>
      </w:pPr>
      <w:r>
        <w:rPr>
          <w:b/>
        </w:rPr>
        <w:t xml:space="preserve">Steps-to-recovery (e.g., T80): </w:t>
      </w:r>
      <w:r>
        <w:t>Number of updates required to recover 80% of a defined original forget-set performance level.</w:t>
      </w:r>
    </w:p>
    <w:p>
      <w:pPr>
        <w:pStyle w:val="ListBullet"/>
        <w:spacing w:after="60"/>
        <w:ind w:left="346"/>
      </w:pPr>
      <w:r>
        <w:rPr>
          <w:b/>
        </w:rPr>
        <w:t xml:space="preserve">Area under the relearning curve: </w:t>
      </w:r>
      <w:r>
        <w:t>Summarizes how rapidly performance returns across the complete fine-tuning trajectory.</w:t>
      </w:r>
    </w:p>
    <w:p>
      <w:pPr>
        <w:pStyle w:val="ListBullet"/>
        <w:spacing w:after="60"/>
        <w:ind w:left="346"/>
      </w:pPr>
      <w:r>
        <w:rPr>
          <w:b/>
        </w:rPr>
        <w:t xml:space="preserve">Relative recovery: </w:t>
      </w:r>
      <w:r>
        <w:t>Compare Mu and Mr under identical data, optimizer and learning-rate settings.</w:t>
      </w:r>
    </w:p>
    <w:p>
      <w:pPr>
        <w:pStyle w:val="ListBullet"/>
        <w:spacing w:after="60"/>
        <w:ind w:left="346"/>
      </w:pPr>
      <w:r>
        <w:rPr>
          <w:b/>
        </w:rPr>
        <w:t xml:space="preserve">Utility check: </w:t>
      </w:r>
      <w:r>
        <w:t>Confirm that the relearning procedure does not simply create global model collapse or artificial imbalance.</w:t>
      </w:r>
    </w:p>
    <w:p>
      <w:pPr>
        <w:spacing w:after="120"/>
      </w:pPr>
      <w:r>
        <w:rPr>
          <w:i w:val="0"/>
        </w:rPr>
        <w:t>If Mu recovers much faster than Mr under a controlled protocol, that is evidence consistent with residual recoverable structure. It is not by itself a formal proof of memorization. This caution mirrors current reversibility research [13].</w:t>
      </w:r>
    </w:p>
    <w:p>
      <w:pPr>
        <w:pStyle w:val="Heading2"/>
        <w:keepNext/>
      </w:pPr>
      <w:r>
        <w:t>14.8 Audit Layer 4B — Stress Conditions</w:t>
      </w:r>
    </w:p>
    <w:p>
      <w:pPr>
        <w:pStyle w:val="ListBullet"/>
        <w:spacing w:after="60"/>
        <w:ind w:left="346"/>
      </w:pPr>
      <w:r>
        <w:t>Deletion-size stress: compare 1%, 5% and 10%.</w:t>
      </w:r>
    </w:p>
    <w:p>
      <w:pPr>
        <w:pStyle w:val="ListBullet"/>
        <w:spacing w:after="60"/>
        <w:ind w:left="346"/>
      </w:pPr>
      <w:r>
        <w:t>Forget-difficulty stress: compare random 5% with high-memorization 5%.</w:t>
      </w:r>
    </w:p>
    <w:p>
      <w:pPr>
        <w:pStyle w:val="ListBullet"/>
        <w:spacing w:after="60"/>
        <w:ind w:left="346"/>
      </w:pPr>
      <w:r>
        <w:t>Optional sequential deletion: add only after core experiments; MUSE identifies successive removal as a relevant challenge [11].</w:t>
      </w:r>
    </w:p>
    <w:p>
      <w:pPr>
        <w:pStyle w:val="Heading1"/>
        <w:keepNext/>
      </w:pPr>
      <w:r>
        <w:t>15. Cross-Audit Disagreement Analysis</w:t>
      </w:r>
    </w:p>
    <w:p>
      <w:pPr>
        <w:spacing w:after="120"/>
      </w:pPr>
      <w:r>
        <w:rPr>
          <w:i w:val="0"/>
        </w:rPr>
        <w:t>This section contains the project’s most distinctive analysis. Each unlearning method receives separate audit scores, but the paper is not merely a scoreboard. We ask whether method rankings and pass/fail conclusions remain stable across audit families.</w:t>
      </w:r>
    </w:p>
    <w:p>
      <w:pPr>
        <w:pStyle w:val="Heading2"/>
        <w:keepNext/>
      </w:pPr>
      <w:r>
        <w:t>15.1 Method Ranking</w:t>
      </w:r>
    </w:p>
    <w:p>
      <w:pPr>
        <w:spacing w:after="120"/>
      </w:pPr>
      <w:r>
        <w:rPr>
          <w:i w:val="0"/>
        </w:rPr>
        <w:t>For each experimental setting, rank the unlearning methods separately under behavioral similarity, membership privacy, representation similarity and relearning resistance. The direction of “better” must be defined before analysis and normalized relative to retraining where necessary.</w:t>
      </w:r>
    </w:p>
    <w:p>
      <w:pPr>
        <w:pStyle w:val="Heading2"/>
        <w:keepNext/>
      </w:pPr>
      <w:r>
        <w:t>15.2 Rank Correlation</w:t>
      </w:r>
    </w:p>
    <w:p>
      <w:pPr>
        <w:spacing w:after="120"/>
      </w:pPr>
      <w:r>
        <w:rPr>
          <w:i w:val="0"/>
        </w:rPr>
        <w:t>Kendall’s tau is recommended as the primary rank-agreement statistic because the number of methods is small and rank order is the object of interest. Spearman correlation can be reported as a secondary check. Example comparisons include behavior vs privacy, behavior vs representation, privacy vs relearning, and representation vs relearning.</w:t>
      </w:r>
    </w:p>
    <w:p>
      <w:pPr>
        <w:pStyle w:val="Heading2"/>
        <w:keepNext/>
      </w:pPr>
      <w:r>
        <w:t>15.3 Pass/Fail Disagreement</w:t>
      </w:r>
    </w:p>
    <w:p>
      <w:pPr>
        <w:spacing w:after="120"/>
      </w:pPr>
      <w:r>
        <w:rPr>
          <w:i w:val="0"/>
        </w:rPr>
        <w:t>For selected metrics, define pass/fail bands relative to the stochastic retraining reference rather than arbitrary absolute thresholds. Then compute the percentage of model–setting combinations for which two audits give contradictory verdicts. Thresholds should be calibrated using the variation among independent retrained models wherever practical.</w:t>
      </w:r>
    </w:p>
    <w:p>
      <w:pPr>
        <w:pStyle w:val="Heading2"/>
        <w:keepNext/>
      </w:pPr>
      <w:r>
        <w:t>15.4 Normalized Oracle Gap</w:t>
      </w:r>
    </w:p>
    <w:p>
      <w:pPr>
        <w:spacing w:after="120"/>
      </w:pPr>
      <w:r>
        <w:rPr>
          <w:i w:val="0"/>
        </w:rPr>
        <w:t>For a scalar metric m, a convenient internal normalization is Gm = |m(Mu) − m(Mr)| / (|m(M0) − m(Mr)| + ε). G near 0 means the unlearned model is close to retraining on that metric; G near 1 means little progress relative to the original; values above 1 mean the model moved farther from retraining. This is a project-level analysis device, not a claimed new theoretical metric.</w:t>
      </w:r>
    </w:p>
    <w:tbl>
      <w:tblPr>
        <w:tblStyle w:val="TableGrid"/>
        <w:tblW w:type="auto" w:w="0"/>
        <w:jc w:val="center"/>
        <w:tblLook w:firstColumn="1" w:firstRow="1" w:lastColumn="0" w:lastRow="0" w:noHBand="0" w:noVBand="1" w:val="04A0"/>
      </w:tblPr>
      <w:tblGrid>
        <w:gridCol w:w="9242"/>
      </w:tblGrid>
      <w:tr>
        <w:trPr>
          <w:cantSplit/>
        </w:trPr>
        <w:tc>
          <w:tcPr>
            <w:tcW w:type="dxa" w:w="9242"/>
            <w:shd w:fill="E7F2EC"/>
          </w:tcPr>
          <w:p>
            <w:pPr>
              <w:spacing w:after="60"/>
            </w:pPr>
            <w:r>
              <w:rPr>
                <w:b/>
                <w:color w:val="17324D"/>
                <w:sz w:val="23"/>
              </w:rPr>
              <w:t>Low-discriminability safeguard</w:t>
            </w:r>
          </w:p>
          <w:p>
            <w:pPr>
              <w:spacing w:after="20"/>
            </w:pPr>
            <w:r>
              <w:rPr>
                <w:sz w:val="21"/>
              </w:rPr>
              <w:t>If the original and retrained models already have nearly identical values for a metric, the denominator becomes too small and that metric cannot meaningfully distinguish unlearning. Mark the setting as low-discriminability instead of forcing a score. This is especially important for easy random forget sets [7].</w:t>
            </w:r>
          </w:p>
        </w:tc>
      </w:tr>
    </w:tbl>
    <w:p>
      <w:pPr>
        <w:spacing w:after="20"/>
      </w:pPr>
    </w:p>
    <w:p>
      <w:pPr>
        <w:pStyle w:val="Heading1"/>
        <w:keepNext/>
      </w:pPr>
      <w:r>
        <w:t>16. Experimental Matrix and Statistical Methodology</w:t>
      </w:r>
    </w:p>
    <w:p>
      <w:pPr>
        <w:pStyle w:val="Heading2"/>
        <w:keepNext/>
      </w:pPr>
      <w:r>
        <w:t>16.1 Core Matrix</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2736"/>
            <w:shd w:fill="17324D"/>
            <w:vAlign w:val="center"/>
          </w:tcPr>
          <w:p>
            <w:r>
              <w:rPr>
                <w:rFonts w:ascii="Times New Roman" w:hAnsi="Times New Roman"/>
                <w:b/>
                <w:color w:val="FFFFFF"/>
                <w:sz w:val="19"/>
              </w:rPr>
              <w:t>Factor</w:t>
            </w:r>
          </w:p>
        </w:tc>
        <w:tc>
          <w:tcPr>
            <w:tcW w:type="dxa" w:w="6480"/>
            <w:shd w:fill="17324D"/>
            <w:vAlign w:val="center"/>
          </w:tcPr>
          <w:p>
            <w:r>
              <w:rPr>
                <w:rFonts w:ascii="Times New Roman" w:hAnsi="Times New Roman"/>
                <w:b/>
                <w:color w:val="FFFFFF"/>
                <w:sz w:val="19"/>
              </w:rPr>
              <w:t>Core Values</w:t>
            </w:r>
          </w:p>
        </w:tc>
      </w:tr>
      <w:tr>
        <w:trPr>
          <w:cantSplit/>
        </w:trPr>
        <w:tc>
          <w:tcPr>
            <w:tcW w:type="dxa" w:w="2736"/>
            <w:vAlign w:val="top"/>
          </w:tcPr>
          <w:p>
            <w:pPr>
              <w:spacing w:after="40"/>
            </w:pPr>
            <w:r>
              <w:rPr>
                <w:rFonts w:ascii="Times New Roman" w:hAnsi="Times New Roman"/>
                <w:sz w:val="19"/>
              </w:rPr>
              <w:t>Dataset</w:t>
            </w:r>
          </w:p>
        </w:tc>
        <w:tc>
          <w:tcPr>
            <w:tcW w:type="dxa" w:w="6480"/>
            <w:vAlign w:val="top"/>
          </w:tcPr>
          <w:p>
            <w:pPr>
              <w:spacing w:after="40"/>
            </w:pPr>
            <w:r>
              <w:rPr>
                <w:rFonts w:ascii="Times New Roman" w:hAnsi="Times New Roman"/>
                <w:sz w:val="19"/>
              </w:rPr>
              <w:t>CIFAR-10</w:t>
            </w:r>
          </w:p>
        </w:tc>
      </w:tr>
      <w:tr>
        <w:trPr>
          <w:cantSplit/>
        </w:trPr>
        <w:tc>
          <w:tcPr>
            <w:tcW w:type="dxa" w:w="2736"/>
            <w:vAlign w:val="top"/>
            <w:shd w:fill="F5F7F9"/>
          </w:tcPr>
          <w:p>
            <w:pPr>
              <w:spacing w:after="40"/>
            </w:pPr>
            <w:r>
              <w:rPr>
                <w:rFonts w:ascii="Times New Roman" w:hAnsi="Times New Roman"/>
                <w:sz w:val="19"/>
              </w:rPr>
              <w:t>Architecture</w:t>
            </w:r>
          </w:p>
        </w:tc>
        <w:tc>
          <w:tcPr>
            <w:tcW w:type="dxa" w:w="6480"/>
            <w:vAlign w:val="top"/>
            <w:shd w:fill="F5F7F9"/>
          </w:tcPr>
          <w:p>
            <w:pPr>
              <w:spacing w:after="40"/>
            </w:pPr>
            <w:r>
              <w:rPr>
                <w:rFonts w:ascii="Times New Roman" w:hAnsi="Times New Roman"/>
                <w:sz w:val="19"/>
              </w:rPr>
              <w:t>ResNet-18</w:t>
            </w:r>
          </w:p>
        </w:tc>
      </w:tr>
      <w:tr>
        <w:trPr>
          <w:cantSplit/>
        </w:trPr>
        <w:tc>
          <w:tcPr>
            <w:tcW w:type="dxa" w:w="2736"/>
            <w:vAlign w:val="top"/>
          </w:tcPr>
          <w:p>
            <w:pPr>
              <w:spacing w:after="40"/>
            </w:pPr>
            <w:r>
              <w:rPr>
                <w:rFonts w:ascii="Times New Roman" w:hAnsi="Times New Roman"/>
                <w:sz w:val="19"/>
              </w:rPr>
              <w:t>Unlearning methods</w:t>
            </w:r>
          </w:p>
        </w:tc>
        <w:tc>
          <w:tcPr>
            <w:tcW w:type="dxa" w:w="6480"/>
            <w:vAlign w:val="top"/>
          </w:tcPr>
          <w:p>
            <w:pPr>
              <w:spacing w:after="40"/>
            </w:pPr>
            <w:r>
              <w:rPr>
                <w:rFonts w:ascii="Times New Roman" w:hAnsi="Times New Roman"/>
                <w:sz w:val="19"/>
              </w:rPr>
              <w:t>Fine-tuning; Negative Gradient; SCRUB; SSD</w:t>
            </w:r>
          </w:p>
        </w:tc>
      </w:tr>
      <w:tr>
        <w:trPr>
          <w:cantSplit/>
        </w:trPr>
        <w:tc>
          <w:tcPr>
            <w:tcW w:type="dxa" w:w="2736"/>
            <w:vAlign w:val="top"/>
            <w:shd w:fill="F5F7F9"/>
          </w:tcPr>
          <w:p>
            <w:pPr>
              <w:spacing w:after="40"/>
            </w:pPr>
            <w:r>
              <w:rPr>
                <w:rFonts w:ascii="Times New Roman" w:hAnsi="Times New Roman"/>
                <w:sz w:val="19"/>
              </w:rPr>
              <w:t>Forget settings</w:t>
            </w:r>
          </w:p>
        </w:tc>
        <w:tc>
          <w:tcPr>
            <w:tcW w:type="dxa" w:w="6480"/>
            <w:vAlign w:val="top"/>
            <w:shd w:fill="F5F7F9"/>
          </w:tcPr>
          <w:p>
            <w:pPr>
              <w:spacing w:after="40"/>
            </w:pPr>
            <w:r>
              <w:rPr>
                <w:rFonts w:ascii="Times New Roman" w:hAnsi="Times New Roman"/>
                <w:sz w:val="19"/>
              </w:rPr>
              <w:t>Random 1%; Random 5%; Random 10%; High-memorization 5%</w:t>
            </w:r>
          </w:p>
        </w:tc>
      </w:tr>
      <w:tr>
        <w:trPr>
          <w:cantSplit/>
        </w:trPr>
        <w:tc>
          <w:tcPr>
            <w:tcW w:type="dxa" w:w="2736"/>
            <w:vAlign w:val="top"/>
          </w:tcPr>
          <w:p>
            <w:pPr>
              <w:spacing w:after="40"/>
            </w:pPr>
            <w:r>
              <w:rPr>
                <w:rFonts w:ascii="Times New Roman" w:hAnsi="Times New Roman"/>
                <w:sz w:val="19"/>
              </w:rPr>
              <w:t>Random seeds</w:t>
            </w:r>
          </w:p>
        </w:tc>
        <w:tc>
          <w:tcPr>
            <w:tcW w:type="dxa" w:w="6480"/>
            <w:vAlign w:val="top"/>
          </w:tcPr>
          <w:p>
            <w:pPr>
              <w:spacing w:after="40"/>
            </w:pPr>
            <w:r>
              <w:rPr>
                <w:rFonts w:ascii="Times New Roman" w:hAnsi="Times New Roman"/>
                <w:sz w:val="19"/>
              </w:rPr>
              <w:t>Minimum 3</w:t>
            </w:r>
          </w:p>
        </w:tc>
      </w:tr>
      <w:tr>
        <w:trPr>
          <w:cantSplit/>
        </w:trPr>
        <w:tc>
          <w:tcPr>
            <w:tcW w:type="dxa" w:w="2736"/>
            <w:vAlign w:val="top"/>
            <w:shd w:fill="F5F7F9"/>
          </w:tcPr>
          <w:p>
            <w:pPr>
              <w:spacing w:after="40"/>
            </w:pPr>
            <w:r>
              <w:rPr>
                <w:rFonts w:ascii="Times New Roman" w:hAnsi="Times New Roman"/>
                <w:sz w:val="19"/>
              </w:rPr>
              <w:t>Reference models</w:t>
            </w:r>
          </w:p>
        </w:tc>
        <w:tc>
          <w:tcPr>
            <w:tcW w:type="dxa" w:w="6480"/>
            <w:vAlign w:val="top"/>
            <w:shd w:fill="F5F7F9"/>
          </w:tcPr>
          <w:p>
            <w:pPr>
              <w:spacing w:after="40"/>
            </w:pPr>
            <w:r>
              <w:rPr>
                <w:rFonts w:ascii="Times New Roman" w:hAnsi="Times New Roman"/>
                <w:sz w:val="19"/>
              </w:rPr>
              <w:t>Original + independently retrained oracle(s)</w:t>
            </w:r>
          </w:p>
        </w:tc>
      </w:tr>
      <w:tr>
        <w:trPr>
          <w:cantSplit/>
        </w:trPr>
        <w:tc>
          <w:tcPr>
            <w:tcW w:type="dxa" w:w="2736"/>
            <w:vAlign w:val="top"/>
          </w:tcPr>
          <w:p>
            <w:pPr>
              <w:spacing w:after="40"/>
            </w:pPr>
            <w:r>
              <w:rPr>
                <w:rFonts w:ascii="Times New Roman" w:hAnsi="Times New Roman"/>
                <w:sz w:val="19"/>
              </w:rPr>
              <w:t>Primary audits</w:t>
            </w:r>
          </w:p>
        </w:tc>
        <w:tc>
          <w:tcPr>
            <w:tcW w:type="dxa" w:w="6480"/>
            <w:vAlign w:val="top"/>
          </w:tcPr>
          <w:p>
            <w:pPr>
              <w:spacing w:after="40"/>
            </w:pPr>
            <w:r>
              <w:rPr>
                <w:rFonts w:ascii="Times New Roman" w:hAnsi="Times New Roman"/>
                <w:sz w:val="19"/>
              </w:rPr>
              <w:t>Behavior, MIA privacy, representation, relearning</w:t>
            </w:r>
          </w:p>
        </w:tc>
      </w:tr>
      <w:tr>
        <w:trPr>
          <w:cantSplit/>
        </w:trPr>
        <w:tc>
          <w:tcPr>
            <w:tcW w:type="dxa" w:w="2736"/>
            <w:vAlign w:val="top"/>
            <w:shd w:fill="F5F7F9"/>
          </w:tcPr>
          <w:p>
            <w:pPr>
              <w:spacing w:after="40"/>
            </w:pPr>
            <w:r>
              <w:rPr>
                <w:rFonts w:ascii="Times New Roman" w:hAnsi="Times New Roman"/>
                <w:sz w:val="19"/>
              </w:rPr>
              <w:t>Primary agreement statistic</w:t>
            </w:r>
          </w:p>
        </w:tc>
        <w:tc>
          <w:tcPr>
            <w:tcW w:type="dxa" w:w="6480"/>
            <w:vAlign w:val="top"/>
            <w:shd w:fill="F5F7F9"/>
          </w:tcPr>
          <w:p>
            <w:pPr>
              <w:spacing w:after="40"/>
            </w:pPr>
            <w:r>
              <w:rPr>
                <w:rFonts w:ascii="Times New Roman" w:hAnsi="Times New Roman"/>
                <w:sz w:val="19"/>
              </w:rPr>
              <w:t>Kendall’s tau plus disagreement rate</w:t>
            </w:r>
          </w:p>
        </w:tc>
      </w:tr>
    </w:tbl>
    <w:p>
      <w:pPr>
        <w:spacing w:after="20"/>
      </w:pPr>
    </w:p>
    <w:p>
      <w:pPr>
        <w:spacing w:after="120"/>
      </w:pPr>
      <w:r>
        <w:rPr>
          <w:i w:val="0"/>
        </w:rPr>
        <w:t>The four methods × four forget settings × three seeds create approximately 48 primary approximate-unlearning runs, in addition to original training, retraining references and subsequent audit/relearning runs. Pilot experiments should be run with one seed before launching the full matrix.</w:t>
      </w:r>
    </w:p>
    <w:p>
      <w:pPr>
        <w:pStyle w:val="Heading2"/>
        <w:keepNext/>
      </w:pPr>
      <w:r>
        <w:t>16.2 Statistical Reporting</w:t>
      </w:r>
    </w:p>
    <w:p>
      <w:pPr>
        <w:pStyle w:val="ListBullet"/>
        <w:spacing w:after="60"/>
        <w:ind w:left="346"/>
      </w:pPr>
      <w:r>
        <w:t>Report mean and standard deviation for every main metric across seeds.</w:t>
      </w:r>
    </w:p>
    <w:p>
      <w:pPr>
        <w:pStyle w:val="ListBullet"/>
        <w:spacing w:after="60"/>
        <w:ind w:left="346"/>
      </w:pPr>
      <w:r>
        <w:t>Use bootstrap confidence intervals where they materially aid interpretation.</w:t>
      </w:r>
    </w:p>
    <w:p>
      <w:pPr>
        <w:pStyle w:val="ListBullet"/>
        <w:spacing w:after="60"/>
        <w:ind w:left="346"/>
      </w:pPr>
      <w:r>
        <w:t>Prefer effect sizes and consistency over unnecessary large numbers of significance tests.</w:t>
      </w:r>
    </w:p>
    <w:p>
      <w:pPr>
        <w:pStyle w:val="ListBullet"/>
        <w:spacing w:after="60"/>
        <w:ind w:left="346"/>
      </w:pPr>
      <w:r>
        <w:t>Treat stochastic retraining variation as part of the reference distribution rather than a nuisance to hide.</w:t>
      </w:r>
    </w:p>
    <w:p>
      <w:pPr>
        <w:pStyle w:val="ListBullet"/>
        <w:spacing w:after="60"/>
        <w:ind w:left="346"/>
      </w:pPr>
      <w:r>
        <w:t>For paired comparisons, ensure the same forget set and seed logic are respected.</w:t>
      </w:r>
    </w:p>
    <w:p>
      <w:pPr>
        <w:pStyle w:val="Heading2"/>
        <w:keepNext/>
      </w:pPr>
      <w:r>
        <w:t>16.3 Canonical Evaluation Metrics</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2304"/>
            <w:shd w:fill="17324D"/>
            <w:vAlign w:val="center"/>
          </w:tcPr>
          <w:p>
            <w:r>
              <w:rPr>
                <w:rFonts w:ascii="Times New Roman" w:hAnsi="Times New Roman"/>
                <w:b/>
                <w:color w:val="FFFFFF"/>
                <w:sz w:val="19"/>
              </w:rPr>
              <w:t>Dimension</w:t>
            </w:r>
          </w:p>
        </w:tc>
        <w:tc>
          <w:tcPr>
            <w:tcW w:type="dxa" w:w="6912"/>
            <w:shd w:fill="17324D"/>
            <w:vAlign w:val="center"/>
          </w:tcPr>
          <w:p>
            <w:r>
              <w:rPr>
                <w:rFonts w:ascii="Times New Roman" w:hAnsi="Times New Roman"/>
                <w:b/>
                <w:color w:val="FFFFFF"/>
                <w:sz w:val="19"/>
              </w:rPr>
              <w:t>Primary Metrics</w:t>
            </w:r>
          </w:p>
        </w:tc>
      </w:tr>
      <w:tr>
        <w:trPr>
          <w:cantSplit/>
        </w:trPr>
        <w:tc>
          <w:tcPr>
            <w:tcW w:type="dxa" w:w="2304"/>
            <w:vAlign w:val="top"/>
          </w:tcPr>
          <w:p>
            <w:pPr>
              <w:spacing w:after="40"/>
            </w:pPr>
            <w:r>
              <w:rPr>
                <w:rFonts w:ascii="Times New Roman" w:hAnsi="Times New Roman"/>
                <w:sz w:val="19"/>
              </w:rPr>
              <w:t>Retain utility</w:t>
            </w:r>
          </w:p>
        </w:tc>
        <w:tc>
          <w:tcPr>
            <w:tcW w:type="dxa" w:w="6912"/>
            <w:vAlign w:val="top"/>
          </w:tcPr>
          <w:p>
            <w:pPr>
              <w:spacing w:after="40"/>
            </w:pPr>
            <w:r>
              <w:rPr>
                <w:rFonts w:ascii="Times New Roman" w:hAnsi="Times New Roman"/>
                <w:sz w:val="19"/>
              </w:rPr>
              <w:t>Accuracy; Macro-F1; cross-entropy loss</w:t>
            </w:r>
          </w:p>
        </w:tc>
      </w:tr>
      <w:tr>
        <w:trPr>
          <w:cantSplit/>
        </w:trPr>
        <w:tc>
          <w:tcPr>
            <w:tcW w:type="dxa" w:w="2304"/>
            <w:vAlign w:val="top"/>
            <w:shd w:fill="F5F7F9"/>
          </w:tcPr>
          <w:p>
            <w:pPr>
              <w:spacing w:after="40"/>
            </w:pPr>
            <w:r>
              <w:rPr>
                <w:rFonts w:ascii="Times New Roman" w:hAnsi="Times New Roman"/>
                <w:sz w:val="19"/>
              </w:rPr>
              <w:t>Forget behavior</w:t>
            </w:r>
          </w:p>
        </w:tc>
        <w:tc>
          <w:tcPr>
            <w:tcW w:type="dxa" w:w="6912"/>
            <w:vAlign w:val="top"/>
            <w:shd w:fill="F5F7F9"/>
          </w:tcPr>
          <w:p>
            <w:pPr>
              <w:spacing w:after="40"/>
            </w:pPr>
            <w:r>
              <w:rPr>
                <w:rFonts w:ascii="Times New Roman" w:hAnsi="Times New Roman"/>
                <w:sz w:val="19"/>
              </w:rPr>
              <w:t>Forget-set loss/accuracy relative to retraining</w:t>
            </w:r>
          </w:p>
        </w:tc>
      </w:tr>
      <w:tr>
        <w:trPr>
          <w:cantSplit/>
        </w:trPr>
        <w:tc>
          <w:tcPr>
            <w:tcW w:type="dxa" w:w="2304"/>
            <w:vAlign w:val="top"/>
          </w:tcPr>
          <w:p>
            <w:pPr>
              <w:spacing w:after="40"/>
            </w:pPr>
            <w:r>
              <w:rPr>
                <w:rFonts w:ascii="Times New Roman" w:hAnsi="Times New Roman"/>
                <w:sz w:val="19"/>
              </w:rPr>
              <w:t>Oracle similarity</w:t>
            </w:r>
          </w:p>
        </w:tc>
        <w:tc>
          <w:tcPr>
            <w:tcW w:type="dxa" w:w="6912"/>
            <w:vAlign w:val="top"/>
          </w:tcPr>
          <w:p>
            <w:pPr>
              <w:spacing w:after="40"/>
            </w:pPr>
            <w:r>
              <w:rPr>
                <w:rFonts w:ascii="Times New Roman" w:hAnsi="Times New Roman"/>
                <w:sz w:val="19"/>
              </w:rPr>
              <w:t>Jensen-Shannon divergence; prediction agreement; logit distance</w:t>
            </w:r>
          </w:p>
        </w:tc>
      </w:tr>
      <w:tr>
        <w:trPr>
          <w:cantSplit/>
        </w:trPr>
        <w:tc>
          <w:tcPr>
            <w:tcW w:type="dxa" w:w="2304"/>
            <w:vAlign w:val="top"/>
            <w:shd w:fill="F5F7F9"/>
          </w:tcPr>
          <w:p>
            <w:pPr>
              <w:spacing w:after="40"/>
            </w:pPr>
            <w:r>
              <w:rPr>
                <w:rFonts w:ascii="Times New Roman" w:hAnsi="Times New Roman"/>
                <w:sz w:val="19"/>
              </w:rPr>
              <w:t>Privacy</w:t>
            </w:r>
          </w:p>
        </w:tc>
        <w:tc>
          <w:tcPr>
            <w:tcW w:type="dxa" w:w="6912"/>
            <w:vAlign w:val="top"/>
            <w:shd w:fill="F5F7F9"/>
          </w:tcPr>
          <w:p>
            <w:pPr>
              <w:spacing w:after="40"/>
            </w:pPr>
            <w:r>
              <w:rPr>
                <w:rFonts w:ascii="Times New Roman" w:hAnsi="Times New Roman"/>
                <w:sz w:val="19"/>
              </w:rPr>
              <w:t>MIA ROC-AUC; attack accuracy; optional TPR at fixed FPR</w:t>
            </w:r>
          </w:p>
        </w:tc>
      </w:tr>
      <w:tr>
        <w:trPr>
          <w:cantSplit/>
        </w:trPr>
        <w:tc>
          <w:tcPr>
            <w:tcW w:type="dxa" w:w="2304"/>
            <w:vAlign w:val="top"/>
          </w:tcPr>
          <w:p>
            <w:pPr>
              <w:spacing w:after="40"/>
            </w:pPr>
            <w:r>
              <w:rPr>
                <w:rFonts w:ascii="Times New Roman" w:hAnsi="Times New Roman"/>
                <w:sz w:val="19"/>
              </w:rPr>
              <w:t>Representation</w:t>
            </w:r>
          </w:p>
        </w:tc>
        <w:tc>
          <w:tcPr>
            <w:tcW w:type="dxa" w:w="6912"/>
            <w:vAlign w:val="top"/>
          </w:tcPr>
          <w:p>
            <w:pPr>
              <w:spacing w:after="40"/>
            </w:pPr>
            <w:r>
              <w:rPr>
                <w:rFonts w:ascii="Times New Roman" w:hAnsi="Times New Roman"/>
                <w:sz w:val="19"/>
              </w:rPr>
              <w:t>Layer-wise CKA; activation distance; PCA visualization</w:t>
            </w:r>
          </w:p>
        </w:tc>
      </w:tr>
      <w:tr>
        <w:trPr>
          <w:cantSplit/>
        </w:trPr>
        <w:tc>
          <w:tcPr>
            <w:tcW w:type="dxa" w:w="2304"/>
            <w:vAlign w:val="top"/>
            <w:shd w:fill="F5F7F9"/>
          </w:tcPr>
          <w:p>
            <w:pPr>
              <w:spacing w:after="40"/>
            </w:pPr>
            <w:r>
              <w:rPr>
                <w:rFonts w:ascii="Times New Roman" w:hAnsi="Times New Roman"/>
                <w:sz w:val="19"/>
              </w:rPr>
              <w:t>Reversibility</w:t>
            </w:r>
          </w:p>
        </w:tc>
        <w:tc>
          <w:tcPr>
            <w:tcW w:type="dxa" w:w="6912"/>
            <w:vAlign w:val="top"/>
            <w:shd w:fill="F5F7F9"/>
          </w:tcPr>
          <w:p>
            <w:pPr>
              <w:spacing w:after="40"/>
            </w:pPr>
            <w:r>
              <w:rPr>
                <w:rFonts w:ascii="Times New Roman" w:hAnsi="Times New Roman"/>
                <w:sz w:val="19"/>
              </w:rPr>
              <w:t>Recovery curve; T80; area under relearning curve</w:t>
            </w:r>
          </w:p>
        </w:tc>
      </w:tr>
      <w:tr>
        <w:trPr>
          <w:cantSplit/>
        </w:trPr>
        <w:tc>
          <w:tcPr>
            <w:tcW w:type="dxa" w:w="2304"/>
            <w:vAlign w:val="top"/>
          </w:tcPr>
          <w:p>
            <w:pPr>
              <w:spacing w:after="40"/>
            </w:pPr>
            <w:r>
              <w:rPr>
                <w:rFonts w:ascii="Times New Roman" w:hAnsi="Times New Roman"/>
                <w:sz w:val="19"/>
              </w:rPr>
              <w:t>Efficiency</w:t>
            </w:r>
          </w:p>
        </w:tc>
        <w:tc>
          <w:tcPr>
            <w:tcW w:type="dxa" w:w="6912"/>
            <w:vAlign w:val="top"/>
          </w:tcPr>
          <w:p>
            <w:pPr>
              <w:spacing w:after="40"/>
            </w:pPr>
            <w:r>
              <w:rPr>
                <w:rFonts w:ascii="Times New Roman" w:hAnsi="Times New Roman"/>
                <w:sz w:val="19"/>
              </w:rPr>
              <w:t>Wall-clock time; GPU time; optional energy estimate</w:t>
            </w:r>
          </w:p>
        </w:tc>
      </w:tr>
      <w:tr>
        <w:trPr>
          <w:cantSplit/>
        </w:trPr>
        <w:tc>
          <w:tcPr>
            <w:tcW w:type="dxa" w:w="2304"/>
            <w:vAlign w:val="top"/>
            <w:shd w:fill="F5F7F9"/>
          </w:tcPr>
          <w:p>
            <w:pPr>
              <w:spacing w:after="40"/>
            </w:pPr>
            <w:r>
              <w:rPr>
                <w:rFonts w:ascii="Times New Roman" w:hAnsi="Times New Roman"/>
                <w:sz w:val="19"/>
              </w:rPr>
              <w:t>Audit agreement</w:t>
            </w:r>
          </w:p>
        </w:tc>
        <w:tc>
          <w:tcPr>
            <w:tcW w:type="dxa" w:w="6912"/>
            <w:vAlign w:val="top"/>
            <w:shd w:fill="F5F7F9"/>
          </w:tcPr>
          <w:p>
            <w:pPr>
              <w:spacing w:after="40"/>
            </w:pPr>
            <w:r>
              <w:rPr>
                <w:rFonts w:ascii="Times New Roman" w:hAnsi="Times New Roman"/>
                <w:sz w:val="19"/>
              </w:rPr>
              <w:t>Kendall’s tau; pairwise disagreement rate</w:t>
            </w:r>
          </w:p>
        </w:tc>
      </w:tr>
      <w:tr>
        <w:trPr>
          <w:cantSplit/>
        </w:trPr>
        <w:tc>
          <w:tcPr>
            <w:tcW w:type="dxa" w:w="2304"/>
            <w:vAlign w:val="top"/>
          </w:tcPr>
          <w:p>
            <w:pPr>
              <w:spacing w:after="40"/>
            </w:pPr>
            <w:r>
              <w:rPr>
                <w:rFonts w:ascii="Times New Roman" w:hAnsi="Times New Roman"/>
                <w:sz w:val="19"/>
              </w:rPr>
              <w:t>Scalability</w:t>
            </w:r>
          </w:p>
        </w:tc>
        <w:tc>
          <w:tcPr>
            <w:tcW w:type="dxa" w:w="6912"/>
            <w:vAlign w:val="top"/>
          </w:tcPr>
          <w:p>
            <w:pPr>
              <w:spacing w:after="40"/>
            </w:pPr>
            <w:r>
              <w:rPr>
                <w:rFonts w:ascii="Times New Roman" w:hAnsi="Times New Roman"/>
                <w:sz w:val="19"/>
              </w:rPr>
              <w:t>Change across 1%, 5%, 10% deletion</w:t>
            </w:r>
          </w:p>
        </w:tc>
      </w:tr>
      <w:tr>
        <w:trPr>
          <w:cantSplit/>
        </w:trPr>
        <w:tc>
          <w:tcPr>
            <w:tcW w:type="dxa" w:w="2304"/>
            <w:vAlign w:val="top"/>
            <w:shd w:fill="F5F7F9"/>
          </w:tcPr>
          <w:p>
            <w:pPr>
              <w:spacing w:after="40"/>
            </w:pPr>
            <w:r>
              <w:rPr>
                <w:rFonts w:ascii="Times New Roman" w:hAnsi="Times New Roman"/>
                <w:sz w:val="19"/>
              </w:rPr>
              <w:t>Difficulty</w:t>
            </w:r>
          </w:p>
        </w:tc>
        <w:tc>
          <w:tcPr>
            <w:tcW w:type="dxa" w:w="6912"/>
            <w:vAlign w:val="top"/>
            <w:shd w:fill="F5F7F9"/>
          </w:tcPr>
          <w:p>
            <w:pPr>
              <w:spacing w:after="40"/>
            </w:pPr>
            <w:r>
              <w:rPr>
                <w:rFonts w:ascii="Times New Roman" w:hAnsi="Times New Roman"/>
                <w:sz w:val="19"/>
              </w:rPr>
              <w:t>Random 5% vs high-memorization 5%</w:t>
            </w:r>
          </w:p>
        </w:tc>
      </w:tr>
    </w:tbl>
    <w:p>
      <w:pPr>
        <w:spacing w:after="20"/>
      </w:pPr>
    </w:p>
    <w:p>
      <w:pPr>
        <w:pStyle w:val="Heading1"/>
        <w:keepNext/>
      </w:pPr>
      <w:r>
        <w:t>17. Implementation Plan and Repository Structure</w:t>
      </w:r>
    </w:p>
    <w:p>
      <w:pPr>
        <w:pStyle w:val="Heading2"/>
        <w:keepNext/>
      </w:pPr>
      <w:r>
        <w:t>17.1 Technology Stack</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2520"/>
            <w:shd w:fill="17324D"/>
            <w:vAlign w:val="center"/>
          </w:tcPr>
          <w:p>
            <w:r>
              <w:rPr>
                <w:rFonts w:ascii="Times New Roman" w:hAnsi="Times New Roman"/>
                <w:b/>
                <w:color w:val="FFFFFF"/>
                <w:sz w:val="19"/>
              </w:rPr>
              <w:t>Area</w:t>
            </w:r>
          </w:p>
        </w:tc>
        <w:tc>
          <w:tcPr>
            <w:tcW w:type="dxa" w:w="6696"/>
            <w:shd w:fill="17324D"/>
            <w:vAlign w:val="center"/>
          </w:tcPr>
          <w:p>
            <w:r>
              <w:rPr>
                <w:rFonts w:ascii="Times New Roman" w:hAnsi="Times New Roman"/>
                <w:b/>
                <w:color w:val="FFFFFF"/>
                <w:sz w:val="19"/>
              </w:rPr>
              <w:t>Recommended Tools</w:t>
            </w:r>
          </w:p>
        </w:tc>
      </w:tr>
      <w:tr>
        <w:trPr>
          <w:cantSplit/>
        </w:trPr>
        <w:tc>
          <w:tcPr>
            <w:tcW w:type="dxa" w:w="2520"/>
            <w:vAlign w:val="top"/>
          </w:tcPr>
          <w:p>
            <w:pPr>
              <w:spacing w:after="40"/>
            </w:pPr>
            <w:r>
              <w:rPr>
                <w:rFonts w:ascii="Times New Roman" w:hAnsi="Times New Roman"/>
                <w:sz w:val="19"/>
              </w:rPr>
              <w:t>Core ML</w:t>
            </w:r>
          </w:p>
        </w:tc>
        <w:tc>
          <w:tcPr>
            <w:tcW w:type="dxa" w:w="6696"/>
            <w:vAlign w:val="top"/>
          </w:tcPr>
          <w:p>
            <w:pPr>
              <w:spacing w:after="40"/>
            </w:pPr>
            <w:r>
              <w:rPr>
                <w:rFonts w:ascii="Times New Roman" w:hAnsi="Times New Roman"/>
                <w:sz w:val="19"/>
              </w:rPr>
              <w:t>Python, PyTorch, torchvision</w:t>
            </w:r>
          </w:p>
        </w:tc>
      </w:tr>
      <w:tr>
        <w:trPr>
          <w:cantSplit/>
        </w:trPr>
        <w:tc>
          <w:tcPr>
            <w:tcW w:type="dxa" w:w="2520"/>
            <w:vAlign w:val="top"/>
            <w:shd w:fill="F5F7F9"/>
          </w:tcPr>
          <w:p>
            <w:pPr>
              <w:spacing w:after="40"/>
            </w:pPr>
            <w:r>
              <w:rPr>
                <w:rFonts w:ascii="Times New Roman" w:hAnsi="Times New Roman"/>
                <w:sz w:val="19"/>
              </w:rPr>
              <w:t>Data/metrics</w:t>
            </w:r>
          </w:p>
        </w:tc>
        <w:tc>
          <w:tcPr>
            <w:tcW w:type="dxa" w:w="6696"/>
            <w:vAlign w:val="top"/>
            <w:shd w:fill="F5F7F9"/>
          </w:tcPr>
          <w:p>
            <w:pPr>
              <w:spacing w:after="40"/>
            </w:pPr>
            <w:r>
              <w:rPr>
                <w:rFonts w:ascii="Times New Roman" w:hAnsi="Times New Roman"/>
                <w:sz w:val="19"/>
              </w:rPr>
              <w:t>NumPy, pandas, scikit-learn, SciPy</w:t>
            </w:r>
          </w:p>
        </w:tc>
      </w:tr>
      <w:tr>
        <w:trPr>
          <w:cantSplit/>
        </w:trPr>
        <w:tc>
          <w:tcPr>
            <w:tcW w:type="dxa" w:w="2520"/>
            <w:vAlign w:val="top"/>
          </w:tcPr>
          <w:p>
            <w:pPr>
              <w:spacing w:after="40"/>
            </w:pPr>
            <w:r>
              <w:rPr>
                <w:rFonts w:ascii="Times New Roman" w:hAnsi="Times New Roman"/>
                <w:sz w:val="19"/>
              </w:rPr>
              <w:t>Visualization</w:t>
            </w:r>
          </w:p>
        </w:tc>
        <w:tc>
          <w:tcPr>
            <w:tcW w:type="dxa" w:w="6696"/>
            <w:vAlign w:val="top"/>
          </w:tcPr>
          <w:p>
            <w:pPr>
              <w:spacing w:after="40"/>
            </w:pPr>
            <w:r>
              <w:rPr>
                <w:rFonts w:ascii="Times New Roman" w:hAnsi="Times New Roman"/>
                <w:sz w:val="19"/>
              </w:rPr>
              <w:t>Matplotlib, Seaborn</w:t>
            </w:r>
          </w:p>
        </w:tc>
      </w:tr>
      <w:tr>
        <w:trPr>
          <w:cantSplit/>
        </w:trPr>
        <w:tc>
          <w:tcPr>
            <w:tcW w:type="dxa" w:w="2520"/>
            <w:vAlign w:val="top"/>
            <w:shd w:fill="F5F7F9"/>
          </w:tcPr>
          <w:p>
            <w:pPr>
              <w:spacing w:after="40"/>
            </w:pPr>
            <w:r>
              <w:rPr>
                <w:rFonts w:ascii="Times New Roman" w:hAnsi="Times New Roman"/>
                <w:sz w:val="19"/>
              </w:rPr>
              <w:t>Experiment tracking</w:t>
            </w:r>
          </w:p>
        </w:tc>
        <w:tc>
          <w:tcPr>
            <w:tcW w:type="dxa" w:w="6696"/>
            <w:vAlign w:val="top"/>
            <w:shd w:fill="F5F7F9"/>
          </w:tcPr>
          <w:p>
            <w:pPr>
              <w:spacing w:after="40"/>
            </w:pPr>
            <w:r>
              <w:rPr>
                <w:rFonts w:ascii="Times New Roman" w:hAnsi="Times New Roman"/>
                <w:sz w:val="19"/>
              </w:rPr>
              <w:t>CSV/JSON first; optional MLflow or Weights &amp; Biases</w:t>
            </w:r>
          </w:p>
        </w:tc>
      </w:tr>
      <w:tr>
        <w:trPr>
          <w:cantSplit/>
        </w:trPr>
        <w:tc>
          <w:tcPr>
            <w:tcW w:type="dxa" w:w="2520"/>
            <w:vAlign w:val="top"/>
          </w:tcPr>
          <w:p>
            <w:pPr>
              <w:spacing w:after="40"/>
            </w:pPr>
            <w:r>
              <w:rPr>
                <w:rFonts w:ascii="Times New Roman" w:hAnsi="Times New Roman"/>
                <w:sz w:val="19"/>
              </w:rPr>
              <w:t>Unlearning resources</w:t>
            </w:r>
          </w:p>
        </w:tc>
        <w:tc>
          <w:tcPr>
            <w:tcW w:type="dxa" w:w="6696"/>
            <w:vAlign w:val="top"/>
          </w:tcPr>
          <w:p>
            <w:pPr>
              <w:spacing w:after="40"/>
            </w:pPr>
            <w:r>
              <w:rPr>
                <w:rFonts w:ascii="Times New Roman" w:hAnsi="Times New Roman"/>
                <w:sz w:val="19"/>
              </w:rPr>
              <w:t>SCRUB, SSD, RUM utilities, NeurIPS starter kit</w:t>
            </w:r>
          </w:p>
        </w:tc>
      </w:tr>
      <w:tr>
        <w:trPr>
          <w:cantSplit/>
        </w:trPr>
        <w:tc>
          <w:tcPr>
            <w:tcW w:type="dxa" w:w="2520"/>
            <w:vAlign w:val="top"/>
            <w:shd w:fill="F5F7F9"/>
          </w:tcPr>
          <w:p>
            <w:pPr>
              <w:spacing w:after="40"/>
            </w:pPr>
            <w:r>
              <w:rPr>
                <w:rFonts w:ascii="Times New Roman" w:hAnsi="Times New Roman"/>
                <w:sz w:val="19"/>
              </w:rPr>
              <w:t>Demo</w:t>
            </w:r>
          </w:p>
        </w:tc>
        <w:tc>
          <w:tcPr>
            <w:tcW w:type="dxa" w:w="6696"/>
            <w:vAlign w:val="top"/>
            <w:shd w:fill="F5F7F9"/>
          </w:tcPr>
          <w:p>
            <w:pPr>
              <w:spacing w:after="40"/>
            </w:pPr>
            <w:r>
              <w:rPr>
                <w:rFonts w:ascii="Times New Roman" w:hAnsi="Times New Roman"/>
                <w:sz w:val="19"/>
              </w:rPr>
              <w:t>Streamlit</w:t>
            </w:r>
          </w:p>
        </w:tc>
      </w:tr>
      <w:tr>
        <w:trPr>
          <w:cantSplit/>
        </w:trPr>
        <w:tc>
          <w:tcPr>
            <w:tcW w:type="dxa" w:w="2520"/>
            <w:vAlign w:val="top"/>
          </w:tcPr>
          <w:p>
            <w:pPr>
              <w:spacing w:after="40"/>
            </w:pPr>
            <w:r>
              <w:rPr>
                <w:rFonts w:ascii="Times New Roman" w:hAnsi="Times New Roman"/>
                <w:sz w:val="19"/>
              </w:rPr>
              <w:t>Version control</w:t>
            </w:r>
          </w:p>
        </w:tc>
        <w:tc>
          <w:tcPr>
            <w:tcW w:type="dxa" w:w="6696"/>
            <w:vAlign w:val="top"/>
          </w:tcPr>
          <w:p>
            <w:pPr>
              <w:spacing w:after="40"/>
            </w:pPr>
            <w:r>
              <w:rPr>
                <w:rFonts w:ascii="Times New Roman" w:hAnsi="Times New Roman"/>
                <w:sz w:val="19"/>
              </w:rPr>
              <w:t>Git and GitHub</w:t>
            </w:r>
          </w:p>
        </w:tc>
      </w:tr>
      <w:tr>
        <w:trPr>
          <w:cantSplit/>
        </w:trPr>
        <w:tc>
          <w:tcPr>
            <w:tcW w:type="dxa" w:w="2520"/>
            <w:vAlign w:val="top"/>
            <w:shd w:fill="F5F7F9"/>
          </w:tcPr>
          <w:p>
            <w:pPr>
              <w:spacing w:after="40"/>
            </w:pPr>
            <w:r>
              <w:rPr>
                <w:rFonts w:ascii="Times New Roman" w:hAnsi="Times New Roman"/>
                <w:sz w:val="19"/>
              </w:rPr>
              <w:t>Environment</w:t>
            </w:r>
          </w:p>
        </w:tc>
        <w:tc>
          <w:tcPr>
            <w:tcW w:type="dxa" w:w="6696"/>
            <w:vAlign w:val="top"/>
            <w:shd w:fill="F5F7F9"/>
          </w:tcPr>
          <w:p>
            <w:pPr>
              <w:spacing w:after="40"/>
            </w:pPr>
            <w:r>
              <w:rPr>
                <w:rFonts w:ascii="Times New Roman" w:hAnsi="Times New Roman"/>
                <w:sz w:val="19"/>
              </w:rPr>
              <w:t>Conda or venv; frozen requirements; optional Docker</w:t>
            </w:r>
          </w:p>
        </w:tc>
      </w:tr>
    </w:tbl>
    <w:p>
      <w:pPr>
        <w:spacing w:after="20"/>
      </w:pPr>
    </w:p>
    <w:p>
      <w:pPr>
        <w:pStyle w:val="Heading2"/>
        <w:keepNext/>
      </w:pPr>
      <w:r>
        <w:t>17.2 Suggested Repository Layout</w:t>
      </w:r>
    </w:p>
    <w:p>
      <w:pPr>
        <w:ind w:left="360"/>
      </w:pPr>
      <w:r>
        <w:rPr>
          <w:rFonts w:ascii="Courier New" w:hAnsi="Courier New"/>
          <w:sz w:val="17"/>
        </w:rPr>
        <w:t>forgetcheck/</w:t>
        <w:br/>
        <w:t>├── configs/</w:t>
        <w:br/>
        <w:t>│   ├── baseline.yaml</w:t>
        <w:br/>
        <w:t>│   ├── unlearning/</w:t>
        <w:br/>
        <w:t>│   └── audits/</w:t>
        <w:br/>
        <w:t>├── data/                  # downloaded/derived data; large files ignored in Git</w:t>
        <w:br/>
        <w:t>├── src/</w:t>
        <w:br/>
        <w:t>│   ├── train_base.py</w:t>
        <w:br/>
        <w:t>│   ├── retrain_oracle.py</w:t>
        <w:br/>
        <w:t>│   ├── forget_sets.py</w:t>
        <w:br/>
        <w:t>│   ├── unlearning/</w:t>
        <w:br/>
        <w:t>│   │   ├── finetune.py</w:t>
        <w:br/>
        <w:t>│   │   ├── neggrad.py</w:t>
        <w:br/>
        <w:t>│   │   ├── scrub.py</w:t>
        <w:br/>
        <w:t>│   │   └── ssd.py</w:t>
        <w:br/>
        <w:t>│   ├── audits/</w:t>
        <w:br/>
        <w:t>│   │   ├── behavioral.py</w:t>
        <w:br/>
        <w:t>│   │   ├── membership.py</w:t>
        <w:br/>
        <w:t>│   │   ├── representations.py</w:t>
        <w:br/>
        <w:t>│   │   ├── relearning.py</w:t>
        <w:br/>
        <w:t>│   │   └── disagreement.py</w:t>
        <w:br/>
        <w:t>│   └── utils/</w:t>
        <w:br/>
        <w:t>├── experiments/</w:t>
        <w:br/>
        <w:t>├── checkpoints/</w:t>
        <w:br/>
        <w:t>├── results/</w:t>
        <w:br/>
        <w:t>│   ├── raw/</w:t>
        <w:br/>
        <w:t>│   ├── summary/</w:t>
        <w:br/>
        <w:t>│   └── figures/</w:t>
        <w:br/>
        <w:t>├── dashboard/</w:t>
        <w:br/>
        <w:t>├── tests/</w:t>
        <w:br/>
        <w:t>├── requirements.txt</w:t>
        <w:br/>
        <w:t>└── README.md</w:t>
      </w:r>
    </w:p>
    <w:p>
      <w:pPr>
        <w:pStyle w:val="Heading1"/>
        <w:keepNext/>
      </w:pPr>
      <w:r>
        <w:t>18. Reproducibility and Experiment Logging</w:t>
      </w:r>
    </w:p>
    <w:p>
      <w:pPr>
        <w:spacing w:after="120"/>
      </w:pPr>
      <w:r>
        <w:rPr>
          <w:i w:val="0"/>
        </w:rPr>
        <w:t>Every run must be machine-readable and reproducible. Do not manually copy experiment results into spreadsheets. Each script should append or write a structured record to results.csv or a small experiment database. Model checkpoints, config files and random seeds must be linked to the corresponding experiment ID.</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2448"/>
            <w:shd w:fill="17324D"/>
            <w:vAlign w:val="center"/>
          </w:tcPr>
          <w:p>
            <w:r>
              <w:rPr>
                <w:rFonts w:ascii="Times New Roman" w:hAnsi="Times New Roman"/>
                <w:b/>
                <w:color w:val="FFFFFF"/>
                <w:sz w:val="18"/>
              </w:rPr>
              <w:t>Field</w:t>
            </w:r>
          </w:p>
        </w:tc>
        <w:tc>
          <w:tcPr>
            <w:tcW w:type="dxa" w:w="6768"/>
            <w:shd w:fill="17324D"/>
            <w:vAlign w:val="center"/>
          </w:tcPr>
          <w:p>
            <w:r>
              <w:rPr>
                <w:rFonts w:ascii="Times New Roman" w:hAnsi="Times New Roman"/>
                <w:b/>
                <w:color w:val="FFFFFF"/>
                <w:sz w:val="18"/>
              </w:rPr>
              <w:t>Example / Purpose</w:t>
            </w:r>
          </w:p>
        </w:tc>
      </w:tr>
      <w:tr>
        <w:trPr>
          <w:cantSplit/>
        </w:trPr>
        <w:tc>
          <w:tcPr>
            <w:tcW w:type="dxa" w:w="2448"/>
            <w:vAlign w:val="top"/>
          </w:tcPr>
          <w:p>
            <w:pPr>
              <w:spacing w:after="40"/>
            </w:pPr>
            <w:r>
              <w:rPr>
                <w:rFonts w:ascii="Times New Roman" w:hAnsi="Times New Roman"/>
                <w:sz w:val="18"/>
              </w:rPr>
              <w:t>experiment_id</w:t>
            </w:r>
          </w:p>
        </w:tc>
        <w:tc>
          <w:tcPr>
            <w:tcW w:type="dxa" w:w="6768"/>
            <w:vAlign w:val="top"/>
          </w:tcPr>
          <w:p>
            <w:pPr>
              <w:spacing w:after="40"/>
            </w:pPr>
            <w:r>
              <w:rPr>
                <w:rFonts w:ascii="Times New Roman" w:hAnsi="Times New Roman"/>
                <w:sz w:val="18"/>
              </w:rPr>
              <w:t>Unique identifier, e.g., cifar10_scrub_r5_seed42</w:t>
            </w:r>
          </w:p>
        </w:tc>
      </w:tr>
      <w:tr>
        <w:trPr>
          <w:cantSplit/>
        </w:trPr>
        <w:tc>
          <w:tcPr>
            <w:tcW w:type="dxa" w:w="2448"/>
            <w:vAlign w:val="top"/>
            <w:shd w:fill="F5F7F9"/>
          </w:tcPr>
          <w:p>
            <w:pPr>
              <w:spacing w:after="40"/>
            </w:pPr>
            <w:r>
              <w:rPr>
                <w:rFonts w:ascii="Times New Roman" w:hAnsi="Times New Roman"/>
                <w:sz w:val="18"/>
              </w:rPr>
              <w:t>dataset</w:t>
            </w:r>
          </w:p>
        </w:tc>
        <w:tc>
          <w:tcPr>
            <w:tcW w:type="dxa" w:w="6768"/>
            <w:vAlign w:val="top"/>
            <w:shd w:fill="F5F7F9"/>
          </w:tcPr>
          <w:p>
            <w:pPr>
              <w:spacing w:after="40"/>
            </w:pPr>
            <w:r>
              <w:rPr>
                <w:rFonts w:ascii="Times New Roman" w:hAnsi="Times New Roman"/>
                <w:sz w:val="18"/>
              </w:rPr>
              <w:t>CIFAR10</w:t>
            </w:r>
          </w:p>
        </w:tc>
      </w:tr>
      <w:tr>
        <w:trPr>
          <w:cantSplit/>
        </w:trPr>
        <w:tc>
          <w:tcPr>
            <w:tcW w:type="dxa" w:w="2448"/>
            <w:vAlign w:val="top"/>
          </w:tcPr>
          <w:p>
            <w:pPr>
              <w:spacing w:after="40"/>
            </w:pPr>
            <w:r>
              <w:rPr>
                <w:rFonts w:ascii="Times New Roman" w:hAnsi="Times New Roman"/>
                <w:sz w:val="18"/>
              </w:rPr>
              <w:t>architecture</w:t>
            </w:r>
          </w:p>
        </w:tc>
        <w:tc>
          <w:tcPr>
            <w:tcW w:type="dxa" w:w="6768"/>
            <w:vAlign w:val="top"/>
          </w:tcPr>
          <w:p>
            <w:pPr>
              <w:spacing w:after="40"/>
            </w:pPr>
            <w:r>
              <w:rPr>
                <w:rFonts w:ascii="Times New Roman" w:hAnsi="Times New Roman"/>
                <w:sz w:val="18"/>
              </w:rPr>
              <w:t>ResNet18</w:t>
            </w:r>
          </w:p>
        </w:tc>
      </w:tr>
      <w:tr>
        <w:trPr>
          <w:cantSplit/>
        </w:trPr>
        <w:tc>
          <w:tcPr>
            <w:tcW w:type="dxa" w:w="2448"/>
            <w:vAlign w:val="top"/>
            <w:shd w:fill="F5F7F9"/>
          </w:tcPr>
          <w:p>
            <w:pPr>
              <w:spacing w:after="40"/>
            </w:pPr>
            <w:r>
              <w:rPr>
                <w:rFonts w:ascii="Times New Roman" w:hAnsi="Times New Roman"/>
                <w:sz w:val="18"/>
              </w:rPr>
              <w:t>seed</w:t>
            </w:r>
          </w:p>
        </w:tc>
        <w:tc>
          <w:tcPr>
            <w:tcW w:type="dxa" w:w="6768"/>
            <w:vAlign w:val="top"/>
            <w:shd w:fill="F5F7F9"/>
          </w:tcPr>
          <w:p>
            <w:pPr>
              <w:spacing w:after="40"/>
            </w:pPr>
            <w:r>
              <w:rPr>
                <w:rFonts w:ascii="Times New Roman" w:hAnsi="Times New Roman"/>
                <w:sz w:val="18"/>
              </w:rPr>
              <w:t>42</w:t>
            </w:r>
          </w:p>
        </w:tc>
      </w:tr>
      <w:tr>
        <w:trPr>
          <w:cantSplit/>
        </w:trPr>
        <w:tc>
          <w:tcPr>
            <w:tcW w:type="dxa" w:w="2448"/>
            <w:vAlign w:val="top"/>
          </w:tcPr>
          <w:p>
            <w:pPr>
              <w:spacing w:after="40"/>
            </w:pPr>
            <w:r>
              <w:rPr>
                <w:rFonts w:ascii="Times New Roman" w:hAnsi="Times New Roman"/>
                <w:sz w:val="18"/>
              </w:rPr>
              <w:t>forget_type</w:t>
            </w:r>
          </w:p>
        </w:tc>
        <w:tc>
          <w:tcPr>
            <w:tcW w:type="dxa" w:w="6768"/>
            <w:vAlign w:val="top"/>
          </w:tcPr>
          <w:p>
            <w:pPr>
              <w:spacing w:after="40"/>
            </w:pPr>
            <w:r>
              <w:rPr>
                <w:rFonts w:ascii="Times New Roman" w:hAnsi="Times New Roman"/>
                <w:sz w:val="18"/>
              </w:rPr>
              <w:t>random or high_mem</w:t>
            </w:r>
          </w:p>
        </w:tc>
      </w:tr>
      <w:tr>
        <w:trPr>
          <w:cantSplit/>
        </w:trPr>
        <w:tc>
          <w:tcPr>
            <w:tcW w:type="dxa" w:w="2448"/>
            <w:vAlign w:val="top"/>
            <w:shd w:fill="F5F7F9"/>
          </w:tcPr>
          <w:p>
            <w:pPr>
              <w:spacing w:after="40"/>
            </w:pPr>
            <w:r>
              <w:rPr>
                <w:rFonts w:ascii="Times New Roman" w:hAnsi="Times New Roman"/>
                <w:sz w:val="18"/>
              </w:rPr>
              <w:t>forget_fraction</w:t>
            </w:r>
          </w:p>
        </w:tc>
        <w:tc>
          <w:tcPr>
            <w:tcW w:type="dxa" w:w="6768"/>
            <w:vAlign w:val="top"/>
            <w:shd w:fill="F5F7F9"/>
          </w:tcPr>
          <w:p>
            <w:pPr>
              <w:spacing w:after="40"/>
            </w:pPr>
            <w:r>
              <w:rPr>
                <w:rFonts w:ascii="Times New Roman" w:hAnsi="Times New Roman"/>
                <w:sz w:val="18"/>
              </w:rPr>
              <w:t>0.05</w:t>
            </w:r>
          </w:p>
        </w:tc>
      </w:tr>
      <w:tr>
        <w:trPr>
          <w:cantSplit/>
        </w:trPr>
        <w:tc>
          <w:tcPr>
            <w:tcW w:type="dxa" w:w="2448"/>
            <w:vAlign w:val="top"/>
          </w:tcPr>
          <w:p>
            <w:pPr>
              <w:spacing w:after="40"/>
            </w:pPr>
            <w:r>
              <w:rPr>
                <w:rFonts w:ascii="Times New Roman" w:hAnsi="Times New Roman"/>
                <w:sz w:val="18"/>
              </w:rPr>
              <w:t>unlearning_method</w:t>
            </w:r>
          </w:p>
        </w:tc>
        <w:tc>
          <w:tcPr>
            <w:tcW w:type="dxa" w:w="6768"/>
            <w:vAlign w:val="top"/>
          </w:tcPr>
          <w:p>
            <w:pPr>
              <w:spacing w:after="40"/>
            </w:pPr>
            <w:r>
              <w:rPr>
                <w:rFonts w:ascii="Times New Roman" w:hAnsi="Times New Roman"/>
                <w:sz w:val="18"/>
              </w:rPr>
              <w:t>scrub</w:t>
            </w:r>
          </w:p>
        </w:tc>
      </w:tr>
      <w:tr>
        <w:trPr>
          <w:cantSplit/>
        </w:trPr>
        <w:tc>
          <w:tcPr>
            <w:tcW w:type="dxa" w:w="2448"/>
            <w:vAlign w:val="top"/>
            <w:shd w:fill="F5F7F9"/>
          </w:tcPr>
          <w:p>
            <w:pPr>
              <w:spacing w:after="40"/>
            </w:pPr>
            <w:r>
              <w:rPr>
                <w:rFonts w:ascii="Times New Roman" w:hAnsi="Times New Roman"/>
                <w:sz w:val="18"/>
              </w:rPr>
              <w:t>hyperparameters</w:t>
            </w:r>
          </w:p>
        </w:tc>
        <w:tc>
          <w:tcPr>
            <w:tcW w:type="dxa" w:w="6768"/>
            <w:vAlign w:val="top"/>
            <w:shd w:fill="F5F7F9"/>
          </w:tcPr>
          <w:p>
            <w:pPr>
              <w:spacing w:after="40"/>
            </w:pPr>
            <w:r>
              <w:rPr>
                <w:rFonts w:ascii="Times New Roman" w:hAnsi="Times New Roman"/>
                <w:sz w:val="18"/>
              </w:rPr>
              <w:t>Serialized config / path to YAML</w:t>
            </w:r>
          </w:p>
        </w:tc>
      </w:tr>
      <w:tr>
        <w:trPr>
          <w:cantSplit/>
        </w:trPr>
        <w:tc>
          <w:tcPr>
            <w:tcW w:type="dxa" w:w="2448"/>
            <w:vAlign w:val="top"/>
          </w:tcPr>
          <w:p>
            <w:pPr>
              <w:spacing w:after="40"/>
            </w:pPr>
            <w:r>
              <w:rPr>
                <w:rFonts w:ascii="Times New Roman" w:hAnsi="Times New Roman"/>
                <w:sz w:val="18"/>
              </w:rPr>
              <w:t>retain_accuracy</w:t>
            </w:r>
          </w:p>
        </w:tc>
        <w:tc>
          <w:tcPr>
            <w:tcW w:type="dxa" w:w="6768"/>
            <w:vAlign w:val="top"/>
          </w:tcPr>
          <w:p>
            <w:pPr>
              <w:spacing w:after="40"/>
            </w:pPr>
            <w:r>
              <w:rPr>
                <w:rFonts w:ascii="Times New Roman" w:hAnsi="Times New Roman"/>
                <w:sz w:val="18"/>
              </w:rPr>
              <w:t>Primary utility metric</w:t>
            </w:r>
          </w:p>
        </w:tc>
      </w:tr>
      <w:tr>
        <w:trPr>
          <w:cantSplit/>
        </w:trPr>
        <w:tc>
          <w:tcPr>
            <w:tcW w:type="dxa" w:w="2448"/>
            <w:vAlign w:val="top"/>
            <w:shd w:fill="F5F7F9"/>
          </w:tcPr>
          <w:p>
            <w:pPr>
              <w:spacing w:after="40"/>
            </w:pPr>
            <w:r>
              <w:rPr>
                <w:rFonts w:ascii="Times New Roman" w:hAnsi="Times New Roman"/>
                <w:sz w:val="18"/>
              </w:rPr>
              <w:t>forget_metrics</w:t>
            </w:r>
          </w:p>
        </w:tc>
        <w:tc>
          <w:tcPr>
            <w:tcW w:type="dxa" w:w="6768"/>
            <w:vAlign w:val="top"/>
            <w:shd w:fill="F5F7F9"/>
          </w:tcPr>
          <w:p>
            <w:pPr>
              <w:spacing w:after="40"/>
            </w:pPr>
            <w:r>
              <w:rPr>
                <w:rFonts w:ascii="Times New Roman" w:hAnsi="Times New Roman"/>
                <w:sz w:val="18"/>
              </w:rPr>
              <w:t>Loss/accuracy relative to oracle</w:t>
            </w:r>
          </w:p>
        </w:tc>
      </w:tr>
      <w:tr>
        <w:trPr>
          <w:cantSplit/>
        </w:trPr>
        <w:tc>
          <w:tcPr>
            <w:tcW w:type="dxa" w:w="2448"/>
            <w:vAlign w:val="top"/>
          </w:tcPr>
          <w:p>
            <w:pPr>
              <w:spacing w:after="40"/>
            </w:pPr>
            <w:r>
              <w:rPr>
                <w:rFonts w:ascii="Times New Roman" w:hAnsi="Times New Roman"/>
                <w:sz w:val="18"/>
              </w:rPr>
              <w:t>MIA_AUC</w:t>
            </w:r>
          </w:p>
        </w:tc>
        <w:tc>
          <w:tcPr>
            <w:tcW w:type="dxa" w:w="6768"/>
            <w:vAlign w:val="top"/>
          </w:tcPr>
          <w:p>
            <w:pPr>
              <w:spacing w:after="40"/>
            </w:pPr>
            <w:r>
              <w:rPr>
                <w:rFonts w:ascii="Times New Roman" w:hAnsi="Times New Roman"/>
                <w:sz w:val="18"/>
              </w:rPr>
              <w:t>Privacy audit</w:t>
            </w:r>
          </w:p>
        </w:tc>
      </w:tr>
      <w:tr>
        <w:trPr>
          <w:cantSplit/>
        </w:trPr>
        <w:tc>
          <w:tcPr>
            <w:tcW w:type="dxa" w:w="2448"/>
            <w:vAlign w:val="top"/>
            <w:shd w:fill="F5F7F9"/>
          </w:tcPr>
          <w:p>
            <w:pPr>
              <w:spacing w:after="40"/>
            </w:pPr>
            <w:r>
              <w:rPr>
                <w:rFonts w:ascii="Times New Roman" w:hAnsi="Times New Roman"/>
                <w:sz w:val="18"/>
              </w:rPr>
              <w:t>JS_distance</w:t>
            </w:r>
          </w:p>
        </w:tc>
        <w:tc>
          <w:tcPr>
            <w:tcW w:type="dxa" w:w="6768"/>
            <w:vAlign w:val="top"/>
            <w:shd w:fill="F5F7F9"/>
          </w:tcPr>
          <w:p>
            <w:pPr>
              <w:spacing w:after="40"/>
            </w:pPr>
            <w:r>
              <w:rPr>
                <w:rFonts w:ascii="Times New Roman" w:hAnsi="Times New Roman"/>
                <w:sz w:val="18"/>
              </w:rPr>
              <w:t>Output similarity to oracle</w:t>
            </w:r>
          </w:p>
        </w:tc>
      </w:tr>
      <w:tr>
        <w:trPr>
          <w:cantSplit/>
        </w:trPr>
        <w:tc>
          <w:tcPr>
            <w:tcW w:type="dxa" w:w="2448"/>
            <w:vAlign w:val="top"/>
          </w:tcPr>
          <w:p>
            <w:pPr>
              <w:spacing w:after="40"/>
            </w:pPr>
            <w:r>
              <w:rPr>
                <w:rFonts w:ascii="Times New Roman" w:hAnsi="Times New Roman"/>
                <w:sz w:val="18"/>
              </w:rPr>
              <w:t>CKA_scores</w:t>
            </w:r>
          </w:p>
        </w:tc>
        <w:tc>
          <w:tcPr>
            <w:tcW w:type="dxa" w:w="6768"/>
            <w:vAlign w:val="top"/>
          </w:tcPr>
          <w:p>
            <w:pPr>
              <w:spacing w:after="40"/>
            </w:pPr>
            <w:r>
              <w:rPr>
                <w:rFonts w:ascii="Times New Roman" w:hAnsi="Times New Roman"/>
                <w:sz w:val="18"/>
              </w:rPr>
              <w:t>Layer-wise representation metrics</w:t>
            </w:r>
          </w:p>
        </w:tc>
      </w:tr>
      <w:tr>
        <w:trPr>
          <w:cantSplit/>
        </w:trPr>
        <w:tc>
          <w:tcPr>
            <w:tcW w:type="dxa" w:w="2448"/>
            <w:vAlign w:val="top"/>
            <w:shd w:fill="F5F7F9"/>
          </w:tcPr>
          <w:p>
            <w:pPr>
              <w:spacing w:after="40"/>
            </w:pPr>
            <w:r>
              <w:rPr>
                <w:rFonts w:ascii="Times New Roman" w:hAnsi="Times New Roman"/>
                <w:sz w:val="18"/>
              </w:rPr>
              <w:t>relearning_AUC</w:t>
            </w:r>
          </w:p>
        </w:tc>
        <w:tc>
          <w:tcPr>
            <w:tcW w:type="dxa" w:w="6768"/>
            <w:vAlign w:val="top"/>
            <w:shd w:fill="F5F7F9"/>
          </w:tcPr>
          <w:p>
            <w:pPr>
              <w:spacing w:after="40"/>
            </w:pPr>
            <w:r>
              <w:rPr>
                <w:rFonts w:ascii="Times New Roman" w:hAnsi="Times New Roman"/>
                <w:sz w:val="18"/>
              </w:rPr>
              <w:t>Reversibility metric</w:t>
            </w:r>
          </w:p>
        </w:tc>
      </w:tr>
      <w:tr>
        <w:trPr>
          <w:cantSplit/>
        </w:trPr>
        <w:tc>
          <w:tcPr>
            <w:tcW w:type="dxa" w:w="2448"/>
            <w:vAlign w:val="top"/>
          </w:tcPr>
          <w:p>
            <w:pPr>
              <w:spacing w:after="40"/>
            </w:pPr>
            <w:r>
              <w:rPr>
                <w:rFonts w:ascii="Times New Roman" w:hAnsi="Times New Roman"/>
                <w:sz w:val="18"/>
              </w:rPr>
              <w:t>runtime_seconds</w:t>
            </w:r>
          </w:p>
        </w:tc>
        <w:tc>
          <w:tcPr>
            <w:tcW w:type="dxa" w:w="6768"/>
            <w:vAlign w:val="top"/>
          </w:tcPr>
          <w:p>
            <w:pPr>
              <w:spacing w:after="40"/>
            </w:pPr>
            <w:r>
              <w:rPr>
                <w:rFonts w:ascii="Times New Roman" w:hAnsi="Times New Roman"/>
                <w:sz w:val="18"/>
              </w:rPr>
              <w:t>Efficiency</w:t>
            </w:r>
          </w:p>
        </w:tc>
      </w:tr>
      <w:tr>
        <w:trPr>
          <w:cantSplit/>
        </w:trPr>
        <w:tc>
          <w:tcPr>
            <w:tcW w:type="dxa" w:w="2448"/>
            <w:vAlign w:val="top"/>
            <w:shd w:fill="F5F7F9"/>
          </w:tcPr>
          <w:p>
            <w:pPr>
              <w:spacing w:after="40"/>
            </w:pPr>
            <w:r>
              <w:rPr>
                <w:rFonts w:ascii="Times New Roman" w:hAnsi="Times New Roman"/>
                <w:sz w:val="18"/>
              </w:rPr>
              <w:t>checkpoint_path</w:t>
            </w:r>
          </w:p>
        </w:tc>
        <w:tc>
          <w:tcPr>
            <w:tcW w:type="dxa" w:w="6768"/>
            <w:vAlign w:val="top"/>
            <w:shd w:fill="F5F7F9"/>
          </w:tcPr>
          <w:p>
            <w:pPr>
              <w:spacing w:after="40"/>
            </w:pPr>
            <w:r>
              <w:rPr>
                <w:rFonts w:ascii="Times New Roman" w:hAnsi="Times New Roman"/>
                <w:sz w:val="18"/>
              </w:rPr>
              <w:t>Exact model state used in audits</w:t>
            </w:r>
          </w:p>
        </w:tc>
      </w:tr>
      <w:tr>
        <w:trPr>
          <w:cantSplit/>
        </w:trPr>
        <w:tc>
          <w:tcPr>
            <w:tcW w:type="dxa" w:w="2448"/>
            <w:vAlign w:val="top"/>
          </w:tcPr>
          <w:p>
            <w:pPr>
              <w:spacing w:after="40"/>
            </w:pPr>
            <w:r>
              <w:rPr>
                <w:rFonts w:ascii="Times New Roman" w:hAnsi="Times New Roman"/>
                <w:sz w:val="18"/>
              </w:rPr>
              <w:t>git_commit</w:t>
            </w:r>
          </w:p>
        </w:tc>
        <w:tc>
          <w:tcPr>
            <w:tcW w:type="dxa" w:w="6768"/>
            <w:vAlign w:val="top"/>
          </w:tcPr>
          <w:p>
            <w:pPr>
              <w:spacing w:after="40"/>
            </w:pPr>
            <w:r>
              <w:rPr>
                <w:rFonts w:ascii="Times New Roman" w:hAnsi="Times New Roman"/>
                <w:sz w:val="18"/>
              </w:rPr>
              <w:t>Code version used to create result</w:t>
            </w:r>
          </w:p>
        </w:tc>
      </w:tr>
    </w:tbl>
    <w:p>
      <w:pPr>
        <w:spacing w:after="20"/>
      </w:pPr>
    </w:p>
    <w:p>
      <w:pPr>
        <w:pStyle w:val="ListBullet"/>
        <w:spacing w:after="60"/>
        <w:ind w:left="346"/>
      </w:pPr>
      <w:r>
        <w:t>Freeze the environment after the first stable pipeline.</w:t>
      </w:r>
    </w:p>
    <w:p>
      <w:pPr>
        <w:pStyle w:val="ListBullet"/>
        <w:spacing w:after="60"/>
        <w:ind w:left="346"/>
      </w:pPr>
      <w:r>
        <w:t>Set deterministic/random seeds explicitly but acknowledge that GPU training may still show nondeterminism.</w:t>
      </w:r>
    </w:p>
    <w:p>
      <w:pPr>
        <w:pStyle w:val="ListBullet"/>
        <w:spacing w:after="60"/>
        <w:ind w:left="346"/>
      </w:pPr>
      <w:r>
        <w:t>Keep train/validation/test and member/non-member partitions fixed per experimental protocol.</w:t>
      </w:r>
    </w:p>
    <w:p>
      <w:pPr>
        <w:pStyle w:val="ListBullet"/>
        <w:spacing w:after="60"/>
        <w:ind w:left="346"/>
      </w:pPr>
      <w:r>
        <w:t>Generate paper figures from logged results, not from hand-edited numbers.</w:t>
      </w:r>
    </w:p>
    <w:p>
      <w:pPr>
        <w:pStyle w:val="ListBullet"/>
        <w:spacing w:after="60"/>
        <w:ind w:left="346"/>
      </w:pPr>
      <w:r>
        <w:t>Document any departure from published baseline code.</w:t>
      </w:r>
    </w:p>
    <w:p>
      <w:pPr>
        <w:pStyle w:val="Heading1"/>
        <w:keepNext/>
      </w:pPr>
      <w:r>
        <w:t>19. Risks and Mitigation</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1944"/>
            <w:shd w:fill="17324D"/>
            <w:vAlign w:val="center"/>
          </w:tcPr>
          <w:p>
            <w:r>
              <w:rPr>
                <w:rFonts w:ascii="Times New Roman" w:hAnsi="Times New Roman"/>
                <w:b/>
                <w:color w:val="FFFFFF"/>
                <w:sz w:val="17"/>
              </w:rPr>
              <w:t>Risk</w:t>
            </w:r>
          </w:p>
        </w:tc>
        <w:tc>
          <w:tcPr>
            <w:tcW w:type="dxa" w:w="3240"/>
            <w:shd w:fill="17324D"/>
            <w:vAlign w:val="center"/>
          </w:tcPr>
          <w:p>
            <w:r>
              <w:rPr>
                <w:rFonts w:ascii="Times New Roman" w:hAnsi="Times New Roman"/>
                <w:b/>
                <w:color w:val="FFFFFF"/>
                <w:sz w:val="17"/>
              </w:rPr>
              <w:t>Why It Matters</w:t>
            </w:r>
          </w:p>
        </w:tc>
        <w:tc>
          <w:tcPr>
            <w:tcW w:type="dxa" w:w="3960"/>
            <w:shd w:fill="17324D"/>
            <w:vAlign w:val="center"/>
          </w:tcPr>
          <w:p>
            <w:r>
              <w:rPr>
                <w:rFonts w:ascii="Times New Roman" w:hAnsi="Times New Roman"/>
                <w:b/>
                <w:color w:val="FFFFFF"/>
                <w:sz w:val="17"/>
              </w:rPr>
              <w:t>Mitigation</w:t>
            </w:r>
          </w:p>
        </w:tc>
      </w:tr>
      <w:tr>
        <w:trPr>
          <w:cantSplit/>
        </w:trPr>
        <w:tc>
          <w:tcPr>
            <w:tcW w:type="dxa" w:w="1944"/>
            <w:vAlign w:val="top"/>
          </w:tcPr>
          <w:p>
            <w:pPr>
              <w:spacing w:after="40"/>
            </w:pPr>
            <w:r>
              <w:rPr>
                <w:rFonts w:ascii="Times New Roman" w:hAnsi="Times New Roman"/>
                <w:sz w:val="17"/>
              </w:rPr>
              <w:t>Compute burden</w:t>
            </w:r>
          </w:p>
        </w:tc>
        <w:tc>
          <w:tcPr>
            <w:tcW w:type="dxa" w:w="3240"/>
            <w:vAlign w:val="top"/>
          </w:tcPr>
          <w:p>
            <w:pPr>
              <w:spacing w:after="40"/>
            </w:pPr>
            <w:r>
              <w:rPr>
                <w:rFonts w:ascii="Times New Roman" w:hAnsi="Times New Roman"/>
                <w:sz w:val="17"/>
              </w:rPr>
              <w:t>Full retraining across seeds/settings can dominate runtime.</w:t>
            </w:r>
          </w:p>
        </w:tc>
        <w:tc>
          <w:tcPr>
            <w:tcW w:type="dxa" w:w="3960"/>
            <w:vAlign w:val="top"/>
          </w:tcPr>
          <w:p>
            <w:pPr>
              <w:spacing w:after="40"/>
            </w:pPr>
            <w:r>
              <w:rPr>
                <w:rFonts w:ascii="Times New Roman" w:hAnsi="Times New Roman"/>
                <w:sz w:val="17"/>
              </w:rPr>
              <w:t>Use CIFAR-10 + ResNet-18, pilot one seed first, automate runs, use Colab/Kaggle/university GPU as needed.</w:t>
            </w:r>
          </w:p>
        </w:tc>
      </w:tr>
      <w:tr>
        <w:trPr>
          <w:cantSplit/>
        </w:trPr>
        <w:tc>
          <w:tcPr>
            <w:tcW w:type="dxa" w:w="1944"/>
            <w:vAlign w:val="top"/>
            <w:shd w:fill="F5F7F9"/>
          </w:tcPr>
          <w:p>
            <w:pPr>
              <w:spacing w:after="40"/>
            </w:pPr>
            <w:r>
              <w:rPr>
                <w:rFonts w:ascii="Times New Roman" w:hAnsi="Times New Roman"/>
                <w:sz w:val="17"/>
              </w:rPr>
              <w:t>Old research code breaks</w:t>
            </w:r>
          </w:p>
        </w:tc>
        <w:tc>
          <w:tcPr>
            <w:tcW w:type="dxa" w:w="3240"/>
            <w:vAlign w:val="top"/>
            <w:shd w:fill="F5F7F9"/>
          </w:tcPr>
          <w:p>
            <w:pPr>
              <w:spacing w:after="40"/>
            </w:pPr>
            <w:r>
              <w:rPr>
                <w:rFonts w:ascii="Times New Roman" w:hAnsi="Times New Roman"/>
                <w:sz w:val="17"/>
              </w:rPr>
              <w:t>Academic repositories may depend on outdated libraries.</w:t>
            </w:r>
          </w:p>
        </w:tc>
        <w:tc>
          <w:tcPr>
            <w:tcW w:type="dxa" w:w="3960"/>
            <w:vAlign w:val="top"/>
            <w:shd w:fill="F5F7F9"/>
          </w:tcPr>
          <w:p>
            <w:pPr>
              <w:spacing w:after="40"/>
            </w:pPr>
            <w:r>
              <w:rPr>
                <w:rFonts w:ascii="Times New Roman" w:hAnsi="Times New Roman"/>
                <w:sz w:val="17"/>
              </w:rPr>
              <w:t>Containerize or freeze environment; port only the minimum necessary components; validate on reported baseline setting.</w:t>
            </w:r>
          </w:p>
        </w:tc>
      </w:tr>
      <w:tr>
        <w:trPr>
          <w:cantSplit/>
        </w:trPr>
        <w:tc>
          <w:tcPr>
            <w:tcW w:type="dxa" w:w="1944"/>
            <w:vAlign w:val="top"/>
          </w:tcPr>
          <w:p>
            <w:pPr>
              <w:spacing w:after="40"/>
            </w:pPr>
            <w:r>
              <w:rPr>
                <w:rFonts w:ascii="Times New Roman" w:hAnsi="Times New Roman"/>
                <w:sz w:val="17"/>
              </w:rPr>
              <w:t>MIA is unstable</w:t>
            </w:r>
          </w:p>
        </w:tc>
        <w:tc>
          <w:tcPr>
            <w:tcW w:type="dxa" w:w="3240"/>
            <w:vAlign w:val="top"/>
          </w:tcPr>
          <w:p>
            <w:pPr>
              <w:spacing w:after="40"/>
            </w:pPr>
            <w:r>
              <w:rPr>
                <w:rFonts w:ascii="Times New Roman" w:hAnsi="Times New Roman"/>
                <w:sz w:val="17"/>
              </w:rPr>
              <w:t>Different attacks can give different privacy conclusions.</w:t>
            </w:r>
          </w:p>
        </w:tc>
        <w:tc>
          <w:tcPr>
            <w:tcW w:type="dxa" w:w="3960"/>
            <w:vAlign w:val="top"/>
          </w:tcPr>
          <w:p>
            <w:pPr>
              <w:spacing w:after="40"/>
            </w:pPr>
            <w:r>
              <w:rPr>
                <w:rFonts w:ascii="Times New Roman" w:hAnsi="Times New Roman"/>
                <w:sz w:val="17"/>
              </w:rPr>
              <w:t>Treat MIA as one audit, report protocol and uncertainty, avoid claiming proof from one attack.</w:t>
            </w:r>
          </w:p>
        </w:tc>
      </w:tr>
      <w:tr>
        <w:trPr>
          <w:cantSplit/>
        </w:trPr>
        <w:tc>
          <w:tcPr>
            <w:tcW w:type="dxa" w:w="1944"/>
            <w:vAlign w:val="top"/>
            <w:shd w:fill="F5F7F9"/>
          </w:tcPr>
          <w:p>
            <w:pPr>
              <w:spacing w:after="40"/>
            </w:pPr>
            <w:r>
              <w:rPr>
                <w:rFonts w:ascii="Times New Roman" w:hAnsi="Times New Roman"/>
                <w:sz w:val="17"/>
              </w:rPr>
              <w:t>Representation metrics are ambiguous</w:t>
            </w:r>
          </w:p>
        </w:tc>
        <w:tc>
          <w:tcPr>
            <w:tcW w:type="dxa" w:w="3240"/>
            <w:vAlign w:val="top"/>
            <w:shd w:fill="F5F7F9"/>
          </w:tcPr>
          <w:p>
            <w:pPr>
              <w:spacing w:after="40"/>
            </w:pPr>
            <w:r>
              <w:rPr>
                <w:rFonts w:ascii="Times New Roman" w:hAnsi="Times New Roman"/>
                <w:sz w:val="17"/>
              </w:rPr>
              <w:t>High CKA similarity does not equal retained private data.</w:t>
            </w:r>
          </w:p>
        </w:tc>
        <w:tc>
          <w:tcPr>
            <w:tcW w:type="dxa" w:w="3960"/>
            <w:vAlign w:val="top"/>
            <w:shd w:fill="F5F7F9"/>
          </w:tcPr>
          <w:p>
            <w:pPr>
              <w:spacing w:after="40"/>
            </w:pPr>
            <w:r>
              <w:rPr>
                <w:rFonts w:ascii="Times New Roman" w:hAnsi="Times New Roman"/>
                <w:sz w:val="17"/>
              </w:rPr>
              <w:t>Interpret only relative to both original and retrained models; combine with behavioral and relearning evidence.</w:t>
            </w:r>
          </w:p>
        </w:tc>
      </w:tr>
      <w:tr>
        <w:trPr>
          <w:cantSplit/>
        </w:trPr>
        <w:tc>
          <w:tcPr>
            <w:tcW w:type="dxa" w:w="1944"/>
            <w:vAlign w:val="top"/>
          </w:tcPr>
          <w:p>
            <w:pPr>
              <w:spacing w:after="40"/>
            </w:pPr>
            <w:r>
              <w:rPr>
                <w:rFonts w:ascii="Times New Roman" w:hAnsi="Times New Roman"/>
                <w:sz w:val="17"/>
              </w:rPr>
              <w:t>Forget set is too easy</w:t>
            </w:r>
          </w:p>
        </w:tc>
        <w:tc>
          <w:tcPr>
            <w:tcW w:type="dxa" w:w="3240"/>
            <w:vAlign w:val="top"/>
          </w:tcPr>
          <w:p>
            <w:pPr>
              <w:spacing w:after="40"/>
            </w:pPr>
            <w:r>
              <w:rPr>
                <w:rFonts w:ascii="Times New Roman" w:hAnsi="Times New Roman"/>
                <w:sz w:val="17"/>
              </w:rPr>
              <w:t>Original and retrained behavior may already be nearly indistinguishable.</w:t>
            </w:r>
          </w:p>
        </w:tc>
        <w:tc>
          <w:tcPr>
            <w:tcW w:type="dxa" w:w="3960"/>
            <w:vAlign w:val="top"/>
          </w:tcPr>
          <w:p>
            <w:pPr>
              <w:spacing w:after="40"/>
            </w:pPr>
            <w:r>
              <w:rPr>
                <w:rFonts w:ascii="Times New Roman" w:hAnsi="Times New Roman"/>
                <w:sz w:val="17"/>
              </w:rPr>
              <w:t>Include high-memorization setting and low-discriminability flag [7], [8].</w:t>
            </w:r>
          </w:p>
        </w:tc>
      </w:tr>
      <w:tr>
        <w:trPr>
          <w:cantSplit/>
        </w:trPr>
        <w:tc>
          <w:tcPr>
            <w:tcW w:type="dxa" w:w="1944"/>
            <w:vAlign w:val="top"/>
            <w:shd w:fill="F5F7F9"/>
          </w:tcPr>
          <w:p>
            <w:pPr>
              <w:spacing w:after="40"/>
            </w:pPr>
            <w:r>
              <w:rPr>
                <w:rFonts w:ascii="Times New Roman" w:hAnsi="Times New Roman"/>
                <w:sz w:val="17"/>
              </w:rPr>
              <w:t>Relearning result confounded by optimization</w:t>
            </w:r>
          </w:p>
        </w:tc>
        <w:tc>
          <w:tcPr>
            <w:tcW w:type="dxa" w:w="3240"/>
            <w:vAlign w:val="top"/>
            <w:shd w:fill="F5F7F9"/>
          </w:tcPr>
          <w:p>
            <w:pPr>
              <w:spacing w:after="40"/>
            </w:pPr>
            <w:r>
              <w:rPr>
                <w:rFonts w:ascii="Times New Roman" w:hAnsi="Times New Roman"/>
                <w:sz w:val="17"/>
              </w:rPr>
              <w:t>A faster recovery curve may reflect learning-rate or data effects.</w:t>
            </w:r>
          </w:p>
        </w:tc>
        <w:tc>
          <w:tcPr>
            <w:tcW w:type="dxa" w:w="3960"/>
            <w:vAlign w:val="top"/>
            <w:shd w:fill="F5F7F9"/>
          </w:tcPr>
          <w:p>
            <w:pPr>
              <w:spacing w:after="40"/>
            </w:pPr>
            <w:r>
              <w:rPr>
                <w:rFonts w:ascii="Times New Roman" w:hAnsi="Times New Roman"/>
                <w:sz w:val="17"/>
              </w:rPr>
              <w:t>Use identical optimizer/data schedules for Mu and Mr and repeat across seeds.</w:t>
            </w:r>
          </w:p>
        </w:tc>
      </w:tr>
      <w:tr>
        <w:trPr>
          <w:cantSplit/>
        </w:trPr>
        <w:tc>
          <w:tcPr>
            <w:tcW w:type="dxa" w:w="1944"/>
            <w:vAlign w:val="top"/>
          </w:tcPr>
          <w:p>
            <w:pPr>
              <w:spacing w:after="40"/>
            </w:pPr>
            <w:r>
              <w:rPr>
                <w:rFonts w:ascii="Times New Roman" w:hAnsi="Times New Roman"/>
                <w:sz w:val="17"/>
              </w:rPr>
              <w:t>Scope creep into LLMs</w:t>
            </w:r>
          </w:p>
        </w:tc>
        <w:tc>
          <w:tcPr>
            <w:tcW w:type="dxa" w:w="3240"/>
            <w:vAlign w:val="top"/>
          </w:tcPr>
          <w:p>
            <w:pPr>
              <w:spacing w:after="40"/>
            </w:pPr>
            <w:r>
              <w:rPr>
                <w:rFonts w:ascii="Times New Roman" w:hAnsi="Times New Roman"/>
                <w:sz w:val="17"/>
              </w:rPr>
              <w:t>LLM extension can consume compute and obscure the core paper.</w:t>
            </w:r>
          </w:p>
        </w:tc>
        <w:tc>
          <w:tcPr>
            <w:tcW w:type="dxa" w:w="3960"/>
            <w:vAlign w:val="top"/>
          </w:tcPr>
          <w:p>
            <w:pPr>
              <w:spacing w:after="40"/>
            </w:pPr>
            <w:r>
              <w:rPr>
                <w:rFonts w:ascii="Times New Roman" w:hAnsi="Times New Roman"/>
                <w:sz w:val="17"/>
              </w:rPr>
              <w:t>Keep TOFU/LLM work optional until all CIFAR experiments and audits are complete.</w:t>
            </w:r>
          </w:p>
        </w:tc>
      </w:tr>
      <w:tr>
        <w:trPr>
          <w:cantSplit/>
        </w:trPr>
        <w:tc>
          <w:tcPr>
            <w:tcW w:type="dxa" w:w="1944"/>
            <w:vAlign w:val="top"/>
            <w:shd w:fill="F5F7F9"/>
          </w:tcPr>
          <w:p>
            <w:pPr>
              <w:spacing w:after="40"/>
            </w:pPr>
            <w:r>
              <w:rPr>
                <w:rFonts w:ascii="Times New Roman" w:hAnsi="Times New Roman"/>
                <w:sz w:val="17"/>
              </w:rPr>
              <w:t>Novelty overclaim</w:t>
            </w:r>
          </w:p>
        </w:tc>
        <w:tc>
          <w:tcPr>
            <w:tcW w:type="dxa" w:w="3240"/>
            <w:vAlign w:val="top"/>
            <w:shd w:fill="F5F7F9"/>
          </w:tcPr>
          <w:p>
            <w:pPr>
              <w:spacing w:after="40"/>
            </w:pPr>
            <w:r>
              <w:rPr>
                <w:rFonts w:ascii="Times New Roman" w:hAnsi="Times New Roman"/>
                <w:sz w:val="17"/>
              </w:rPr>
              <w:t>2026 work already contains general unlearning auditing and representation diagnostics.</w:t>
            </w:r>
          </w:p>
        </w:tc>
        <w:tc>
          <w:tcPr>
            <w:tcW w:type="dxa" w:w="3960"/>
            <w:vAlign w:val="top"/>
            <w:shd w:fill="F5F7F9"/>
          </w:tcPr>
          <w:p>
            <w:pPr>
              <w:spacing w:after="40"/>
            </w:pPr>
            <w:r>
              <w:rPr>
                <w:rFonts w:ascii="Times New Roman" w:hAnsi="Times New Roman"/>
                <w:sz w:val="17"/>
              </w:rPr>
              <w:t>Use the exact novelty statement in Section 6 and cite overlapping work explicitly.</w:t>
            </w:r>
          </w:p>
        </w:tc>
      </w:tr>
    </w:tbl>
    <w:p>
      <w:pPr>
        <w:spacing w:after="20"/>
      </w:pPr>
    </w:p>
    <w:p>
      <w:pPr>
        <w:pStyle w:val="Heading1"/>
        <w:keepNext/>
      </w:pPr>
      <w:r>
        <w:t>20. Expected Deliverables and Demo</w:t>
      </w:r>
    </w:p>
    <w:p>
      <w:pPr>
        <w:pStyle w:val="Heading2"/>
        <w:keepNext/>
      </w:pPr>
      <w:r>
        <w:t>20.1 Final Deliverables</w:t>
      </w:r>
    </w:p>
    <w:p>
      <w:pPr>
        <w:spacing w:after="60"/>
        <w:ind w:left="403" w:hanging="317"/>
      </w:pPr>
      <w:r>
        <w:rPr>
          <w:b/>
        </w:rPr>
        <w:t xml:space="preserve">1. </w:t>
      </w:r>
      <w:r>
        <w:t>Complete literature survey and annotated bibliography.</w:t>
      </w:r>
    </w:p>
    <w:p>
      <w:pPr>
        <w:spacing w:after="60"/>
        <w:ind w:left="403" w:hanging="317"/>
      </w:pPr>
      <w:r>
        <w:rPr>
          <w:b/>
        </w:rPr>
        <w:t xml:space="preserve">2. </w:t>
      </w:r>
      <w:r>
        <w:t>Reproducible Git repository and environment specification.</w:t>
      </w:r>
    </w:p>
    <w:p>
      <w:pPr>
        <w:spacing w:after="60"/>
        <w:ind w:left="403" w:hanging="317"/>
      </w:pPr>
      <w:r>
        <w:rPr>
          <w:b/>
        </w:rPr>
        <w:t xml:space="preserve">3. </w:t>
      </w:r>
      <w:r>
        <w:t>Original and retrained model checkpoints for the controlled benchmark settings.</w:t>
      </w:r>
    </w:p>
    <w:p>
      <w:pPr>
        <w:spacing w:after="60"/>
        <w:ind w:left="403" w:hanging="317"/>
      </w:pPr>
      <w:r>
        <w:rPr>
          <w:b/>
        </w:rPr>
        <w:t xml:space="preserve">4. </w:t>
      </w:r>
      <w:r>
        <w:t>Implementations/wrappers for four core unlearning methods.</w:t>
      </w:r>
    </w:p>
    <w:p>
      <w:pPr>
        <w:spacing w:after="60"/>
        <w:ind w:left="403" w:hanging="317"/>
      </w:pPr>
      <w:r>
        <w:rPr>
          <w:b/>
        </w:rPr>
        <w:t xml:space="preserve">5. </w:t>
      </w:r>
      <w:r>
        <w:t>Behavioral and output-similarity audit module.</w:t>
      </w:r>
    </w:p>
    <w:p>
      <w:pPr>
        <w:spacing w:after="60"/>
        <w:ind w:left="403" w:hanging="317"/>
      </w:pPr>
      <w:r>
        <w:rPr>
          <w:b/>
        </w:rPr>
        <w:t xml:space="preserve">6. </w:t>
      </w:r>
      <w:r>
        <w:t>Membership-inference privacy audit module.</w:t>
      </w:r>
    </w:p>
    <w:p>
      <w:pPr>
        <w:spacing w:after="60"/>
        <w:ind w:left="403" w:hanging="317"/>
      </w:pPr>
      <w:r>
        <w:rPr>
          <w:b/>
        </w:rPr>
        <w:t xml:space="preserve">7. </w:t>
      </w:r>
      <w:r>
        <w:t>Representation-analysis module with CKA and visualization.</w:t>
      </w:r>
    </w:p>
    <w:p>
      <w:pPr>
        <w:spacing w:after="60"/>
        <w:ind w:left="403" w:hanging="317"/>
      </w:pPr>
      <w:r>
        <w:rPr>
          <w:b/>
        </w:rPr>
        <w:t xml:space="preserve">8. </w:t>
      </w:r>
      <w:r>
        <w:t>Relearning/reversibility module.</w:t>
      </w:r>
    </w:p>
    <w:p>
      <w:pPr>
        <w:spacing w:after="60"/>
        <w:ind w:left="403" w:hanging="317"/>
      </w:pPr>
      <w:r>
        <w:rPr>
          <w:b/>
        </w:rPr>
        <w:t xml:space="preserve">9. </w:t>
      </w:r>
      <w:r>
        <w:t>Cross-audit agreement/disagreement analyzer.</w:t>
      </w:r>
    </w:p>
    <w:p>
      <w:pPr>
        <w:spacing w:after="60"/>
        <w:ind w:left="403" w:hanging="317"/>
      </w:pPr>
      <w:r>
        <w:rPr>
          <w:b/>
        </w:rPr>
        <w:t xml:space="preserve">10. </w:t>
      </w:r>
      <w:r>
        <w:t>Final result tables and publication-quality figures.</w:t>
      </w:r>
    </w:p>
    <w:p>
      <w:pPr>
        <w:spacing w:after="60"/>
        <w:ind w:left="403" w:hanging="317"/>
      </w:pPr>
      <w:r>
        <w:rPr>
          <w:b/>
        </w:rPr>
        <w:t xml:space="preserve">11. </w:t>
      </w:r>
      <w:r>
        <w:t>Streamlit demonstration dashboard.</w:t>
      </w:r>
    </w:p>
    <w:p>
      <w:pPr>
        <w:spacing w:after="60"/>
        <w:ind w:left="403" w:hanging="317"/>
      </w:pPr>
      <w:r>
        <w:rPr>
          <w:b/>
        </w:rPr>
        <w:t xml:space="preserve">12. </w:t>
      </w:r>
      <w:r>
        <w:t>Project report, IEEE-style research paper and presentation deck.</w:t>
      </w:r>
    </w:p>
    <w:p>
      <w:pPr>
        <w:pStyle w:val="Heading2"/>
        <w:keepNext/>
      </w:pPr>
      <w:r>
        <w:t>20.2 Demonstration Dashboard</w:t>
      </w:r>
    </w:p>
    <w:p>
      <w:pPr>
        <w:spacing w:after="120"/>
      </w:pPr>
      <w:r>
        <w:rPr>
          <w:i w:val="0"/>
        </w:rPr>
        <w:t>The dashboard should allow a user/evaluator to select a forget setting and an unlearning method and view the major audit results. It is a visualization layer over completed experiments, not the research contribution itself.</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2592"/>
            <w:shd w:fill="17324D"/>
            <w:vAlign w:val="center"/>
          </w:tcPr>
          <w:p>
            <w:r>
              <w:rPr>
                <w:rFonts w:ascii="Times New Roman" w:hAnsi="Times New Roman"/>
                <w:b/>
                <w:color w:val="FFFFFF"/>
                <w:sz w:val="19"/>
              </w:rPr>
              <w:t>Dashboard Component</w:t>
            </w:r>
          </w:p>
        </w:tc>
        <w:tc>
          <w:tcPr>
            <w:tcW w:type="dxa" w:w="6624"/>
            <w:shd w:fill="17324D"/>
            <w:vAlign w:val="center"/>
          </w:tcPr>
          <w:p>
            <w:r>
              <w:rPr>
                <w:rFonts w:ascii="Times New Roman" w:hAnsi="Times New Roman"/>
                <w:b/>
                <w:color w:val="FFFFFF"/>
                <w:sz w:val="19"/>
              </w:rPr>
              <w:t>Display</w:t>
            </w:r>
          </w:p>
        </w:tc>
      </w:tr>
      <w:tr>
        <w:trPr>
          <w:cantSplit/>
        </w:trPr>
        <w:tc>
          <w:tcPr>
            <w:tcW w:type="dxa" w:w="2592"/>
            <w:vAlign w:val="top"/>
          </w:tcPr>
          <w:p>
            <w:pPr>
              <w:spacing w:after="40"/>
            </w:pPr>
            <w:r>
              <w:rPr>
                <w:rFonts w:ascii="Times New Roman" w:hAnsi="Times New Roman"/>
                <w:sz w:val="19"/>
              </w:rPr>
              <w:t>Model selector</w:t>
            </w:r>
          </w:p>
        </w:tc>
        <w:tc>
          <w:tcPr>
            <w:tcW w:type="dxa" w:w="6624"/>
            <w:vAlign w:val="top"/>
          </w:tcPr>
          <w:p>
            <w:pPr>
              <w:spacing w:after="40"/>
            </w:pPr>
            <w:r>
              <w:rPr>
                <w:rFonts w:ascii="Times New Roman" w:hAnsi="Times New Roman"/>
                <w:sz w:val="19"/>
              </w:rPr>
              <w:t>Original / Retrained / Fine-tune / NegGrad / SCRUB / SSD</w:t>
            </w:r>
          </w:p>
        </w:tc>
      </w:tr>
      <w:tr>
        <w:trPr>
          <w:cantSplit/>
        </w:trPr>
        <w:tc>
          <w:tcPr>
            <w:tcW w:type="dxa" w:w="2592"/>
            <w:vAlign w:val="top"/>
            <w:shd w:fill="F5F7F9"/>
          </w:tcPr>
          <w:p>
            <w:pPr>
              <w:spacing w:after="40"/>
            </w:pPr>
            <w:r>
              <w:rPr>
                <w:rFonts w:ascii="Times New Roman" w:hAnsi="Times New Roman"/>
                <w:sz w:val="19"/>
              </w:rPr>
              <w:t>Forget setting</w:t>
            </w:r>
          </w:p>
        </w:tc>
        <w:tc>
          <w:tcPr>
            <w:tcW w:type="dxa" w:w="6624"/>
            <w:vAlign w:val="top"/>
            <w:shd w:fill="F5F7F9"/>
          </w:tcPr>
          <w:p>
            <w:pPr>
              <w:spacing w:after="40"/>
            </w:pPr>
            <w:r>
              <w:rPr>
                <w:rFonts w:ascii="Times New Roman" w:hAnsi="Times New Roman"/>
                <w:sz w:val="19"/>
              </w:rPr>
              <w:t>Random 1 / 5 / 10 / high-memorization 5</w:t>
            </w:r>
          </w:p>
        </w:tc>
      </w:tr>
      <w:tr>
        <w:trPr>
          <w:cantSplit/>
        </w:trPr>
        <w:tc>
          <w:tcPr>
            <w:tcW w:type="dxa" w:w="2592"/>
            <w:vAlign w:val="top"/>
          </w:tcPr>
          <w:p>
            <w:pPr>
              <w:spacing w:after="40"/>
            </w:pPr>
            <w:r>
              <w:rPr>
                <w:rFonts w:ascii="Times New Roman" w:hAnsi="Times New Roman"/>
                <w:sz w:val="19"/>
              </w:rPr>
              <w:t>Utility card</w:t>
            </w:r>
          </w:p>
        </w:tc>
        <w:tc>
          <w:tcPr>
            <w:tcW w:type="dxa" w:w="6624"/>
            <w:vAlign w:val="top"/>
          </w:tcPr>
          <w:p>
            <w:pPr>
              <w:spacing w:after="40"/>
            </w:pPr>
            <w:r>
              <w:rPr>
                <w:rFonts w:ascii="Times New Roman" w:hAnsi="Times New Roman"/>
                <w:sz w:val="19"/>
              </w:rPr>
              <w:t>Retain/test accuracy</w:t>
            </w:r>
          </w:p>
        </w:tc>
      </w:tr>
      <w:tr>
        <w:trPr>
          <w:cantSplit/>
        </w:trPr>
        <w:tc>
          <w:tcPr>
            <w:tcW w:type="dxa" w:w="2592"/>
            <w:vAlign w:val="top"/>
            <w:shd w:fill="F5F7F9"/>
          </w:tcPr>
          <w:p>
            <w:pPr>
              <w:spacing w:after="40"/>
            </w:pPr>
            <w:r>
              <w:rPr>
                <w:rFonts w:ascii="Times New Roman" w:hAnsi="Times New Roman"/>
                <w:sz w:val="19"/>
              </w:rPr>
              <w:t>Privacy card</w:t>
            </w:r>
          </w:p>
        </w:tc>
        <w:tc>
          <w:tcPr>
            <w:tcW w:type="dxa" w:w="6624"/>
            <w:vAlign w:val="top"/>
            <w:shd w:fill="F5F7F9"/>
          </w:tcPr>
          <w:p>
            <w:pPr>
              <w:spacing w:after="40"/>
            </w:pPr>
            <w:r>
              <w:rPr>
                <w:rFonts w:ascii="Times New Roman" w:hAnsi="Times New Roman"/>
                <w:sz w:val="19"/>
              </w:rPr>
              <w:t>MIA AUC and/or attack accuracy</w:t>
            </w:r>
          </w:p>
        </w:tc>
      </w:tr>
      <w:tr>
        <w:trPr>
          <w:cantSplit/>
        </w:trPr>
        <w:tc>
          <w:tcPr>
            <w:tcW w:type="dxa" w:w="2592"/>
            <w:vAlign w:val="top"/>
          </w:tcPr>
          <w:p>
            <w:pPr>
              <w:spacing w:after="40"/>
            </w:pPr>
            <w:r>
              <w:rPr>
                <w:rFonts w:ascii="Times New Roman" w:hAnsi="Times New Roman"/>
                <w:sz w:val="19"/>
              </w:rPr>
              <w:t>Oracle similarity</w:t>
            </w:r>
          </w:p>
        </w:tc>
        <w:tc>
          <w:tcPr>
            <w:tcW w:type="dxa" w:w="6624"/>
            <w:vAlign w:val="top"/>
          </w:tcPr>
          <w:p>
            <w:pPr>
              <w:spacing w:after="40"/>
            </w:pPr>
            <w:r>
              <w:rPr>
                <w:rFonts w:ascii="Times New Roman" w:hAnsi="Times New Roman"/>
                <w:sz w:val="19"/>
              </w:rPr>
              <w:t>JS distance and prediction agreement</w:t>
            </w:r>
          </w:p>
        </w:tc>
      </w:tr>
      <w:tr>
        <w:trPr>
          <w:cantSplit/>
        </w:trPr>
        <w:tc>
          <w:tcPr>
            <w:tcW w:type="dxa" w:w="2592"/>
            <w:vAlign w:val="top"/>
            <w:shd w:fill="F5F7F9"/>
          </w:tcPr>
          <w:p>
            <w:pPr>
              <w:spacing w:after="40"/>
            </w:pPr>
            <w:r>
              <w:rPr>
                <w:rFonts w:ascii="Times New Roman" w:hAnsi="Times New Roman"/>
                <w:sz w:val="19"/>
              </w:rPr>
              <w:t>Representation</w:t>
            </w:r>
          </w:p>
        </w:tc>
        <w:tc>
          <w:tcPr>
            <w:tcW w:type="dxa" w:w="6624"/>
            <w:vAlign w:val="top"/>
            <w:shd w:fill="F5F7F9"/>
          </w:tcPr>
          <w:p>
            <w:pPr>
              <w:spacing w:after="40"/>
            </w:pPr>
            <w:r>
              <w:rPr>
                <w:rFonts w:ascii="Times New Roman" w:hAnsi="Times New Roman"/>
                <w:sz w:val="19"/>
              </w:rPr>
              <w:t>CKA heatmap and optional PCA view</w:t>
            </w:r>
          </w:p>
        </w:tc>
      </w:tr>
      <w:tr>
        <w:trPr>
          <w:cantSplit/>
        </w:trPr>
        <w:tc>
          <w:tcPr>
            <w:tcW w:type="dxa" w:w="2592"/>
            <w:vAlign w:val="top"/>
          </w:tcPr>
          <w:p>
            <w:pPr>
              <w:spacing w:after="40"/>
            </w:pPr>
            <w:r>
              <w:rPr>
                <w:rFonts w:ascii="Times New Roman" w:hAnsi="Times New Roman"/>
                <w:sz w:val="19"/>
              </w:rPr>
              <w:t>Relearning</w:t>
            </w:r>
          </w:p>
        </w:tc>
        <w:tc>
          <w:tcPr>
            <w:tcW w:type="dxa" w:w="6624"/>
            <w:vAlign w:val="top"/>
          </w:tcPr>
          <w:p>
            <w:pPr>
              <w:spacing w:after="40"/>
            </w:pPr>
            <w:r>
              <w:rPr>
                <w:rFonts w:ascii="Times New Roman" w:hAnsi="Times New Roman"/>
                <w:sz w:val="19"/>
              </w:rPr>
              <w:t>Recovery curve and T80 / AUC</w:t>
            </w:r>
          </w:p>
        </w:tc>
      </w:tr>
      <w:tr>
        <w:trPr>
          <w:cantSplit/>
        </w:trPr>
        <w:tc>
          <w:tcPr>
            <w:tcW w:type="dxa" w:w="2592"/>
            <w:vAlign w:val="top"/>
            <w:shd w:fill="F5F7F9"/>
          </w:tcPr>
          <w:p>
            <w:pPr>
              <w:spacing w:after="40"/>
            </w:pPr>
            <w:r>
              <w:rPr>
                <w:rFonts w:ascii="Times New Roman" w:hAnsi="Times New Roman"/>
                <w:sz w:val="19"/>
              </w:rPr>
              <w:t>Comparison</w:t>
            </w:r>
          </w:p>
        </w:tc>
        <w:tc>
          <w:tcPr>
            <w:tcW w:type="dxa" w:w="6624"/>
            <w:vAlign w:val="top"/>
            <w:shd w:fill="F5F7F9"/>
          </w:tcPr>
          <w:p>
            <w:pPr>
              <w:spacing w:after="40"/>
            </w:pPr>
            <w:r>
              <w:rPr>
                <w:rFonts w:ascii="Times New Roman" w:hAnsi="Times New Roman"/>
                <w:sz w:val="19"/>
              </w:rPr>
              <w:t>Audit rankings and disagreement matrix</w:t>
            </w:r>
          </w:p>
        </w:tc>
      </w:tr>
      <w:tr>
        <w:trPr>
          <w:cantSplit/>
        </w:trPr>
        <w:tc>
          <w:tcPr>
            <w:tcW w:type="dxa" w:w="2592"/>
            <w:vAlign w:val="top"/>
          </w:tcPr>
          <w:p>
            <w:pPr>
              <w:spacing w:after="40"/>
            </w:pPr>
            <w:r>
              <w:rPr>
                <w:rFonts w:ascii="Times New Roman" w:hAnsi="Times New Roman"/>
                <w:sz w:val="19"/>
              </w:rPr>
              <w:t>Efficiency</w:t>
            </w:r>
          </w:p>
        </w:tc>
        <w:tc>
          <w:tcPr>
            <w:tcW w:type="dxa" w:w="6624"/>
            <w:vAlign w:val="top"/>
          </w:tcPr>
          <w:p>
            <w:pPr>
              <w:spacing w:after="40"/>
            </w:pPr>
            <w:r>
              <w:rPr>
                <w:rFonts w:ascii="Times New Roman" w:hAnsi="Times New Roman"/>
                <w:sz w:val="19"/>
              </w:rPr>
              <w:t>Runtime / GPU time</w:t>
            </w:r>
          </w:p>
        </w:tc>
      </w:tr>
    </w:tbl>
    <w:p>
      <w:pPr>
        <w:spacing w:after="20"/>
      </w:pPr>
    </w:p>
    <w:p>
      <w:pPr>
        <w:pStyle w:val="Heading1"/>
        <w:keepNext/>
      </w:pPr>
      <w:r>
        <w:t>21. Semester Plan / Gantt</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1008"/>
            <w:shd w:fill="17324D"/>
            <w:vAlign w:val="center"/>
          </w:tcPr>
          <w:p>
            <w:r>
              <w:rPr>
                <w:rFonts w:ascii="Times New Roman" w:hAnsi="Times New Roman"/>
                <w:b/>
                <w:color w:val="FFFFFF"/>
                <w:sz w:val="18"/>
              </w:rPr>
              <w:t>Week</w:t>
            </w:r>
          </w:p>
        </w:tc>
        <w:tc>
          <w:tcPr>
            <w:tcW w:type="dxa" w:w="4176"/>
            <w:shd w:fill="17324D"/>
            <w:vAlign w:val="center"/>
          </w:tcPr>
          <w:p>
            <w:r>
              <w:rPr>
                <w:rFonts w:ascii="Times New Roman" w:hAnsi="Times New Roman"/>
                <w:b/>
                <w:color w:val="FFFFFF"/>
                <w:sz w:val="18"/>
              </w:rPr>
              <w:t>Primary Work</w:t>
            </w:r>
          </w:p>
        </w:tc>
        <w:tc>
          <w:tcPr>
            <w:tcW w:type="dxa" w:w="4032"/>
            <w:shd w:fill="17324D"/>
            <w:vAlign w:val="center"/>
          </w:tcPr>
          <w:p>
            <w:r>
              <w:rPr>
                <w:rFonts w:ascii="Times New Roman" w:hAnsi="Times New Roman"/>
                <w:b/>
                <w:color w:val="FFFFFF"/>
                <w:sz w:val="18"/>
              </w:rPr>
              <w:t>Concrete Output</w:t>
            </w:r>
          </w:p>
        </w:tc>
      </w:tr>
      <w:tr>
        <w:trPr>
          <w:cantSplit/>
        </w:trPr>
        <w:tc>
          <w:tcPr>
            <w:tcW w:type="dxa" w:w="1008"/>
            <w:vAlign w:val="top"/>
          </w:tcPr>
          <w:p>
            <w:pPr>
              <w:spacing w:after="40"/>
            </w:pPr>
            <w:r>
              <w:rPr>
                <w:rFonts w:ascii="Times New Roman" w:hAnsi="Times New Roman"/>
                <w:sz w:val="18"/>
              </w:rPr>
              <w:t>1</w:t>
            </w:r>
          </w:p>
        </w:tc>
        <w:tc>
          <w:tcPr>
            <w:tcW w:type="dxa" w:w="4176"/>
            <w:vAlign w:val="top"/>
          </w:tcPr>
          <w:p>
            <w:pPr>
              <w:spacing w:after="40"/>
            </w:pPr>
            <w:r>
              <w:rPr>
                <w:rFonts w:ascii="Times New Roman" w:hAnsi="Times New Roman"/>
                <w:sz w:val="18"/>
              </w:rPr>
              <w:t>Finalize topic and core literature</w:t>
            </w:r>
          </w:p>
        </w:tc>
        <w:tc>
          <w:tcPr>
            <w:tcW w:type="dxa" w:w="4032"/>
            <w:vAlign w:val="top"/>
          </w:tcPr>
          <w:p>
            <w:pPr>
              <w:spacing w:after="40"/>
            </w:pPr>
            <w:r>
              <w:rPr>
                <w:rFonts w:ascii="Times New Roman" w:hAnsi="Times New Roman"/>
                <w:sz w:val="18"/>
              </w:rPr>
              <w:t>Master reference + literature notes</w:t>
            </w:r>
          </w:p>
        </w:tc>
      </w:tr>
      <w:tr>
        <w:trPr>
          <w:cantSplit/>
        </w:trPr>
        <w:tc>
          <w:tcPr>
            <w:tcW w:type="dxa" w:w="1008"/>
            <w:vAlign w:val="top"/>
            <w:shd w:fill="F5F7F9"/>
          </w:tcPr>
          <w:p>
            <w:pPr>
              <w:spacing w:after="40"/>
            </w:pPr>
            <w:r>
              <w:rPr>
                <w:rFonts w:ascii="Times New Roman" w:hAnsi="Times New Roman"/>
                <w:sz w:val="18"/>
              </w:rPr>
              <w:t>2</w:t>
            </w:r>
          </w:p>
        </w:tc>
        <w:tc>
          <w:tcPr>
            <w:tcW w:type="dxa" w:w="4176"/>
            <w:vAlign w:val="top"/>
            <w:shd w:fill="F5F7F9"/>
          </w:tcPr>
          <w:p>
            <w:pPr>
              <w:spacing w:after="40"/>
            </w:pPr>
            <w:r>
              <w:rPr>
                <w:rFonts w:ascii="Times New Roman" w:hAnsi="Times New Roman"/>
                <w:sz w:val="18"/>
              </w:rPr>
              <w:t>Synopsis and experiment specification</w:t>
            </w:r>
          </w:p>
        </w:tc>
        <w:tc>
          <w:tcPr>
            <w:tcW w:type="dxa" w:w="4032"/>
            <w:vAlign w:val="top"/>
            <w:shd w:fill="F5F7F9"/>
          </w:tcPr>
          <w:p>
            <w:pPr>
              <w:spacing w:after="40"/>
            </w:pPr>
            <w:r>
              <w:rPr>
                <w:rFonts w:ascii="Times New Roman" w:hAnsi="Times New Roman"/>
                <w:sz w:val="18"/>
              </w:rPr>
              <w:t>Approved synopsis; frozen RQs/metrics</w:t>
            </w:r>
          </w:p>
        </w:tc>
      </w:tr>
      <w:tr>
        <w:trPr>
          <w:cantSplit/>
        </w:trPr>
        <w:tc>
          <w:tcPr>
            <w:tcW w:type="dxa" w:w="1008"/>
            <w:vAlign w:val="top"/>
          </w:tcPr>
          <w:p>
            <w:pPr>
              <w:spacing w:after="40"/>
            </w:pPr>
            <w:r>
              <w:rPr>
                <w:rFonts w:ascii="Times New Roman" w:hAnsi="Times New Roman"/>
                <w:sz w:val="18"/>
              </w:rPr>
              <w:t>3</w:t>
            </w:r>
          </w:p>
        </w:tc>
        <w:tc>
          <w:tcPr>
            <w:tcW w:type="dxa" w:w="4176"/>
            <w:vAlign w:val="top"/>
          </w:tcPr>
          <w:p>
            <w:pPr>
              <w:spacing w:after="40"/>
            </w:pPr>
            <w:r>
              <w:rPr>
                <w:rFonts w:ascii="Times New Roman" w:hAnsi="Times New Roman"/>
                <w:sz w:val="18"/>
              </w:rPr>
              <w:t>CIFAR/ResNet baseline</w:t>
            </w:r>
          </w:p>
        </w:tc>
        <w:tc>
          <w:tcPr>
            <w:tcW w:type="dxa" w:w="4032"/>
            <w:vAlign w:val="top"/>
          </w:tcPr>
          <w:p>
            <w:pPr>
              <w:spacing w:after="40"/>
            </w:pPr>
            <w:r>
              <w:rPr>
                <w:rFonts w:ascii="Times New Roman" w:hAnsi="Times New Roman"/>
                <w:sz w:val="18"/>
              </w:rPr>
              <w:t>Reproducible M0 training pipeline</w:t>
            </w:r>
          </w:p>
        </w:tc>
      </w:tr>
      <w:tr>
        <w:trPr>
          <w:cantSplit/>
        </w:trPr>
        <w:tc>
          <w:tcPr>
            <w:tcW w:type="dxa" w:w="1008"/>
            <w:vAlign w:val="top"/>
            <w:shd w:fill="F5F7F9"/>
          </w:tcPr>
          <w:p>
            <w:pPr>
              <w:spacing w:after="40"/>
            </w:pPr>
            <w:r>
              <w:rPr>
                <w:rFonts w:ascii="Times New Roman" w:hAnsi="Times New Roman"/>
                <w:sz w:val="18"/>
              </w:rPr>
              <w:t>4</w:t>
            </w:r>
          </w:p>
        </w:tc>
        <w:tc>
          <w:tcPr>
            <w:tcW w:type="dxa" w:w="4176"/>
            <w:vAlign w:val="top"/>
            <w:shd w:fill="F5F7F9"/>
          </w:tcPr>
          <w:p>
            <w:pPr>
              <w:spacing w:after="40"/>
            </w:pPr>
            <w:r>
              <w:rPr>
                <w:rFonts w:ascii="Times New Roman" w:hAnsi="Times New Roman"/>
                <w:sz w:val="18"/>
              </w:rPr>
              <w:t>Forget-set generator + retraining oracle</w:t>
            </w:r>
          </w:p>
        </w:tc>
        <w:tc>
          <w:tcPr>
            <w:tcW w:type="dxa" w:w="4032"/>
            <w:vAlign w:val="top"/>
            <w:shd w:fill="F5F7F9"/>
          </w:tcPr>
          <w:p>
            <w:pPr>
              <w:spacing w:after="40"/>
            </w:pPr>
            <w:r>
              <w:rPr>
                <w:rFonts w:ascii="Times New Roman" w:hAnsi="Times New Roman"/>
                <w:sz w:val="18"/>
              </w:rPr>
              <w:t>Random settings + first Mr</w:t>
            </w:r>
          </w:p>
        </w:tc>
      </w:tr>
      <w:tr>
        <w:trPr>
          <w:cantSplit/>
        </w:trPr>
        <w:tc>
          <w:tcPr>
            <w:tcW w:type="dxa" w:w="1008"/>
            <w:vAlign w:val="top"/>
          </w:tcPr>
          <w:p>
            <w:pPr>
              <w:spacing w:after="40"/>
            </w:pPr>
            <w:r>
              <w:rPr>
                <w:rFonts w:ascii="Times New Roman" w:hAnsi="Times New Roman"/>
                <w:sz w:val="18"/>
              </w:rPr>
              <w:t>5</w:t>
            </w:r>
          </w:p>
        </w:tc>
        <w:tc>
          <w:tcPr>
            <w:tcW w:type="dxa" w:w="4176"/>
            <w:vAlign w:val="top"/>
          </w:tcPr>
          <w:p>
            <w:pPr>
              <w:spacing w:after="40"/>
            </w:pPr>
            <w:r>
              <w:rPr>
                <w:rFonts w:ascii="Times New Roman" w:hAnsi="Times New Roman"/>
                <w:sz w:val="18"/>
              </w:rPr>
              <w:t>Fine-tuning + NegGrad</w:t>
            </w:r>
          </w:p>
        </w:tc>
        <w:tc>
          <w:tcPr>
            <w:tcW w:type="dxa" w:w="4032"/>
            <w:vAlign w:val="top"/>
          </w:tcPr>
          <w:p>
            <w:pPr>
              <w:spacing w:after="40"/>
            </w:pPr>
            <w:r>
              <w:rPr>
                <w:rFonts w:ascii="Times New Roman" w:hAnsi="Times New Roman"/>
                <w:sz w:val="18"/>
              </w:rPr>
              <w:t>Two simple unlearning baselines</w:t>
            </w:r>
          </w:p>
        </w:tc>
      </w:tr>
      <w:tr>
        <w:trPr>
          <w:cantSplit/>
        </w:trPr>
        <w:tc>
          <w:tcPr>
            <w:tcW w:type="dxa" w:w="1008"/>
            <w:vAlign w:val="top"/>
            <w:shd w:fill="F5F7F9"/>
          </w:tcPr>
          <w:p>
            <w:pPr>
              <w:spacing w:after="40"/>
            </w:pPr>
            <w:r>
              <w:rPr>
                <w:rFonts w:ascii="Times New Roman" w:hAnsi="Times New Roman"/>
                <w:sz w:val="18"/>
              </w:rPr>
              <w:t>6</w:t>
            </w:r>
          </w:p>
        </w:tc>
        <w:tc>
          <w:tcPr>
            <w:tcW w:type="dxa" w:w="4176"/>
            <w:vAlign w:val="top"/>
            <w:shd w:fill="F5F7F9"/>
          </w:tcPr>
          <w:p>
            <w:pPr>
              <w:spacing w:after="40"/>
            </w:pPr>
            <w:r>
              <w:rPr>
                <w:rFonts w:ascii="Times New Roman" w:hAnsi="Times New Roman"/>
                <w:sz w:val="18"/>
              </w:rPr>
              <w:t>SCRUB reproduction</w:t>
            </w:r>
          </w:p>
        </w:tc>
        <w:tc>
          <w:tcPr>
            <w:tcW w:type="dxa" w:w="4032"/>
            <w:vAlign w:val="top"/>
            <w:shd w:fill="F5F7F9"/>
          </w:tcPr>
          <w:p>
            <w:pPr>
              <w:spacing w:after="40"/>
            </w:pPr>
            <w:r>
              <w:rPr>
                <w:rFonts w:ascii="Times New Roman" w:hAnsi="Times New Roman"/>
                <w:sz w:val="18"/>
              </w:rPr>
              <w:t>Validated SCRUB pipeline</w:t>
            </w:r>
          </w:p>
        </w:tc>
      </w:tr>
      <w:tr>
        <w:trPr>
          <w:cantSplit/>
        </w:trPr>
        <w:tc>
          <w:tcPr>
            <w:tcW w:type="dxa" w:w="1008"/>
            <w:vAlign w:val="top"/>
          </w:tcPr>
          <w:p>
            <w:pPr>
              <w:spacing w:after="40"/>
            </w:pPr>
            <w:r>
              <w:rPr>
                <w:rFonts w:ascii="Times New Roman" w:hAnsi="Times New Roman"/>
                <w:sz w:val="18"/>
              </w:rPr>
              <w:t>7</w:t>
            </w:r>
          </w:p>
        </w:tc>
        <w:tc>
          <w:tcPr>
            <w:tcW w:type="dxa" w:w="4176"/>
            <w:vAlign w:val="top"/>
          </w:tcPr>
          <w:p>
            <w:pPr>
              <w:spacing w:after="40"/>
            </w:pPr>
            <w:r>
              <w:rPr>
                <w:rFonts w:ascii="Times New Roman" w:hAnsi="Times New Roman"/>
                <w:sz w:val="18"/>
              </w:rPr>
              <w:t>SSD reproduction</w:t>
            </w:r>
          </w:p>
        </w:tc>
        <w:tc>
          <w:tcPr>
            <w:tcW w:type="dxa" w:w="4032"/>
            <w:vAlign w:val="top"/>
          </w:tcPr>
          <w:p>
            <w:pPr>
              <w:spacing w:after="40"/>
            </w:pPr>
            <w:r>
              <w:rPr>
                <w:rFonts w:ascii="Times New Roman" w:hAnsi="Times New Roman"/>
                <w:sz w:val="18"/>
              </w:rPr>
              <w:t>Validated SSD pipeline</w:t>
            </w:r>
          </w:p>
        </w:tc>
      </w:tr>
      <w:tr>
        <w:trPr>
          <w:cantSplit/>
        </w:trPr>
        <w:tc>
          <w:tcPr>
            <w:tcW w:type="dxa" w:w="1008"/>
            <w:vAlign w:val="top"/>
            <w:shd w:fill="F5F7F9"/>
          </w:tcPr>
          <w:p>
            <w:pPr>
              <w:spacing w:after="40"/>
            </w:pPr>
            <w:r>
              <w:rPr>
                <w:rFonts w:ascii="Times New Roman" w:hAnsi="Times New Roman"/>
                <w:sz w:val="18"/>
              </w:rPr>
              <w:t>8</w:t>
            </w:r>
          </w:p>
        </w:tc>
        <w:tc>
          <w:tcPr>
            <w:tcW w:type="dxa" w:w="4176"/>
            <w:vAlign w:val="top"/>
            <w:shd w:fill="F5F7F9"/>
          </w:tcPr>
          <w:p>
            <w:pPr>
              <w:spacing w:after="40"/>
            </w:pPr>
            <w:r>
              <w:rPr>
                <w:rFonts w:ascii="Times New Roman" w:hAnsi="Times New Roman"/>
                <w:sz w:val="18"/>
              </w:rPr>
              <w:t>Behavioral/oracle-distance audits</w:t>
            </w:r>
          </w:p>
        </w:tc>
        <w:tc>
          <w:tcPr>
            <w:tcW w:type="dxa" w:w="4032"/>
            <w:vAlign w:val="top"/>
            <w:shd w:fill="F5F7F9"/>
          </w:tcPr>
          <w:p>
            <w:pPr>
              <w:spacing w:after="40"/>
            </w:pPr>
            <w:r>
              <w:rPr>
                <w:rFonts w:ascii="Times New Roman" w:hAnsi="Times New Roman"/>
                <w:sz w:val="18"/>
              </w:rPr>
              <w:t>Utility + output-similarity results</w:t>
            </w:r>
          </w:p>
        </w:tc>
      </w:tr>
      <w:tr>
        <w:trPr>
          <w:cantSplit/>
        </w:trPr>
        <w:tc>
          <w:tcPr>
            <w:tcW w:type="dxa" w:w="1008"/>
            <w:vAlign w:val="top"/>
          </w:tcPr>
          <w:p>
            <w:pPr>
              <w:spacing w:after="40"/>
            </w:pPr>
            <w:r>
              <w:rPr>
                <w:rFonts w:ascii="Times New Roman" w:hAnsi="Times New Roman"/>
                <w:sz w:val="18"/>
              </w:rPr>
              <w:t>9</w:t>
            </w:r>
          </w:p>
        </w:tc>
        <w:tc>
          <w:tcPr>
            <w:tcW w:type="dxa" w:w="4176"/>
            <w:vAlign w:val="top"/>
          </w:tcPr>
          <w:p>
            <w:pPr>
              <w:spacing w:after="40"/>
            </w:pPr>
            <w:r>
              <w:rPr>
                <w:rFonts w:ascii="Times New Roman" w:hAnsi="Times New Roman"/>
                <w:sz w:val="18"/>
              </w:rPr>
              <w:t>Membership inference</w:t>
            </w:r>
          </w:p>
        </w:tc>
        <w:tc>
          <w:tcPr>
            <w:tcW w:type="dxa" w:w="4032"/>
            <w:vAlign w:val="top"/>
          </w:tcPr>
          <w:p>
            <w:pPr>
              <w:spacing w:after="40"/>
            </w:pPr>
            <w:r>
              <w:rPr>
                <w:rFonts w:ascii="Times New Roman" w:hAnsi="Times New Roman"/>
                <w:sz w:val="18"/>
              </w:rPr>
              <w:t>MIA results and checks</w:t>
            </w:r>
          </w:p>
        </w:tc>
      </w:tr>
      <w:tr>
        <w:trPr>
          <w:cantSplit/>
        </w:trPr>
        <w:tc>
          <w:tcPr>
            <w:tcW w:type="dxa" w:w="1008"/>
            <w:vAlign w:val="top"/>
            <w:shd w:fill="F5F7F9"/>
          </w:tcPr>
          <w:p>
            <w:pPr>
              <w:spacing w:after="40"/>
            </w:pPr>
            <w:r>
              <w:rPr>
                <w:rFonts w:ascii="Times New Roman" w:hAnsi="Times New Roman"/>
                <w:sz w:val="18"/>
              </w:rPr>
              <w:t>10</w:t>
            </w:r>
          </w:p>
        </w:tc>
        <w:tc>
          <w:tcPr>
            <w:tcW w:type="dxa" w:w="4176"/>
            <w:vAlign w:val="top"/>
            <w:shd w:fill="F5F7F9"/>
          </w:tcPr>
          <w:p>
            <w:pPr>
              <w:spacing w:after="40"/>
            </w:pPr>
            <w:r>
              <w:rPr>
                <w:rFonts w:ascii="Times New Roman" w:hAnsi="Times New Roman"/>
                <w:sz w:val="18"/>
              </w:rPr>
              <w:t>Representation extraction + CKA</w:t>
            </w:r>
          </w:p>
        </w:tc>
        <w:tc>
          <w:tcPr>
            <w:tcW w:type="dxa" w:w="4032"/>
            <w:vAlign w:val="top"/>
            <w:shd w:fill="F5F7F9"/>
          </w:tcPr>
          <w:p>
            <w:pPr>
              <w:spacing w:after="40"/>
            </w:pPr>
            <w:r>
              <w:rPr>
                <w:rFonts w:ascii="Times New Roman" w:hAnsi="Times New Roman"/>
                <w:sz w:val="18"/>
              </w:rPr>
              <w:t>Layer-wise CKA pipeline</w:t>
            </w:r>
          </w:p>
        </w:tc>
      </w:tr>
      <w:tr>
        <w:trPr>
          <w:cantSplit/>
        </w:trPr>
        <w:tc>
          <w:tcPr>
            <w:tcW w:type="dxa" w:w="1008"/>
            <w:vAlign w:val="top"/>
          </w:tcPr>
          <w:p>
            <w:pPr>
              <w:spacing w:after="40"/>
            </w:pPr>
            <w:r>
              <w:rPr>
                <w:rFonts w:ascii="Times New Roman" w:hAnsi="Times New Roman"/>
                <w:sz w:val="18"/>
              </w:rPr>
              <w:t>11</w:t>
            </w:r>
          </w:p>
        </w:tc>
        <w:tc>
          <w:tcPr>
            <w:tcW w:type="dxa" w:w="4176"/>
            <w:vAlign w:val="top"/>
          </w:tcPr>
          <w:p>
            <w:pPr>
              <w:spacing w:after="40"/>
            </w:pPr>
            <w:r>
              <w:rPr>
                <w:rFonts w:ascii="Times New Roman" w:hAnsi="Times New Roman"/>
                <w:sz w:val="18"/>
              </w:rPr>
              <w:t>Relearning experiment</w:t>
            </w:r>
          </w:p>
        </w:tc>
        <w:tc>
          <w:tcPr>
            <w:tcW w:type="dxa" w:w="4032"/>
            <w:vAlign w:val="top"/>
          </w:tcPr>
          <w:p>
            <w:pPr>
              <w:spacing w:after="40"/>
            </w:pPr>
            <w:r>
              <w:rPr>
                <w:rFonts w:ascii="Times New Roman" w:hAnsi="Times New Roman"/>
                <w:sz w:val="18"/>
              </w:rPr>
              <w:t>Recovery curves and summary metrics</w:t>
            </w:r>
          </w:p>
        </w:tc>
      </w:tr>
      <w:tr>
        <w:trPr>
          <w:cantSplit/>
        </w:trPr>
        <w:tc>
          <w:tcPr>
            <w:tcW w:type="dxa" w:w="1008"/>
            <w:vAlign w:val="top"/>
            <w:shd w:fill="F5F7F9"/>
          </w:tcPr>
          <w:p>
            <w:pPr>
              <w:spacing w:after="40"/>
            </w:pPr>
            <w:r>
              <w:rPr>
                <w:rFonts w:ascii="Times New Roman" w:hAnsi="Times New Roman"/>
                <w:sz w:val="18"/>
              </w:rPr>
              <w:t>12</w:t>
            </w:r>
          </w:p>
        </w:tc>
        <w:tc>
          <w:tcPr>
            <w:tcW w:type="dxa" w:w="4176"/>
            <w:vAlign w:val="top"/>
            <w:shd w:fill="F5F7F9"/>
          </w:tcPr>
          <w:p>
            <w:pPr>
              <w:spacing w:after="40"/>
            </w:pPr>
            <w:r>
              <w:rPr>
                <w:rFonts w:ascii="Times New Roman" w:hAnsi="Times New Roman"/>
                <w:sz w:val="18"/>
              </w:rPr>
              <w:t>High-memorization condition</w:t>
            </w:r>
          </w:p>
        </w:tc>
        <w:tc>
          <w:tcPr>
            <w:tcW w:type="dxa" w:w="4032"/>
            <w:vAlign w:val="top"/>
            <w:shd w:fill="F5F7F9"/>
          </w:tcPr>
          <w:p>
            <w:pPr>
              <w:spacing w:after="40"/>
            </w:pPr>
            <w:r>
              <w:rPr>
                <w:rFonts w:ascii="Times New Roman" w:hAnsi="Times New Roman"/>
                <w:sz w:val="18"/>
              </w:rPr>
              <w:t>Hard forget set + pilot results</w:t>
            </w:r>
          </w:p>
        </w:tc>
      </w:tr>
      <w:tr>
        <w:trPr>
          <w:cantSplit/>
        </w:trPr>
        <w:tc>
          <w:tcPr>
            <w:tcW w:type="dxa" w:w="1008"/>
            <w:vAlign w:val="top"/>
          </w:tcPr>
          <w:p>
            <w:pPr>
              <w:spacing w:after="40"/>
            </w:pPr>
            <w:r>
              <w:rPr>
                <w:rFonts w:ascii="Times New Roman" w:hAnsi="Times New Roman"/>
                <w:sz w:val="18"/>
              </w:rPr>
              <w:t>13</w:t>
            </w:r>
          </w:p>
        </w:tc>
        <w:tc>
          <w:tcPr>
            <w:tcW w:type="dxa" w:w="4176"/>
            <w:vAlign w:val="top"/>
          </w:tcPr>
          <w:p>
            <w:pPr>
              <w:spacing w:after="40"/>
            </w:pPr>
            <w:r>
              <w:rPr>
                <w:rFonts w:ascii="Times New Roman" w:hAnsi="Times New Roman"/>
                <w:sz w:val="18"/>
              </w:rPr>
              <w:t>Full multi-seed matrix</w:t>
            </w:r>
          </w:p>
        </w:tc>
        <w:tc>
          <w:tcPr>
            <w:tcW w:type="dxa" w:w="4032"/>
            <w:vAlign w:val="top"/>
          </w:tcPr>
          <w:p>
            <w:pPr>
              <w:spacing w:after="40"/>
            </w:pPr>
            <w:r>
              <w:rPr>
                <w:rFonts w:ascii="Times New Roman" w:hAnsi="Times New Roman"/>
                <w:sz w:val="18"/>
              </w:rPr>
              <w:t>Primary experiment completion</w:t>
            </w:r>
          </w:p>
        </w:tc>
      </w:tr>
      <w:tr>
        <w:trPr>
          <w:cantSplit/>
        </w:trPr>
        <w:tc>
          <w:tcPr>
            <w:tcW w:type="dxa" w:w="1008"/>
            <w:vAlign w:val="top"/>
            <w:shd w:fill="F5F7F9"/>
          </w:tcPr>
          <w:p>
            <w:pPr>
              <w:spacing w:after="40"/>
            </w:pPr>
            <w:r>
              <w:rPr>
                <w:rFonts w:ascii="Times New Roman" w:hAnsi="Times New Roman"/>
                <w:sz w:val="18"/>
              </w:rPr>
              <w:t>14</w:t>
            </w:r>
          </w:p>
        </w:tc>
        <w:tc>
          <w:tcPr>
            <w:tcW w:type="dxa" w:w="4176"/>
            <w:vAlign w:val="top"/>
            <w:shd w:fill="F5F7F9"/>
          </w:tcPr>
          <w:p>
            <w:pPr>
              <w:spacing w:after="40"/>
            </w:pPr>
            <w:r>
              <w:rPr>
                <w:rFonts w:ascii="Times New Roman" w:hAnsi="Times New Roman"/>
                <w:sz w:val="18"/>
              </w:rPr>
              <w:t>Statistics + disagreement analysis</w:t>
            </w:r>
          </w:p>
        </w:tc>
        <w:tc>
          <w:tcPr>
            <w:tcW w:type="dxa" w:w="4032"/>
            <w:vAlign w:val="top"/>
            <w:shd w:fill="F5F7F9"/>
          </w:tcPr>
          <w:p>
            <w:pPr>
              <w:spacing w:after="40"/>
            </w:pPr>
            <w:r>
              <w:rPr>
                <w:rFonts w:ascii="Times New Roman" w:hAnsi="Times New Roman"/>
                <w:sz w:val="18"/>
              </w:rPr>
              <w:t>Rank correlations, CI, disagreement matrix</w:t>
            </w:r>
          </w:p>
        </w:tc>
      </w:tr>
      <w:tr>
        <w:trPr>
          <w:cantSplit/>
        </w:trPr>
        <w:tc>
          <w:tcPr>
            <w:tcW w:type="dxa" w:w="1008"/>
            <w:vAlign w:val="top"/>
          </w:tcPr>
          <w:p>
            <w:pPr>
              <w:spacing w:after="40"/>
            </w:pPr>
            <w:r>
              <w:rPr>
                <w:rFonts w:ascii="Times New Roman" w:hAnsi="Times New Roman"/>
                <w:sz w:val="18"/>
              </w:rPr>
              <w:t>15</w:t>
            </w:r>
          </w:p>
        </w:tc>
        <w:tc>
          <w:tcPr>
            <w:tcW w:type="dxa" w:w="4176"/>
            <w:vAlign w:val="top"/>
          </w:tcPr>
          <w:p>
            <w:pPr>
              <w:spacing w:after="40"/>
            </w:pPr>
            <w:r>
              <w:rPr>
                <w:rFonts w:ascii="Times New Roman" w:hAnsi="Times New Roman"/>
                <w:sz w:val="18"/>
              </w:rPr>
              <w:t>Dashboard + report</w:t>
            </w:r>
          </w:p>
        </w:tc>
        <w:tc>
          <w:tcPr>
            <w:tcW w:type="dxa" w:w="4032"/>
            <w:vAlign w:val="top"/>
          </w:tcPr>
          <w:p>
            <w:pPr>
              <w:spacing w:after="40"/>
            </w:pPr>
            <w:r>
              <w:rPr>
                <w:rFonts w:ascii="Times New Roman" w:hAnsi="Times New Roman"/>
                <w:sz w:val="18"/>
              </w:rPr>
              <w:t>Demo and report draft</w:t>
            </w:r>
          </w:p>
        </w:tc>
      </w:tr>
      <w:tr>
        <w:trPr>
          <w:cantSplit/>
        </w:trPr>
        <w:tc>
          <w:tcPr>
            <w:tcW w:type="dxa" w:w="1008"/>
            <w:vAlign w:val="top"/>
            <w:shd w:fill="F5F7F9"/>
          </w:tcPr>
          <w:p>
            <w:pPr>
              <w:spacing w:after="40"/>
            </w:pPr>
            <w:r>
              <w:rPr>
                <w:rFonts w:ascii="Times New Roman" w:hAnsi="Times New Roman"/>
                <w:sz w:val="18"/>
              </w:rPr>
              <w:t>16</w:t>
            </w:r>
          </w:p>
        </w:tc>
        <w:tc>
          <w:tcPr>
            <w:tcW w:type="dxa" w:w="4176"/>
            <w:vAlign w:val="top"/>
            <w:shd w:fill="F5F7F9"/>
          </w:tcPr>
          <w:p>
            <w:pPr>
              <w:spacing w:after="40"/>
            </w:pPr>
            <w:r>
              <w:rPr>
                <w:rFonts w:ascii="Times New Roman" w:hAnsi="Times New Roman"/>
                <w:sz w:val="18"/>
              </w:rPr>
              <w:t>IEEE paper + presentation</w:t>
            </w:r>
          </w:p>
        </w:tc>
        <w:tc>
          <w:tcPr>
            <w:tcW w:type="dxa" w:w="4032"/>
            <w:vAlign w:val="top"/>
            <w:shd w:fill="F5F7F9"/>
          </w:tcPr>
          <w:p>
            <w:pPr>
              <w:spacing w:after="40"/>
            </w:pPr>
            <w:r>
              <w:rPr>
                <w:rFonts w:ascii="Times New Roman" w:hAnsi="Times New Roman"/>
                <w:sz w:val="18"/>
              </w:rPr>
              <w:t>Final paper and defense materials</w:t>
            </w:r>
          </w:p>
        </w:tc>
      </w:tr>
    </w:tbl>
    <w:p>
      <w:pPr>
        <w:spacing w:after="20"/>
      </w:pPr>
    </w:p>
    <w:p>
      <w:pPr>
        <w:pStyle w:val="Heading1"/>
        <w:keepNext/>
      </w:pPr>
      <w:r>
        <w:t>22. Working Abstract and Mentor Explanation</w:t>
      </w:r>
    </w:p>
    <w:p>
      <w:pPr>
        <w:pStyle w:val="Heading2"/>
        <w:keepNext/>
      </w:pPr>
      <w:r>
        <w:t>22.1 Working Abstract</w:t>
      </w:r>
    </w:p>
    <w:p>
      <w:pPr>
        <w:spacing w:after="120"/>
        <w:ind w:left="259" w:right="259"/>
      </w:pPr>
      <w:r>
        <w:rPr>
          <w:i/>
        </w:rPr>
        <w:t>Machine unlearning aims to remove the influence of selected training data from an already trained machine-learning model without incurring the computational cost of complete retraining. Although numerous approximate unlearning techniques have been proposed, determining whether a model has genuinely forgotten the requested data remains challenging. Existing evaluation approaches examine properties such as retained utility, forget-set behavior, membership privacy, similarity to retrained models or changes in internal representations, yet these audits may not necessarily provide consistent conclusions. This project proposes ForgetCheck, a retraining-grounded empirical study of audit disagreement and reversibility in approximate machine unlearning. Representative unlearning methods including fine-tuning, negative-gradient unlearning, SCRUB and Selective Synaptic Dampening will be evaluated on image-classification models using behavioral, privacy, representation-level and relearning diagnostics. A model retrained from scratch without the forget set will provide a practical reference for comparison. The study will additionally investigate whether audit outcomes depend on forget-set difficulty by comparing random deletion with high-memorization training examples. Agreement among audit families will be quantified through method-ranking correlations and cross-audit disagreement analysis. The project aims to determine when conventional measures of forgetting provide sufficient evidence and when deeper diagnostics reveal materially different conclusions, contributing to more reliable empirical evaluation of approximate machine unlearning.</w:t>
      </w:r>
    </w:p>
    <w:p>
      <w:pPr>
        <w:pStyle w:val="Heading2"/>
        <w:keepNext/>
      </w:pPr>
      <w:r>
        <w:t>22.2 One-Minute Mentor Explanation</w:t>
      </w:r>
    </w:p>
    <w:tbl>
      <w:tblPr>
        <w:tblStyle w:val="TableGrid"/>
        <w:tblW w:type="auto" w:w="0"/>
        <w:jc w:val="center"/>
        <w:tblLook w:firstColumn="1" w:firstRow="1" w:lastColumn="0" w:lastRow="0" w:noHBand="0" w:noVBand="1" w:val="04A0"/>
      </w:tblPr>
      <w:tblGrid>
        <w:gridCol w:w="9242"/>
      </w:tblGrid>
      <w:tr>
        <w:trPr>
          <w:cantSplit/>
        </w:trPr>
        <w:tc>
          <w:tcPr>
            <w:tcW w:type="dxa" w:w="9242"/>
            <w:shd w:fill="EAF3F8"/>
          </w:tcPr>
          <w:p>
            <w:pPr>
              <w:spacing w:after="60"/>
            </w:pPr>
            <w:r>
              <w:rPr>
                <w:b/>
                <w:color w:val="17324D"/>
                <w:sz w:val="23"/>
              </w:rPr>
              <w:t>Use this explanation in mentor discussions</w:t>
            </w:r>
          </w:p>
          <w:p>
            <w:pPr>
              <w:spacing w:after="20"/>
            </w:pPr>
            <w:r>
              <w:rPr>
                <w:sz w:val="21"/>
              </w:rPr>
              <w:t>Machine-learning models can memorize information from their training data. If selected data later has to be removed, deleting the files from storage does not necessarily remove their influence from an already trained model. Machine unlearning attempts to remove that influence without completely retraining the model. The problem is that researchers use different metrics to decide whether unlearning was successful, and recent research shows that some metrics can be misleading. Our project compares several unlearning algorithms and audits them at four levels—behavior, membership privacy, internal representations and relearning. We compare everything against a model retrained without the forgotten data, and study whether these different audits agree or contradict each other. We additionally test whether conclusions change when difficult, highly memorized examples are deleted instead of random examples.</w:t>
            </w:r>
          </w:p>
        </w:tc>
      </w:tr>
    </w:tbl>
    <w:p>
      <w:pPr>
        <w:spacing w:after="20"/>
      </w:pPr>
    </w:p>
    <w:p>
      <w:pPr>
        <w:pStyle w:val="Heading2"/>
        <w:keepNext/>
      </w:pPr>
      <w:r>
        <w:t>22.3 Claims We Must Not Make</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3888"/>
            <w:shd w:fill="17324D"/>
            <w:vAlign w:val="center"/>
          </w:tcPr>
          <w:p>
            <w:r>
              <w:rPr>
                <w:rFonts w:ascii="Times New Roman" w:hAnsi="Times New Roman"/>
                <w:b/>
                <w:color w:val="FFFFFF"/>
                <w:sz w:val="18"/>
              </w:rPr>
              <w:t>Do Not Say</w:t>
            </w:r>
          </w:p>
        </w:tc>
        <w:tc>
          <w:tcPr>
            <w:tcW w:type="dxa" w:w="5328"/>
            <w:shd w:fill="17324D"/>
            <w:vAlign w:val="center"/>
          </w:tcPr>
          <w:p>
            <w:r>
              <w:rPr>
                <w:rFonts w:ascii="Times New Roman" w:hAnsi="Times New Roman"/>
                <w:b/>
                <w:color w:val="FFFFFF"/>
                <w:sz w:val="18"/>
              </w:rPr>
              <w:t>Use This Instead</w:t>
            </w:r>
          </w:p>
        </w:tc>
      </w:tr>
      <w:tr>
        <w:trPr>
          <w:cantSplit/>
        </w:trPr>
        <w:tc>
          <w:tcPr>
            <w:tcW w:type="dxa" w:w="3888"/>
            <w:vAlign w:val="top"/>
          </w:tcPr>
          <w:p>
            <w:pPr>
              <w:spacing w:after="40"/>
            </w:pPr>
            <w:r>
              <w:rPr>
                <w:rFonts w:ascii="Times New Roman" w:hAnsi="Times New Roman"/>
                <w:sz w:val="18"/>
              </w:rPr>
              <w:t>“We prove that the model completely forgot the data.”</w:t>
            </w:r>
          </w:p>
        </w:tc>
        <w:tc>
          <w:tcPr>
            <w:tcW w:type="dxa" w:w="5328"/>
            <w:vAlign w:val="top"/>
          </w:tcPr>
          <w:p>
            <w:pPr>
              <w:spacing w:after="40"/>
            </w:pPr>
            <w:r>
              <w:rPr>
                <w:rFonts w:ascii="Times New Roman" w:hAnsi="Times New Roman"/>
                <w:sz w:val="18"/>
              </w:rPr>
              <w:t>“We find stronger or weaker empirical evidence of retraining-consistent forgetting under the evaluated audits.”</w:t>
            </w:r>
          </w:p>
        </w:tc>
      </w:tr>
      <w:tr>
        <w:trPr>
          <w:cantSplit/>
        </w:trPr>
        <w:tc>
          <w:tcPr>
            <w:tcW w:type="dxa" w:w="3888"/>
            <w:vAlign w:val="top"/>
            <w:shd w:fill="F5F7F9"/>
          </w:tcPr>
          <w:p>
            <w:pPr>
              <w:spacing w:after="40"/>
            </w:pPr>
            <w:r>
              <w:rPr>
                <w:rFonts w:ascii="Times New Roman" w:hAnsi="Times New Roman"/>
                <w:sz w:val="18"/>
              </w:rPr>
              <w:t>“Membership inference proves deletion.”</w:t>
            </w:r>
          </w:p>
        </w:tc>
        <w:tc>
          <w:tcPr>
            <w:tcW w:type="dxa" w:w="5328"/>
            <w:vAlign w:val="top"/>
            <w:shd w:fill="F5F7F9"/>
          </w:tcPr>
          <w:p>
            <w:pPr>
              <w:spacing w:after="40"/>
            </w:pPr>
            <w:r>
              <w:rPr>
                <w:rFonts w:ascii="Times New Roman" w:hAnsi="Times New Roman"/>
                <w:sz w:val="18"/>
              </w:rPr>
              <w:t>“Membership-inference resistance is one privacy-oriented diagnostic.”</w:t>
            </w:r>
          </w:p>
        </w:tc>
      </w:tr>
      <w:tr>
        <w:trPr>
          <w:cantSplit/>
        </w:trPr>
        <w:tc>
          <w:tcPr>
            <w:tcW w:type="dxa" w:w="3888"/>
            <w:vAlign w:val="top"/>
          </w:tcPr>
          <w:p>
            <w:pPr>
              <w:spacing w:after="40"/>
            </w:pPr>
            <w:r>
              <w:rPr>
                <w:rFonts w:ascii="Times New Roman" w:hAnsi="Times New Roman"/>
                <w:sz w:val="18"/>
              </w:rPr>
              <w:t>“ForgetCheck is the first machine-unlearning auditor.”</w:t>
            </w:r>
          </w:p>
        </w:tc>
        <w:tc>
          <w:tcPr>
            <w:tcW w:type="dxa" w:w="5328"/>
            <w:vAlign w:val="top"/>
          </w:tcPr>
          <w:p>
            <w:pPr>
              <w:spacing w:after="40"/>
            </w:pPr>
            <w:r>
              <w:rPr>
                <w:rFonts w:ascii="Times New Roman" w:hAnsi="Times New Roman"/>
                <w:sz w:val="18"/>
              </w:rPr>
              <w:t>“ForgetCheck studies disagreement among existing audit families under a controlled retraining-grounded protocol.”</w:t>
            </w:r>
          </w:p>
        </w:tc>
      </w:tr>
      <w:tr>
        <w:trPr>
          <w:cantSplit/>
        </w:trPr>
        <w:tc>
          <w:tcPr>
            <w:tcW w:type="dxa" w:w="3888"/>
            <w:vAlign w:val="top"/>
            <w:shd w:fill="F5F7F9"/>
          </w:tcPr>
          <w:p>
            <w:pPr>
              <w:spacing w:after="40"/>
            </w:pPr>
            <w:r>
              <w:rPr>
                <w:rFonts w:ascii="Times New Roman" w:hAnsi="Times New Roman"/>
                <w:sz w:val="18"/>
              </w:rPr>
              <w:t>“GDPR requires machine unlearning.”</w:t>
            </w:r>
          </w:p>
        </w:tc>
        <w:tc>
          <w:tcPr>
            <w:tcW w:type="dxa" w:w="5328"/>
            <w:vAlign w:val="top"/>
            <w:shd w:fill="F5F7F9"/>
          </w:tcPr>
          <w:p>
            <w:pPr>
              <w:spacing w:after="40"/>
            </w:pPr>
            <w:r>
              <w:rPr>
                <w:rFonts w:ascii="Times New Roman" w:hAnsi="Times New Roman"/>
                <w:sz w:val="18"/>
              </w:rPr>
              <w:t>“Data-erasure obligations are one motivation for machine-unlearning research; legal compliance depends on context and is outside this project.”</w:t>
            </w:r>
          </w:p>
        </w:tc>
      </w:tr>
      <w:tr>
        <w:trPr>
          <w:cantSplit/>
        </w:trPr>
        <w:tc>
          <w:tcPr>
            <w:tcW w:type="dxa" w:w="3888"/>
            <w:vAlign w:val="top"/>
          </w:tcPr>
          <w:p>
            <w:pPr>
              <w:spacing w:after="40"/>
            </w:pPr>
            <w:r>
              <w:rPr>
                <w:rFonts w:ascii="Times New Roman" w:hAnsi="Times New Roman"/>
                <w:sz w:val="18"/>
              </w:rPr>
              <w:t>“Internal similarity proves the data is still memorized.”</w:t>
            </w:r>
          </w:p>
        </w:tc>
        <w:tc>
          <w:tcPr>
            <w:tcW w:type="dxa" w:w="5328"/>
            <w:vAlign w:val="top"/>
          </w:tcPr>
          <w:p>
            <w:pPr>
              <w:spacing w:after="40"/>
            </w:pPr>
            <w:r>
              <w:rPr>
                <w:rFonts w:ascii="Times New Roman" w:hAnsi="Times New Roman"/>
                <w:sz w:val="18"/>
              </w:rPr>
              <w:t>“Internal similarity is a diagnostic and must be interpreted relative to original and retrained references.”</w:t>
            </w:r>
          </w:p>
        </w:tc>
      </w:tr>
    </w:tbl>
    <w:p>
      <w:pPr>
        <w:spacing w:after="20"/>
      </w:pPr>
    </w:p>
    <w:p>
      <w:pPr>
        <w:pStyle w:val="Heading1"/>
        <w:keepNext/>
      </w:pPr>
      <w:r>
        <w:t>23. Literature Map</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2088"/>
            <w:shd w:fill="17324D"/>
            <w:vAlign w:val="center"/>
          </w:tcPr>
          <w:p>
            <w:r>
              <w:rPr>
                <w:rFonts w:ascii="Times New Roman" w:hAnsi="Times New Roman"/>
                <w:b/>
                <w:color w:val="FFFFFF"/>
                <w:sz w:val="17"/>
              </w:rPr>
              <w:t>Research Stage</w:t>
            </w:r>
          </w:p>
        </w:tc>
        <w:tc>
          <w:tcPr>
            <w:tcW w:type="dxa" w:w="3384"/>
            <w:shd w:fill="17324D"/>
            <w:vAlign w:val="center"/>
          </w:tcPr>
          <w:p>
            <w:r>
              <w:rPr>
                <w:rFonts w:ascii="Times New Roman" w:hAnsi="Times New Roman"/>
                <w:b/>
                <w:color w:val="FFFFFF"/>
                <w:sz w:val="17"/>
              </w:rPr>
              <w:t>Key Work</w:t>
            </w:r>
          </w:p>
        </w:tc>
        <w:tc>
          <w:tcPr>
            <w:tcW w:type="dxa" w:w="4032"/>
            <w:shd w:fill="17324D"/>
            <w:vAlign w:val="center"/>
          </w:tcPr>
          <w:p>
            <w:r>
              <w:rPr>
                <w:rFonts w:ascii="Times New Roman" w:hAnsi="Times New Roman"/>
                <w:b/>
                <w:color w:val="FFFFFF"/>
                <w:sz w:val="17"/>
              </w:rPr>
              <w:t>Role in ForgetCheck</w:t>
            </w:r>
          </w:p>
        </w:tc>
      </w:tr>
      <w:tr>
        <w:trPr>
          <w:cantSplit/>
        </w:trPr>
        <w:tc>
          <w:tcPr>
            <w:tcW w:type="dxa" w:w="2088"/>
            <w:vAlign w:val="top"/>
          </w:tcPr>
          <w:p>
            <w:pPr>
              <w:spacing w:after="40"/>
            </w:pPr>
            <w:r>
              <w:rPr>
                <w:rFonts w:ascii="Times New Roman" w:hAnsi="Times New Roman"/>
                <w:sz w:val="17"/>
              </w:rPr>
              <w:t>Certified/counterfactual target</w:t>
            </w:r>
          </w:p>
        </w:tc>
        <w:tc>
          <w:tcPr>
            <w:tcW w:type="dxa" w:w="3384"/>
            <w:vAlign w:val="top"/>
          </w:tcPr>
          <w:p>
            <w:pPr>
              <w:spacing w:after="40"/>
            </w:pPr>
            <w:r>
              <w:rPr>
                <w:rFonts w:ascii="Times New Roman" w:hAnsi="Times New Roman"/>
                <w:sz w:val="17"/>
              </w:rPr>
              <w:t>Guo et al. [1]</w:t>
            </w:r>
          </w:p>
        </w:tc>
        <w:tc>
          <w:tcPr>
            <w:tcW w:type="dxa" w:w="4032"/>
            <w:vAlign w:val="top"/>
          </w:tcPr>
          <w:p>
            <w:pPr>
              <w:spacing w:after="40"/>
            </w:pPr>
            <w:r>
              <w:rPr>
                <w:rFonts w:ascii="Times New Roman" w:hAnsi="Times New Roman"/>
                <w:sz w:val="17"/>
              </w:rPr>
              <w:t>Motivates retraining-consistent removal as a strong conceptual target.</w:t>
            </w:r>
          </w:p>
        </w:tc>
      </w:tr>
      <w:tr>
        <w:trPr>
          <w:cantSplit/>
        </w:trPr>
        <w:tc>
          <w:tcPr>
            <w:tcW w:type="dxa" w:w="2088"/>
            <w:vAlign w:val="top"/>
            <w:shd w:fill="F5F7F9"/>
          </w:tcPr>
          <w:p>
            <w:pPr>
              <w:spacing w:after="40"/>
            </w:pPr>
            <w:r>
              <w:rPr>
                <w:rFonts w:ascii="Times New Roman" w:hAnsi="Times New Roman"/>
                <w:sz w:val="17"/>
              </w:rPr>
              <w:t>Efficient deletion</w:t>
            </w:r>
          </w:p>
        </w:tc>
        <w:tc>
          <w:tcPr>
            <w:tcW w:type="dxa" w:w="3384"/>
            <w:vAlign w:val="top"/>
            <w:shd w:fill="F5F7F9"/>
          </w:tcPr>
          <w:p>
            <w:pPr>
              <w:spacing w:after="40"/>
            </w:pPr>
            <w:r>
              <w:rPr>
                <w:rFonts w:ascii="Times New Roman" w:hAnsi="Times New Roman"/>
                <w:sz w:val="17"/>
              </w:rPr>
              <w:t>Bourtoule et al. / SISA [2]</w:t>
            </w:r>
          </w:p>
        </w:tc>
        <w:tc>
          <w:tcPr>
            <w:tcW w:type="dxa" w:w="4032"/>
            <w:vAlign w:val="top"/>
            <w:shd w:fill="F5F7F9"/>
          </w:tcPr>
          <w:p>
            <w:pPr>
              <w:spacing w:after="40"/>
            </w:pPr>
            <w:r>
              <w:rPr>
                <w:rFonts w:ascii="Times New Roman" w:hAnsi="Times New Roman"/>
                <w:sz w:val="17"/>
              </w:rPr>
              <w:t>Shows practical motivation for avoiding full retraining.</w:t>
            </w:r>
          </w:p>
        </w:tc>
      </w:tr>
      <w:tr>
        <w:trPr>
          <w:cantSplit/>
        </w:trPr>
        <w:tc>
          <w:tcPr>
            <w:tcW w:type="dxa" w:w="2088"/>
            <w:vAlign w:val="top"/>
          </w:tcPr>
          <w:p>
            <w:pPr>
              <w:spacing w:after="40"/>
            </w:pPr>
            <w:r>
              <w:rPr>
                <w:rFonts w:ascii="Times New Roman" w:hAnsi="Times New Roman"/>
                <w:sz w:val="17"/>
              </w:rPr>
              <w:t>Deep unlearning algorithms</w:t>
            </w:r>
          </w:p>
        </w:tc>
        <w:tc>
          <w:tcPr>
            <w:tcW w:type="dxa" w:w="3384"/>
            <w:vAlign w:val="top"/>
          </w:tcPr>
          <w:p>
            <w:pPr>
              <w:spacing w:after="40"/>
            </w:pPr>
            <w:r>
              <w:rPr>
                <w:rFonts w:ascii="Times New Roman" w:hAnsi="Times New Roman"/>
                <w:sz w:val="17"/>
              </w:rPr>
              <w:t>Incompetent Teacher [3], SCRUB [4], sparsity [5], SSD [6]</w:t>
            </w:r>
          </w:p>
        </w:tc>
        <w:tc>
          <w:tcPr>
            <w:tcW w:type="dxa" w:w="4032"/>
            <w:vAlign w:val="top"/>
          </w:tcPr>
          <w:p>
            <w:pPr>
              <w:spacing w:after="40"/>
            </w:pPr>
            <w:r>
              <w:rPr>
                <w:rFonts w:ascii="Times New Roman" w:hAnsi="Times New Roman"/>
                <w:sz w:val="17"/>
              </w:rPr>
              <w:t>Provides representative algorithm families and baselines.</w:t>
            </w:r>
          </w:p>
        </w:tc>
      </w:tr>
      <w:tr>
        <w:trPr>
          <w:cantSplit/>
        </w:trPr>
        <w:tc>
          <w:tcPr>
            <w:tcW w:type="dxa" w:w="2088"/>
            <w:vAlign w:val="top"/>
            <w:shd w:fill="F5F7F9"/>
          </w:tcPr>
          <w:p>
            <w:pPr>
              <w:spacing w:after="40"/>
            </w:pPr>
            <w:r>
              <w:rPr>
                <w:rFonts w:ascii="Times New Roman" w:hAnsi="Times New Roman"/>
                <w:sz w:val="17"/>
              </w:rPr>
              <w:t>Standardized evaluation</w:t>
            </w:r>
          </w:p>
        </w:tc>
        <w:tc>
          <w:tcPr>
            <w:tcW w:type="dxa" w:w="3384"/>
            <w:vAlign w:val="top"/>
            <w:shd w:fill="F5F7F9"/>
          </w:tcPr>
          <w:p>
            <w:pPr>
              <w:spacing w:after="40"/>
            </w:pPr>
            <w:r>
              <w:rPr>
                <w:rFonts w:ascii="Times New Roman" w:hAnsi="Times New Roman"/>
                <w:sz w:val="17"/>
              </w:rPr>
              <w:t>NeurIPS 2023 Challenge [17]</w:t>
            </w:r>
          </w:p>
        </w:tc>
        <w:tc>
          <w:tcPr>
            <w:tcW w:type="dxa" w:w="4032"/>
            <w:vAlign w:val="top"/>
            <w:shd w:fill="F5F7F9"/>
          </w:tcPr>
          <w:p>
            <w:pPr>
              <w:spacing w:after="40"/>
            </w:pPr>
            <w:r>
              <w:rPr>
                <w:rFonts w:ascii="Times New Roman" w:hAnsi="Times New Roman"/>
                <w:sz w:val="17"/>
              </w:rPr>
              <w:t>Provides public CIFAR/MIA infrastructure and validates evaluation as a research problem.</w:t>
            </w:r>
          </w:p>
        </w:tc>
      </w:tr>
      <w:tr>
        <w:trPr>
          <w:cantSplit/>
        </w:trPr>
        <w:tc>
          <w:tcPr>
            <w:tcW w:type="dxa" w:w="2088"/>
            <w:vAlign w:val="top"/>
          </w:tcPr>
          <w:p>
            <w:pPr>
              <w:spacing w:after="40"/>
            </w:pPr>
            <w:r>
              <w:rPr>
                <w:rFonts w:ascii="Times New Roman" w:hAnsi="Times New Roman"/>
                <w:sz w:val="17"/>
              </w:rPr>
              <w:t>Forget-set difficulty</w:t>
            </w:r>
          </w:p>
        </w:tc>
        <w:tc>
          <w:tcPr>
            <w:tcW w:type="dxa" w:w="3384"/>
            <w:vAlign w:val="top"/>
          </w:tcPr>
          <w:p>
            <w:pPr>
              <w:spacing w:after="40"/>
            </w:pPr>
            <w:r>
              <w:rPr>
                <w:rFonts w:ascii="Times New Roman" w:hAnsi="Times New Roman"/>
                <w:sz w:val="17"/>
              </w:rPr>
              <w:t>Wichert &amp; Sikdar [7], RUM [8]</w:t>
            </w:r>
          </w:p>
        </w:tc>
        <w:tc>
          <w:tcPr>
            <w:tcW w:type="dxa" w:w="4032"/>
            <w:vAlign w:val="top"/>
          </w:tcPr>
          <w:p>
            <w:pPr>
              <w:spacing w:after="40"/>
            </w:pPr>
            <w:r>
              <w:rPr>
                <w:rFonts w:ascii="Times New Roman" w:hAnsi="Times New Roman"/>
                <w:sz w:val="17"/>
              </w:rPr>
              <w:t>Motivates hard/high-memorization deletion condition.</w:t>
            </w:r>
          </w:p>
        </w:tc>
      </w:tr>
      <w:tr>
        <w:trPr>
          <w:cantSplit/>
        </w:trPr>
        <w:tc>
          <w:tcPr>
            <w:tcW w:type="dxa" w:w="2088"/>
            <w:vAlign w:val="top"/>
            <w:shd w:fill="F5F7F9"/>
          </w:tcPr>
          <w:p>
            <w:pPr>
              <w:spacing w:after="40"/>
            </w:pPr>
            <w:r>
              <w:rPr>
                <w:rFonts w:ascii="Times New Roman" w:hAnsi="Times New Roman"/>
                <w:sz w:val="17"/>
              </w:rPr>
              <w:t>LLM controlled benchmarks</w:t>
            </w:r>
          </w:p>
        </w:tc>
        <w:tc>
          <w:tcPr>
            <w:tcW w:type="dxa" w:w="3384"/>
            <w:vAlign w:val="top"/>
            <w:shd w:fill="F5F7F9"/>
          </w:tcPr>
          <w:p>
            <w:pPr>
              <w:spacing w:after="40"/>
            </w:pPr>
            <w:r>
              <w:rPr>
                <w:rFonts w:ascii="Times New Roman" w:hAnsi="Times New Roman"/>
                <w:sz w:val="17"/>
              </w:rPr>
              <w:t>TOFU [9], MUSE [11]</w:t>
            </w:r>
          </w:p>
        </w:tc>
        <w:tc>
          <w:tcPr>
            <w:tcW w:type="dxa" w:w="4032"/>
            <w:vAlign w:val="top"/>
            <w:shd w:fill="F5F7F9"/>
          </w:tcPr>
          <w:p>
            <w:pPr>
              <w:spacing w:after="40"/>
            </w:pPr>
            <w:r>
              <w:rPr>
                <w:rFonts w:ascii="Times New Roman" w:hAnsi="Times New Roman"/>
                <w:sz w:val="17"/>
              </w:rPr>
              <w:t>Shows multi-dimensional evaluation and controlled/synthetic forgetting.</w:t>
            </w:r>
          </w:p>
        </w:tc>
      </w:tr>
      <w:tr>
        <w:trPr>
          <w:cantSplit/>
        </w:trPr>
        <w:tc>
          <w:tcPr>
            <w:tcW w:type="dxa" w:w="2088"/>
            <w:vAlign w:val="top"/>
          </w:tcPr>
          <w:p>
            <w:pPr>
              <w:spacing w:after="40"/>
            </w:pPr>
            <w:r>
              <w:rPr>
                <w:rFonts w:ascii="Times New Roman" w:hAnsi="Times New Roman"/>
                <w:sz w:val="17"/>
              </w:rPr>
              <w:t>Robust behavioral evaluation</w:t>
            </w:r>
          </w:p>
        </w:tc>
        <w:tc>
          <w:tcPr>
            <w:tcW w:type="dxa" w:w="3384"/>
            <w:vAlign w:val="top"/>
          </w:tcPr>
          <w:p>
            <w:pPr>
              <w:spacing w:after="40"/>
            </w:pPr>
            <w:r>
              <w:rPr>
                <w:rFonts w:ascii="Times New Roman" w:hAnsi="Times New Roman"/>
                <w:sz w:val="17"/>
              </w:rPr>
              <w:t>Joshi et al. [10]</w:t>
            </w:r>
          </w:p>
        </w:tc>
        <w:tc>
          <w:tcPr>
            <w:tcW w:type="dxa" w:w="4032"/>
            <w:vAlign w:val="top"/>
          </w:tcPr>
          <w:p>
            <w:pPr>
              <w:spacing w:after="40"/>
            </w:pPr>
            <w:r>
              <w:rPr>
                <w:rFonts w:ascii="Times New Roman" w:hAnsi="Times New Roman"/>
                <w:sz w:val="17"/>
              </w:rPr>
              <w:t>Shows that transformed tests can reveal failures hidden by one query form.</w:t>
            </w:r>
          </w:p>
        </w:tc>
      </w:tr>
      <w:tr>
        <w:trPr>
          <w:cantSplit/>
        </w:trPr>
        <w:tc>
          <w:tcPr>
            <w:tcW w:type="dxa" w:w="2088"/>
            <w:vAlign w:val="top"/>
            <w:shd w:fill="F5F7F9"/>
          </w:tcPr>
          <w:p>
            <w:pPr>
              <w:spacing w:after="40"/>
            </w:pPr>
            <w:r>
              <w:rPr>
                <w:rFonts w:ascii="Times New Roman" w:hAnsi="Times New Roman"/>
                <w:sz w:val="17"/>
              </w:rPr>
              <w:t>Current trustworthy-unlearning context</w:t>
            </w:r>
          </w:p>
        </w:tc>
        <w:tc>
          <w:tcPr>
            <w:tcW w:type="dxa" w:w="3384"/>
            <w:vAlign w:val="top"/>
            <w:shd w:fill="F5F7F9"/>
          </w:tcPr>
          <w:p>
            <w:pPr>
              <w:spacing w:after="40"/>
            </w:pPr>
            <w:r>
              <w:rPr>
                <w:rFonts w:ascii="Times New Roman" w:hAnsi="Times New Roman"/>
                <w:sz w:val="17"/>
              </w:rPr>
              <w:t>Liu et al. [12]</w:t>
            </w:r>
          </w:p>
        </w:tc>
        <w:tc>
          <w:tcPr>
            <w:tcW w:type="dxa" w:w="4032"/>
            <w:vAlign w:val="top"/>
            <w:shd w:fill="F5F7F9"/>
          </w:tcPr>
          <w:p>
            <w:pPr>
              <w:spacing w:after="40"/>
            </w:pPr>
            <w:r>
              <w:rPr>
                <w:rFonts w:ascii="Times New Roman" w:hAnsi="Times New Roman"/>
                <w:sz w:val="17"/>
              </w:rPr>
              <w:t>Recent survey/review framing of LLM-unlearning limitations.</w:t>
            </w:r>
          </w:p>
        </w:tc>
      </w:tr>
      <w:tr>
        <w:trPr>
          <w:cantSplit/>
        </w:trPr>
        <w:tc>
          <w:tcPr>
            <w:tcW w:type="dxa" w:w="2088"/>
            <w:vAlign w:val="top"/>
          </w:tcPr>
          <w:p>
            <w:pPr>
              <w:spacing w:after="40"/>
            </w:pPr>
            <w:r>
              <w:rPr>
                <w:rFonts w:ascii="Times New Roman" w:hAnsi="Times New Roman"/>
                <w:sz w:val="17"/>
              </w:rPr>
              <w:t>Representation + reversibility</w:t>
            </w:r>
          </w:p>
        </w:tc>
        <w:tc>
          <w:tcPr>
            <w:tcW w:type="dxa" w:w="3384"/>
            <w:vAlign w:val="top"/>
          </w:tcPr>
          <w:p>
            <w:pPr>
              <w:spacing w:after="40"/>
            </w:pPr>
            <w:r>
              <w:rPr>
                <w:rFonts w:ascii="Times New Roman" w:hAnsi="Times New Roman"/>
                <w:sz w:val="17"/>
              </w:rPr>
              <w:t>Xu et al. [13]</w:t>
            </w:r>
          </w:p>
        </w:tc>
        <w:tc>
          <w:tcPr>
            <w:tcW w:type="dxa" w:w="4032"/>
            <w:vAlign w:val="top"/>
          </w:tcPr>
          <w:p>
            <w:pPr>
              <w:spacing w:after="40"/>
            </w:pPr>
            <w:r>
              <w:rPr>
                <w:rFonts w:ascii="Times New Roman" w:hAnsi="Times New Roman"/>
                <w:sz w:val="17"/>
              </w:rPr>
              <w:t>Direct motivation for CKA/relearning audit layer.</w:t>
            </w:r>
          </w:p>
        </w:tc>
      </w:tr>
      <w:tr>
        <w:trPr>
          <w:cantSplit/>
        </w:trPr>
        <w:tc>
          <w:tcPr>
            <w:tcW w:type="dxa" w:w="2088"/>
            <w:vAlign w:val="top"/>
            <w:shd w:fill="F5F7F9"/>
          </w:tcPr>
          <w:p>
            <w:pPr>
              <w:spacing w:after="40"/>
            </w:pPr>
            <w:r>
              <w:rPr>
                <w:rFonts w:ascii="Times New Roman" w:hAnsi="Times New Roman"/>
                <w:sz w:val="17"/>
              </w:rPr>
              <w:t>Statistical auditing</w:t>
            </w:r>
          </w:p>
        </w:tc>
        <w:tc>
          <w:tcPr>
            <w:tcW w:type="dxa" w:w="3384"/>
            <w:vAlign w:val="top"/>
            <w:shd w:fill="F5F7F9"/>
          </w:tcPr>
          <w:p>
            <w:pPr>
              <w:spacing w:after="40"/>
            </w:pPr>
            <w:r>
              <w:rPr>
                <w:rFonts w:ascii="Times New Roman" w:hAnsi="Times New Roman"/>
                <w:sz w:val="17"/>
              </w:rPr>
              <w:t>Ribero et al. [14] and Google Research [15]</w:t>
            </w:r>
          </w:p>
        </w:tc>
        <w:tc>
          <w:tcPr>
            <w:tcW w:type="dxa" w:w="4032"/>
            <w:vAlign w:val="top"/>
            <w:shd w:fill="F5F7F9"/>
          </w:tcPr>
          <w:p>
            <w:pPr>
              <w:spacing w:after="40"/>
            </w:pPr>
            <w:r>
              <w:rPr>
                <w:rFonts w:ascii="Times New Roman" w:hAnsi="Times New Roman"/>
                <w:sz w:val="17"/>
              </w:rPr>
              <w:t>Motivates relative three-distribution thinking and retraining stochasticity.</w:t>
            </w:r>
          </w:p>
        </w:tc>
      </w:tr>
      <w:tr>
        <w:trPr>
          <w:cantSplit/>
        </w:trPr>
        <w:tc>
          <w:tcPr>
            <w:tcW w:type="dxa" w:w="2088"/>
            <w:vAlign w:val="top"/>
          </w:tcPr>
          <w:p>
            <w:pPr>
              <w:spacing w:after="40"/>
            </w:pPr>
            <w:r>
              <w:rPr>
                <w:rFonts w:ascii="Times New Roman" w:hAnsi="Times New Roman"/>
                <w:sz w:val="17"/>
              </w:rPr>
              <w:t>General auditing frontier</w:t>
            </w:r>
          </w:p>
        </w:tc>
        <w:tc>
          <w:tcPr>
            <w:tcW w:type="dxa" w:w="3384"/>
            <w:vAlign w:val="top"/>
          </w:tcPr>
          <w:p>
            <w:pPr>
              <w:spacing w:after="40"/>
            </w:pPr>
            <w:r>
              <w:rPr>
                <w:rFonts w:ascii="Times New Roman" w:hAnsi="Times New Roman"/>
                <w:sz w:val="17"/>
              </w:rPr>
              <w:t>Ye et al. [16]</w:t>
            </w:r>
          </w:p>
        </w:tc>
        <w:tc>
          <w:tcPr>
            <w:tcW w:type="dxa" w:w="4032"/>
            <w:vAlign w:val="top"/>
          </w:tcPr>
          <w:p>
            <w:pPr>
              <w:spacing w:after="40"/>
            </w:pPr>
            <w:r>
              <w:rPr>
                <w:rFonts w:ascii="Times New Roman" w:hAnsi="Times New Roman"/>
                <w:sz w:val="17"/>
              </w:rPr>
              <w:t>Makes it essential to position ForgetCheck around audit disagreement, not “first auditor.”</w:t>
            </w:r>
          </w:p>
        </w:tc>
      </w:tr>
    </w:tbl>
    <w:p>
      <w:pPr>
        <w:spacing w:after="20"/>
      </w:pPr>
    </w:p>
    <w:p>
      <w:pPr>
        <w:pStyle w:val="Heading1"/>
        <w:keepNext/>
      </w:pPr>
      <w:r>
        <w:t>24. IEEE-Style Working References</w:t>
      </w:r>
    </w:p>
    <w:p>
      <w:pPr>
        <w:spacing w:after="120"/>
      </w:pPr>
      <w:r>
        <w:rPr>
          <w:i w:val="0"/>
        </w:rPr>
        <w:t>The bibliography below is the working reference set for the synopsis and project foundation. Before final paper submission, metadata, volume/page numbers and DOI fields should be rechecked against the final publisher records. References marked as web/research notes are supporting resources rather than substitutes for peer-reviewed papers.</w:t>
      </w:r>
    </w:p>
    <w:p>
      <w:pPr>
        <w:spacing w:after="100"/>
        <w:ind w:left="259" w:hanging="259"/>
      </w:pPr>
      <w:r>
        <w:t xml:space="preserve">[1] C. Guo, T. Goldstein, A. Hannun, and L. van der Maaten, “Certified Data Removal from Machine Learning Models,” in Proc. 37th Int. Conf. Machine Learning (ICML), PMLR, vol. 119, pp. 3832–3842, 2020. </w:t>
      </w:r>
      <w:hyperlink r:id="rId13">
        <w:r>
          <w:rPr>
            <w:color w:val="2F5597"/>
            <w:u w:val="single"/>
            <w:rFonts w:ascii="Times New Roman" w:hAnsi="Times New Roman"/>
            <w:sz w:val="22"/>
          </w:rPr>
          <w:t>Source</w:t>
        </w:r>
      </w:hyperlink>
    </w:p>
    <w:p>
      <w:pPr>
        <w:spacing w:after="100"/>
        <w:ind w:left="259" w:hanging="259"/>
      </w:pPr>
      <w:r>
        <w:t xml:space="preserve">[2] L. Bourtoule, V. Chandrasekaran, C. A. Choquette-Choo, H. Jia, A. Travers, B. Zhang, D. Lie, and N. Papernot, “Machine Unlearning,” in 2021 IEEE Symposium on Security and Privacy (SP), pp. 141–159, 2021, doi: 10.1109/SP40001.2021.00019. </w:t>
      </w:r>
      <w:hyperlink r:id="rId14">
        <w:r>
          <w:rPr>
            <w:color w:val="2F5597"/>
            <w:u w:val="single"/>
            <w:rFonts w:ascii="Times New Roman" w:hAnsi="Times New Roman"/>
            <w:sz w:val="22"/>
          </w:rPr>
          <w:t>Source</w:t>
        </w:r>
      </w:hyperlink>
    </w:p>
    <w:p>
      <w:pPr>
        <w:spacing w:after="100"/>
        <w:ind w:left="259" w:hanging="259"/>
      </w:pPr>
      <w:r>
        <w:t xml:space="preserve">[3] V. S. Chundawat, A. K. Tarun, M. Mandal, and M. Kankanhalli, “Can Bad Teaching Induce Forgetting? Unlearning in Deep Networks Using an Incompetent Teacher,” in Proc. AAAI Conf. Artificial Intelligence, vol. 37, no. 6, pp. 7210–7217, 2023. </w:t>
      </w:r>
      <w:hyperlink r:id="rId15">
        <w:r>
          <w:rPr>
            <w:color w:val="2F5597"/>
            <w:u w:val="single"/>
            <w:rFonts w:ascii="Times New Roman" w:hAnsi="Times New Roman"/>
            <w:sz w:val="22"/>
          </w:rPr>
          <w:t>Source</w:t>
        </w:r>
      </w:hyperlink>
    </w:p>
    <w:p>
      <w:pPr>
        <w:spacing w:after="100"/>
        <w:ind w:left="259" w:hanging="259"/>
      </w:pPr>
      <w:r>
        <w:t xml:space="preserve">[4] M. Kurmanji, P. Triantafillou, J. Hayes, and E. Triantafillou, “Towards Unbounded Machine Unlearning,” in Advances in Neural Information Processing Systems, vol. 36, pp. 1957–1987, 2023. </w:t>
      </w:r>
      <w:hyperlink r:id="rId16">
        <w:r>
          <w:rPr>
            <w:color w:val="2F5597"/>
            <w:u w:val="single"/>
            <w:rFonts w:ascii="Times New Roman" w:hAnsi="Times New Roman"/>
            <w:sz w:val="22"/>
          </w:rPr>
          <w:t>Source</w:t>
        </w:r>
      </w:hyperlink>
    </w:p>
    <w:p>
      <w:pPr>
        <w:spacing w:after="100"/>
        <w:ind w:left="259" w:hanging="259"/>
      </w:pPr>
      <w:r>
        <w:t xml:space="preserve">[5] J. Jia, J. Liu, P. Ram, Y. Yao, G. Liu, Y. Liu, P. Sharma, and S. Liu, “Model Sparsity Can Simplify Machine Unlearning,” in Advances in Neural Information Processing Systems, vol. 36, 2023. </w:t>
      </w:r>
      <w:hyperlink r:id="rId17">
        <w:r>
          <w:rPr>
            <w:color w:val="2F5597"/>
            <w:u w:val="single"/>
            <w:rFonts w:ascii="Times New Roman" w:hAnsi="Times New Roman"/>
            <w:sz w:val="22"/>
          </w:rPr>
          <w:t>Source</w:t>
        </w:r>
      </w:hyperlink>
    </w:p>
    <w:p>
      <w:pPr>
        <w:spacing w:after="100"/>
        <w:ind w:left="259" w:hanging="259"/>
      </w:pPr>
      <w:r>
        <w:t xml:space="preserve">[6] J. Foster, S. Schoepf, and A. Brintrup, “Fast Machine Unlearning without Retraining through Selective Synaptic Dampening,” in Proc. AAAI Conf. Artificial Intelligence, vol. 38, no. 11, pp. 12043–12051, 2024. </w:t>
      </w:r>
      <w:hyperlink r:id="rId18">
        <w:r>
          <w:rPr>
            <w:color w:val="2F5597"/>
            <w:u w:val="single"/>
            <w:rFonts w:ascii="Times New Roman" w:hAnsi="Times New Roman"/>
            <w:sz w:val="22"/>
          </w:rPr>
          <w:t>Source</w:t>
        </w:r>
      </w:hyperlink>
    </w:p>
    <w:p>
      <w:pPr>
        <w:spacing w:after="100"/>
        <w:ind w:left="259" w:hanging="259"/>
      </w:pPr>
      <w:r>
        <w:t xml:space="preserve">[7] L. Wichert and S. Sikdar, “Rethinking Evaluation Methods for Machine Unlearning,” in Findings of the Association for Computational Linguistics: EMNLP 2024, pp. 4727–4739, 2024, doi: 10.18653/v1/2024.findings-emnlp.271. </w:t>
      </w:r>
      <w:hyperlink r:id="rId19">
        <w:r>
          <w:rPr>
            <w:color w:val="2F5597"/>
            <w:u w:val="single"/>
            <w:rFonts w:ascii="Times New Roman" w:hAnsi="Times New Roman"/>
            <w:sz w:val="22"/>
          </w:rPr>
          <w:t>Source</w:t>
        </w:r>
      </w:hyperlink>
    </w:p>
    <w:p>
      <w:pPr>
        <w:spacing w:after="100"/>
        <w:ind w:left="259" w:hanging="259"/>
      </w:pPr>
      <w:r>
        <w:t xml:space="preserve">[8] K. Zhao, M. Kurmanji, G.-O. Barbulescu, E. Triantafillou, and P. Triantafillou, “What Makes Unlearning Hard and What to Do About It,” in Advances in Neural Information Processing Systems, vol. 37, 2024. </w:t>
      </w:r>
      <w:hyperlink r:id="rId20">
        <w:r>
          <w:rPr>
            <w:color w:val="2F5597"/>
            <w:u w:val="single"/>
            <w:rFonts w:ascii="Times New Roman" w:hAnsi="Times New Roman"/>
            <w:sz w:val="22"/>
          </w:rPr>
          <w:t>Source</w:t>
        </w:r>
      </w:hyperlink>
    </w:p>
    <w:p>
      <w:pPr>
        <w:spacing w:after="100"/>
        <w:ind w:left="259" w:hanging="259"/>
      </w:pPr>
      <w:r>
        <w:t xml:space="preserve">[9] P. Maini, Z. Feng, A. Schwarzschild, Z. C. Lipton, and J. Z. Kolter, “TOFU: A Task of Fictitious Unlearning for LLMs,” in Conference on Language Modeling (COLM), 2024. </w:t>
      </w:r>
      <w:hyperlink r:id="rId21">
        <w:r>
          <w:rPr>
            <w:color w:val="2F5597"/>
            <w:u w:val="single"/>
            <w:rFonts w:ascii="Times New Roman" w:hAnsi="Times New Roman"/>
            <w:sz w:val="22"/>
          </w:rPr>
          <w:t>Source</w:t>
        </w:r>
      </w:hyperlink>
    </w:p>
    <w:p>
      <w:pPr>
        <w:spacing w:after="100"/>
        <w:ind w:left="259" w:hanging="259"/>
      </w:pPr>
      <w:r>
        <w:t xml:space="preserve">[10] A. Joshi, S. Saha, D. Shukla, S. Vema, H. Jhamtani, M. Gaur, and A. Modi, “Towards Robust Evaluation of Unlearning in LLMs via Data Transformations,” in Findings of the Association for Computational Linguistics: EMNLP 2024, pp. 12100–12119, 2024. </w:t>
      </w:r>
      <w:hyperlink r:id="rId22">
        <w:r>
          <w:rPr>
            <w:color w:val="2F5597"/>
            <w:u w:val="single"/>
            <w:rFonts w:ascii="Times New Roman" w:hAnsi="Times New Roman"/>
            <w:sz w:val="22"/>
          </w:rPr>
          <w:t>Source</w:t>
        </w:r>
      </w:hyperlink>
    </w:p>
    <w:p>
      <w:pPr>
        <w:spacing w:after="100"/>
        <w:ind w:left="259" w:hanging="259"/>
      </w:pPr>
      <w:r>
        <w:t xml:space="preserve">[11] W. Shi et al., “MUSE: Machine Unlearning Six-Way Evaluation for Language Models,” in International Conference on Learning Representations (ICLR), 2025. </w:t>
      </w:r>
      <w:hyperlink r:id="rId23">
        <w:r>
          <w:rPr>
            <w:color w:val="2F5597"/>
            <w:u w:val="single"/>
            <w:rFonts w:ascii="Times New Roman" w:hAnsi="Times New Roman"/>
            <w:sz w:val="22"/>
          </w:rPr>
          <w:t>Source</w:t>
        </w:r>
      </w:hyperlink>
    </w:p>
    <w:p>
      <w:pPr>
        <w:spacing w:after="100"/>
        <w:ind w:left="259" w:hanging="259"/>
      </w:pPr>
      <w:r>
        <w:t xml:space="preserve">[12] S. Liu et al., “Rethinking Machine Unlearning for Large Language Models,” Nature Machine Intelligence, vol. 7, pp. 181–194, 2025, doi: 10.1038/s42256-025-00985-0. </w:t>
      </w:r>
      <w:hyperlink r:id="rId24">
        <w:r>
          <w:rPr>
            <w:color w:val="2F5597"/>
            <w:u w:val="single"/>
            <w:rFonts w:ascii="Times New Roman" w:hAnsi="Times New Roman"/>
            <w:sz w:val="22"/>
          </w:rPr>
          <w:t>Source</w:t>
        </w:r>
      </w:hyperlink>
    </w:p>
    <w:p>
      <w:pPr>
        <w:spacing w:after="100"/>
        <w:ind w:left="259" w:hanging="259"/>
      </w:pPr>
      <w:r>
        <w:t xml:space="preserve">[13] X. Xu, X. Yue, Y. Liu, Q. Ye, H. Zheng, P. Hu, M. Du, and H. Hu, “Unlearning Isn’t Deletion: Investigating Reversibility of Machine Unlearning in LLMs,” in Proc. 43rd Int. Conf. Machine Learning (ICML), PMLR, vol. 306, 2026. </w:t>
      </w:r>
      <w:hyperlink r:id="rId25">
        <w:r>
          <w:rPr>
            <w:color w:val="2F5597"/>
            <w:u w:val="single"/>
            <w:rFonts w:ascii="Times New Roman" w:hAnsi="Times New Roman"/>
            <w:sz w:val="22"/>
          </w:rPr>
          <w:t>Source</w:t>
        </w:r>
      </w:hyperlink>
    </w:p>
    <w:p>
      <w:pPr>
        <w:spacing w:after="100"/>
        <w:ind w:left="259" w:hanging="259"/>
      </w:pPr>
      <w:r>
        <w:t xml:space="preserve">[14] M. Ribero, A. Schrab, and A. Gretton, “Regularized f-Divergence Kernel Tests,” in Proc. 29th Int. Conf. Artificial Intelligence and Statistics (AISTATS), PMLR, vol. 300, 2026. </w:t>
      </w:r>
      <w:hyperlink r:id="rId26">
        <w:r>
          <w:rPr>
            <w:color w:val="2F5597"/>
            <w:u w:val="single"/>
            <w:rFonts w:ascii="Times New Roman" w:hAnsi="Times New Roman"/>
            <w:sz w:val="22"/>
          </w:rPr>
          <w:t>Source</w:t>
        </w:r>
      </w:hyperlink>
    </w:p>
    <w:p>
      <w:pPr>
        <w:spacing w:after="100"/>
        <w:ind w:left="259" w:hanging="259"/>
      </w:pPr>
      <w:r>
        <w:t xml:space="preserve">[15] M. Ribero, “New Framework for Auditing Machine Unlearning,” Google Research Blog, Jun. 10, 2026. [Online]. </w:t>
      </w:r>
      <w:hyperlink r:id="rId27">
        <w:r>
          <w:rPr>
            <w:color w:val="2F5597"/>
            <w:u w:val="single"/>
            <w:rFonts w:ascii="Times New Roman" w:hAnsi="Times New Roman"/>
            <w:sz w:val="22"/>
          </w:rPr>
          <w:t>Source</w:t>
        </w:r>
      </w:hyperlink>
    </w:p>
    <w:p>
      <w:pPr>
        <w:spacing w:after="100"/>
        <w:ind w:left="259" w:hanging="259"/>
      </w:pPr>
      <w:r>
        <w:t xml:space="preserve">[16] D. Ye, T. Zhu, R. Huang, X. Fu, J. Li, B. Liu, H. Huo, and W. Zhou, “Auditing Machine Unlearning: A Systematic Research on Whether Models Truly Forget,” arXiv:2606.16110, 2026. Preprint. </w:t>
      </w:r>
      <w:hyperlink r:id="rId28">
        <w:r>
          <w:rPr>
            <w:color w:val="2F5597"/>
            <w:u w:val="single"/>
            <w:rFonts w:ascii="Times New Roman" w:hAnsi="Times New Roman"/>
            <w:sz w:val="22"/>
          </w:rPr>
          <w:t>Source</w:t>
        </w:r>
      </w:hyperlink>
    </w:p>
    <w:p>
      <w:pPr>
        <w:spacing w:after="100"/>
        <w:ind w:left="259" w:hanging="259"/>
      </w:pPr>
      <w:r>
        <w:t xml:space="preserve">[17] E. Triantafillou et al., “NeurIPS 2023 Machine Unlearning Competition,” NeurIPS Competition Track, 2023. </w:t>
      </w:r>
      <w:hyperlink r:id="rId29">
        <w:r>
          <w:rPr>
            <w:color w:val="2F5597"/>
            <w:u w:val="single"/>
            <w:rFonts w:ascii="Times New Roman" w:hAnsi="Times New Roman"/>
            <w:sz w:val="22"/>
          </w:rPr>
          <w:t>Source</w:t>
        </w:r>
      </w:hyperlink>
    </w:p>
    <w:p>
      <w:pPr>
        <w:spacing w:after="100"/>
        <w:ind w:left="259" w:hanging="259"/>
      </w:pPr>
      <w:r>
        <w:t xml:space="preserve">[18] T. T. Nguyen et al., “A Survey of Machine Unlearning,” ACM Transactions on Intelligent Systems and Technology, vol. 16, no. 5, Art. no. 108, 2025. </w:t>
      </w:r>
      <w:hyperlink r:id="rId30">
        <w:r>
          <w:rPr>
            <w:color w:val="2F5597"/>
            <w:u w:val="single"/>
            <w:rFonts w:ascii="Times New Roman" w:hAnsi="Times New Roman"/>
            <w:sz w:val="22"/>
          </w:rPr>
          <w:t>Source</w:t>
        </w:r>
      </w:hyperlink>
    </w:p>
    <w:p>
      <w:pPr>
        <w:pStyle w:val="Heading1"/>
        <w:keepNext/>
      </w:pPr>
      <w:r>
        <w:t>25. Code and Dataset Resources</w:t>
      </w:r>
    </w:p>
    <w:p>
      <w:pPr>
        <w:spacing w:after="120"/>
      </w:pPr>
      <w:r>
        <w:rPr>
          <w:i w:val="0"/>
        </w:rPr>
        <w:t>These resources reduce implementation risk. Their existence does not mean the project should copy results blindly; each imported component must be reproduced, validated and documented under the project’s common protocol.</w:t>
      </w:r>
    </w:p>
    <w:tbl>
      <w:tblPr>
        <w:tblStyle w:val="TableGrid"/>
        <w:tblW w:type="auto" w:w="0"/>
        <w:jc w:val="center"/>
        <w:tblLook w:firstColumn="1" w:firstRow="1" w:lastColumn="0" w:lastRow="0" w:noHBand="0" w:noVBand="1" w:val="04A0"/>
      </w:tblPr>
      <w:tblGrid>
        <w:gridCol w:w="3081"/>
        <w:gridCol w:w="3081"/>
        <w:gridCol w:w="3081"/>
      </w:tblGrid>
      <w:tr>
        <w:trPr>
          <w:cantSplit/>
        </w:trPr>
        <w:tc>
          <w:tcPr>
            <w:tcW w:type="dxa" w:w="3081"/>
            <w:shd w:fill="17324D"/>
          </w:tcPr>
          <w:p>
            <w:r>
              <w:rPr>
                <w:rFonts w:ascii="Times New Roman" w:hAnsi="Times New Roman"/>
                <w:b/>
                <w:color w:val="FFFFFF"/>
                <w:sz w:val="18"/>
              </w:rPr>
              <w:t>Resource</w:t>
            </w:r>
          </w:p>
        </w:tc>
        <w:tc>
          <w:tcPr>
            <w:tcW w:type="dxa" w:w="3081"/>
            <w:shd w:fill="17324D"/>
          </w:tcPr>
          <w:p>
            <w:r>
              <w:rPr>
                <w:rFonts w:ascii="Times New Roman" w:hAnsi="Times New Roman"/>
                <w:b/>
                <w:color w:val="FFFFFF"/>
                <w:sz w:val="18"/>
              </w:rPr>
              <w:t>Use in Project</w:t>
            </w:r>
          </w:p>
        </w:tc>
        <w:tc>
          <w:tcPr>
            <w:tcW w:type="dxa" w:w="3081"/>
            <w:shd w:fill="17324D"/>
          </w:tcPr>
          <w:p>
            <w:r>
              <w:rPr>
                <w:rFonts w:ascii="Times New Roman" w:hAnsi="Times New Roman"/>
                <w:b/>
                <w:color w:val="FFFFFF"/>
                <w:sz w:val="18"/>
              </w:rPr>
              <w:t>Link</w:t>
            </w:r>
          </w:p>
        </w:tc>
      </w:tr>
      <w:tr>
        <w:trPr>
          <w:cantSplit/>
        </w:trPr>
        <w:tc>
          <w:tcPr>
            <w:tcW w:type="dxa" w:w="3081"/>
          </w:tcPr>
          <w:p>
            <w:r>
              <w:rPr>
                <w:rFonts w:ascii="Times New Roman" w:hAnsi="Times New Roman"/>
                <w:sz w:val="18"/>
              </w:rPr>
              <w:t>NeurIPS Machine Unlearning starting kit</w:t>
            </w:r>
          </w:p>
        </w:tc>
        <w:tc>
          <w:tcPr>
            <w:tcW w:type="dxa" w:w="3081"/>
          </w:tcPr>
          <w:p>
            <w:r>
              <w:rPr>
                <w:rFonts w:ascii="Times New Roman" w:hAnsi="Times New Roman"/>
                <w:sz w:val="18"/>
              </w:rPr>
              <w:t>CIFAR-10 loading, baseline training/unlearning and membership-inference scoring.</w:t>
            </w:r>
          </w:p>
        </w:tc>
        <w:tc>
          <w:tcPr>
            <w:tcW w:type="dxa" w:w="3081"/>
          </w:tcPr>
          <w:p>
            <w:hyperlink r:id="rId31">
              <w:r>
                <w:rPr>
                  <w:color w:val="2F5597"/>
                  <w:u w:val="single"/>
                  <w:rFonts w:ascii="Times New Roman" w:hAnsi="Times New Roman"/>
                  <w:sz w:val="22"/>
                </w:rPr>
                <w:t>Open resource</w:t>
              </w:r>
            </w:hyperlink>
          </w:p>
        </w:tc>
      </w:tr>
      <w:tr>
        <w:trPr>
          <w:cantSplit/>
        </w:trPr>
        <w:tc>
          <w:tcPr>
            <w:tcW w:type="dxa" w:w="3081"/>
            <w:shd w:fill="F5F7F9"/>
          </w:tcPr>
          <w:p>
            <w:r>
              <w:rPr>
                <w:rFonts w:ascii="Times New Roman" w:hAnsi="Times New Roman"/>
                <w:sz w:val="18"/>
              </w:rPr>
              <w:t>SCRUB implementation</w:t>
            </w:r>
          </w:p>
        </w:tc>
        <w:tc>
          <w:tcPr>
            <w:tcW w:type="dxa" w:w="3081"/>
            <w:shd w:fill="F5F7F9"/>
          </w:tcPr>
          <w:p>
            <w:r>
              <w:rPr>
                <w:rFonts w:ascii="Times New Roman" w:hAnsi="Times New Roman"/>
                <w:sz w:val="18"/>
              </w:rPr>
              <w:t>Published SCRUB code and related MIA experiments.</w:t>
            </w:r>
          </w:p>
        </w:tc>
        <w:tc>
          <w:tcPr>
            <w:tcW w:type="dxa" w:w="3081"/>
            <w:shd w:fill="F5F7F9"/>
          </w:tcPr>
          <w:p>
            <w:hyperlink r:id="rId32">
              <w:r>
                <w:rPr>
                  <w:color w:val="2F5597"/>
                  <w:u w:val="single"/>
                  <w:rFonts w:ascii="Times New Roman" w:hAnsi="Times New Roman"/>
                  <w:sz w:val="22"/>
                </w:rPr>
                <w:t>Open resource</w:t>
              </w:r>
            </w:hyperlink>
          </w:p>
        </w:tc>
      </w:tr>
      <w:tr>
        <w:trPr>
          <w:cantSplit/>
        </w:trPr>
        <w:tc>
          <w:tcPr>
            <w:tcW w:type="dxa" w:w="3081"/>
          </w:tcPr>
          <w:p>
            <w:r>
              <w:rPr>
                <w:rFonts w:ascii="Times New Roman" w:hAnsi="Times New Roman"/>
                <w:sz w:val="18"/>
              </w:rPr>
              <w:t>RUM implementation</w:t>
            </w:r>
          </w:p>
        </w:tc>
        <w:tc>
          <w:tcPr>
            <w:tcW w:type="dxa" w:w="3081"/>
          </w:tcPr>
          <w:p>
            <w:r>
              <w:rPr>
                <w:rFonts w:ascii="Times New Roman" w:hAnsi="Times New Roman"/>
                <w:sz w:val="18"/>
              </w:rPr>
              <w:t>Unlearning pipeline plus released CIFAR-10 memorization scores.</w:t>
            </w:r>
          </w:p>
        </w:tc>
        <w:tc>
          <w:tcPr>
            <w:tcW w:type="dxa" w:w="3081"/>
          </w:tcPr>
          <w:p>
            <w:hyperlink r:id="rId33">
              <w:r>
                <w:rPr>
                  <w:color w:val="2F5597"/>
                  <w:u w:val="single"/>
                  <w:rFonts w:ascii="Times New Roman" w:hAnsi="Times New Roman"/>
                  <w:sz w:val="22"/>
                </w:rPr>
                <w:t>Open resource</w:t>
              </w:r>
            </w:hyperlink>
          </w:p>
        </w:tc>
      </w:tr>
      <w:tr>
        <w:trPr>
          <w:cantSplit/>
        </w:trPr>
        <w:tc>
          <w:tcPr>
            <w:tcW w:type="dxa" w:w="3081"/>
            <w:shd w:fill="F5F7F9"/>
          </w:tcPr>
          <w:p>
            <w:r>
              <w:rPr>
                <w:rFonts w:ascii="Times New Roman" w:hAnsi="Times New Roman"/>
                <w:sz w:val="18"/>
              </w:rPr>
              <w:t>Selective Synaptic Dampening</w:t>
            </w:r>
          </w:p>
        </w:tc>
        <w:tc>
          <w:tcPr>
            <w:tcW w:type="dxa" w:w="3081"/>
            <w:shd w:fill="F5F7F9"/>
          </w:tcPr>
          <w:p>
            <w:r>
              <w:rPr>
                <w:rFonts w:ascii="Times New Roman" w:hAnsi="Times New Roman"/>
                <w:sz w:val="18"/>
              </w:rPr>
              <w:t>Official SSD implementation.</w:t>
            </w:r>
          </w:p>
        </w:tc>
        <w:tc>
          <w:tcPr>
            <w:tcW w:type="dxa" w:w="3081"/>
            <w:shd w:fill="F5F7F9"/>
          </w:tcPr>
          <w:p>
            <w:hyperlink r:id="rId34">
              <w:r>
                <w:rPr>
                  <w:color w:val="2F5597"/>
                  <w:u w:val="single"/>
                  <w:rFonts w:ascii="Times New Roman" w:hAnsi="Times New Roman"/>
                  <w:sz w:val="22"/>
                </w:rPr>
                <w:t>Open resource</w:t>
              </w:r>
            </w:hyperlink>
          </w:p>
        </w:tc>
      </w:tr>
      <w:tr>
        <w:trPr>
          <w:cantSplit/>
        </w:trPr>
        <w:tc>
          <w:tcPr>
            <w:tcW w:type="dxa" w:w="3081"/>
          </w:tcPr>
          <w:p>
            <w:r>
              <w:rPr>
                <w:rFonts w:ascii="Times New Roman" w:hAnsi="Times New Roman"/>
                <w:sz w:val="18"/>
              </w:rPr>
              <w:t>TOFU project</w:t>
            </w:r>
          </w:p>
        </w:tc>
        <w:tc>
          <w:tcPr>
            <w:tcW w:type="dxa" w:w="3081"/>
          </w:tcPr>
          <w:p>
            <w:r>
              <w:rPr>
                <w:rFonts w:ascii="Times New Roman" w:hAnsi="Times New Roman"/>
                <w:sz w:val="18"/>
              </w:rPr>
              <w:t>Optional LLM extension and synthetic unlearning benchmark.</w:t>
            </w:r>
          </w:p>
        </w:tc>
        <w:tc>
          <w:tcPr>
            <w:tcW w:type="dxa" w:w="3081"/>
          </w:tcPr>
          <w:p>
            <w:hyperlink r:id="rId35">
              <w:r>
                <w:rPr>
                  <w:color w:val="2F5597"/>
                  <w:u w:val="single"/>
                  <w:rFonts w:ascii="Times New Roman" w:hAnsi="Times New Roman"/>
                  <w:sz w:val="22"/>
                </w:rPr>
                <w:t>Open resource</w:t>
              </w:r>
            </w:hyperlink>
          </w:p>
        </w:tc>
      </w:tr>
    </w:tbl>
    <w:p>
      <w:r>
        <w:br w:type="page"/>
      </w:r>
    </w:p>
    <w:p>
      <w:pPr>
        <w:pStyle w:val="Heading1"/>
        <w:keepNext/>
      </w:pPr>
      <w:r>
        <w:t>Appendix A. Canonical Decision Sheet</w:t>
      </w:r>
    </w:p>
    <w:p>
      <w:pPr>
        <w:spacing w:after="120"/>
      </w:pPr>
      <w:r>
        <w:rPr>
          <w:i w:val="0"/>
        </w:rPr>
        <w:t>Use this page whenever a team member, mentor or evaluator asks what has actually been decided. Items marked “optional” should not be allowed to delay the core project.</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2880"/>
            <w:shd w:fill="17324D"/>
            <w:vAlign w:val="center"/>
          </w:tcPr>
          <w:p>
            <w:r>
              <w:rPr>
                <w:rFonts w:ascii="Times New Roman" w:hAnsi="Times New Roman"/>
                <w:b/>
                <w:color w:val="FFFFFF"/>
                <w:sz w:val="19"/>
              </w:rPr>
              <w:t>Decision</w:t>
            </w:r>
          </w:p>
        </w:tc>
        <w:tc>
          <w:tcPr>
            <w:tcW w:type="dxa" w:w="6336"/>
            <w:shd w:fill="17324D"/>
            <w:vAlign w:val="center"/>
          </w:tcPr>
          <w:p>
            <w:r>
              <w:rPr>
                <w:rFonts w:ascii="Times New Roman" w:hAnsi="Times New Roman"/>
                <w:b/>
                <w:color w:val="FFFFFF"/>
                <w:sz w:val="19"/>
              </w:rPr>
              <w:t>Frozen Choice</w:t>
            </w:r>
          </w:p>
        </w:tc>
      </w:tr>
      <w:tr>
        <w:trPr>
          <w:cantSplit/>
        </w:trPr>
        <w:tc>
          <w:tcPr>
            <w:tcW w:type="dxa" w:w="2880"/>
            <w:vAlign w:val="top"/>
          </w:tcPr>
          <w:p>
            <w:pPr>
              <w:spacing w:after="40"/>
            </w:pPr>
            <w:r>
              <w:rPr>
                <w:rFonts w:ascii="Times New Roman" w:hAnsi="Times New Roman"/>
                <w:sz w:val="19"/>
              </w:rPr>
              <w:t>Topic</w:t>
            </w:r>
          </w:p>
        </w:tc>
        <w:tc>
          <w:tcPr>
            <w:tcW w:type="dxa" w:w="6336"/>
            <w:vAlign w:val="top"/>
          </w:tcPr>
          <w:p>
            <w:pPr>
              <w:spacing w:after="40"/>
            </w:pPr>
            <w:r>
              <w:rPr>
                <w:rFonts w:ascii="Times New Roman" w:hAnsi="Times New Roman"/>
                <w:sz w:val="19"/>
              </w:rPr>
              <w:t>ForgetCheck: A Retraining-Grounded Study of Audit Disagreement and Reversibility in Approximate Machine Unlearning</w:t>
            </w:r>
          </w:p>
        </w:tc>
      </w:tr>
      <w:tr>
        <w:trPr>
          <w:cantSplit/>
        </w:trPr>
        <w:tc>
          <w:tcPr>
            <w:tcW w:type="dxa" w:w="2880"/>
            <w:vAlign w:val="top"/>
            <w:shd w:fill="F5F7F9"/>
          </w:tcPr>
          <w:p>
            <w:pPr>
              <w:spacing w:after="40"/>
            </w:pPr>
            <w:r>
              <w:rPr>
                <w:rFonts w:ascii="Times New Roman" w:hAnsi="Times New Roman"/>
                <w:sz w:val="19"/>
              </w:rPr>
              <w:t>Core contribution</w:t>
            </w:r>
          </w:p>
        </w:tc>
        <w:tc>
          <w:tcPr>
            <w:tcW w:type="dxa" w:w="6336"/>
            <w:vAlign w:val="top"/>
            <w:shd w:fill="F5F7F9"/>
          </w:tcPr>
          <w:p>
            <w:pPr>
              <w:spacing w:after="40"/>
            </w:pPr>
            <w:r>
              <w:rPr>
                <w:rFonts w:ascii="Times New Roman" w:hAnsi="Times New Roman"/>
                <w:sz w:val="19"/>
              </w:rPr>
              <w:t>Cross-audit disagreement under retraining grounding</w:t>
            </w:r>
          </w:p>
        </w:tc>
      </w:tr>
      <w:tr>
        <w:trPr>
          <w:cantSplit/>
        </w:trPr>
        <w:tc>
          <w:tcPr>
            <w:tcW w:type="dxa" w:w="2880"/>
            <w:vAlign w:val="top"/>
          </w:tcPr>
          <w:p>
            <w:pPr>
              <w:spacing w:after="40"/>
            </w:pPr>
            <w:r>
              <w:rPr>
                <w:rFonts w:ascii="Times New Roman" w:hAnsi="Times New Roman"/>
                <w:sz w:val="19"/>
              </w:rPr>
              <w:t>Primary dataset</w:t>
            </w:r>
          </w:p>
        </w:tc>
        <w:tc>
          <w:tcPr>
            <w:tcW w:type="dxa" w:w="6336"/>
            <w:vAlign w:val="top"/>
          </w:tcPr>
          <w:p>
            <w:pPr>
              <w:spacing w:after="40"/>
            </w:pPr>
            <w:r>
              <w:rPr>
                <w:rFonts w:ascii="Times New Roman" w:hAnsi="Times New Roman"/>
                <w:sz w:val="19"/>
              </w:rPr>
              <w:t>CIFAR-10</w:t>
            </w:r>
          </w:p>
        </w:tc>
      </w:tr>
      <w:tr>
        <w:trPr>
          <w:cantSplit/>
        </w:trPr>
        <w:tc>
          <w:tcPr>
            <w:tcW w:type="dxa" w:w="2880"/>
            <w:vAlign w:val="top"/>
            <w:shd w:fill="F5F7F9"/>
          </w:tcPr>
          <w:p>
            <w:pPr>
              <w:spacing w:after="40"/>
            </w:pPr>
            <w:r>
              <w:rPr>
                <w:rFonts w:ascii="Times New Roman" w:hAnsi="Times New Roman"/>
                <w:sz w:val="19"/>
              </w:rPr>
              <w:t>Secondary dataset</w:t>
            </w:r>
          </w:p>
        </w:tc>
        <w:tc>
          <w:tcPr>
            <w:tcW w:type="dxa" w:w="6336"/>
            <w:vAlign w:val="top"/>
            <w:shd w:fill="F5F7F9"/>
          </w:tcPr>
          <w:p>
            <w:pPr>
              <w:spacing w:after="40"/>
            </w:pPr>
            <w:r>
              <w:rPr>
                <w:rFonts w:ascii="Times New Roman" w:hAnsi="Times New Roman"/>
                <w:sz w:val="19"/>
              </w:rPr>
              <w:t>CIFAR-100 — optional</w:t>
            </w:r>
          </w:p>
        </w:tc>
      </w:tr>
      <w:tr>
        <w:trPr>
          <w:cantSplit/>
        </w:trPr>
        <w:tc>
          <w:tcPr>
            <w:tcW w:type="dxa" w:w="2880"/>
            <w:vAlign w:val="top"/>
          </w:tcPr>
          <w:p>
            <w:pPr>
              <w:spacing w:after="40"/>
            </w:pPr>
            <w:r>
              <w:rPr>
                <w:rFonts w:ascii="Times New Roman" w:hAnsi="Times New Roman"/>
                <w:sz w:val="19"/>
              </w:rPr>
              <w:t>Base model</w:t>
            </w:r>
          </w:p>
        </w:tc>
        <w:tc>
          <w:tcPr>
            <w:tcW w:type="dxa" w:w="6336"/>
            <w:vAlign w:val="top"/>
          </w:tcPr>
          <w:p>
            <w:pPr>
              <w:spacing w:after="40"/>
            </w:pPr>
            <w:r>
              <w:rPr>
                <w:rFonts w:ascii="Times New Roman" w:hAnsi="Times New Roman"/>
                <w:sz w:val="19"/>
              </w:rPr>
              <w:t>ResNet-18</w:t>
            </w:r>
          </w:p>
        </w:tc>
      </w:tr>
      <w:tr>
        <w:trPr>
          <w:cantSplit/>
        </w:trPr>
        <w:tc>
          <w:tcPr>
            <w:tcW w:type="dxa" w:w="2880"/>
            <w:vAlign w:val="top"/>
            <w:shd w:fill="F5F7F9"/>
          </w:tcPr>
          <w:p>
            <w:pPr>
              <w:spacing w:after="40"/>
            </w:pPr>
            <w:r>
              <w:rPr>
                <w:rFonts w:ascii="Times New Roman" w:hAnsi="Times New Roman"/>
                <w:sz w:val="19"/>
              </w:rPr>
              <w:t>Unlearners</w:t>
            </w:r>
          </w:p>
        </w:tc>
        <w:tc>
          <w:tcPr>
            <w:tcW w:type="dxa" w:w="6336"/>
            <w:vAlign w:val="top"/>
            <w:shd w:fill="F5F7F9"/>
          </w:tcPr>
          <w:p>
            <w:pPr>
              <w:spacing w:after="40"/>
            </w:pPr>
            <w:r>
              <w:rPr>
                <w:rFonts w:ascii="Times New Roman" w:hAnsi="Times New Roman"/>
                <w:sz w:val="19"/>
              </w:rPr>
              <w:t>Fine-tune, NegGrad, SCRUB, SSD</w:t>
            </w:r>
          </w:p>
        </w:tc>
      </w:tr>
      <w:tr>
        <w:trPr>
          <w:cantSplit/>
        </w:trPr>
        <w:tc>
          <w:tcPr>
            <w:tcW w:type="dxa" w:w="2880"/>
            <w:vAlign w:val="top"/>
          </w:tcPr>
          <w:p>
            <w:pPr>
              <w:spacing w:after="40"/>
            </w:pPr>
            <w:r>
              <w:rPr>
                <w:rFonts w:ascii="Times New Roman" w:hAnsi="Times New Roman"/>
                <w:sz w:val="19"/>
              </w:rPr>
              <w:t>Optional fifth unlearner</w:t>
            </w:r>
          </w:p>
        </w:tc>
        <w:tc>
          <w:tcPr>
            <w:tcW w:type="dxa" w:w="6336"/>
            <w:vAlign w:val="top"/>
          </w:tcPr>
          <w:p>
            <w:pPr>
              <w:spacing w:after="40"/>
            </w:pPr>
            <w:r>
              <w:rPr>
                <w:rFonts w:ascii="Times New Roman" w:hAnsi="Times New Roman"/>
                <w:sz w:val="19"/>
              </w:rPr>
              <w:t>Incompetent Teacher</w:t>
            </w:r>
          </w:p>
        </w:tc>
      </w:tr>
      <w:tr>
        <w:trPr>
          <w:cantSplit/>
        </w:trPr>
        <w:tc>
          <w:tcPr>
            <w:tcW w:type="dxa" w:w="2880"/>
            <w:vAlign w:val="top"/>
            <w:shd w:fill="F5F7F9"/>
          </w:tcPr>
          <w:p>
            <w:pPr>
              <w:spacing w:after="40"/>
            </w:pPr>
            <w:r>
              <w:rPr>
                <w:rFonts w:ascii="Times New Roman" w:hAnsi="Times New Roman"/>
                <w:sz w:val="19"/>
              </w:rPr>
              <w:t>Forget sets</w:t>
            </w:r>
          </w:p>
        </w:tc>
        <w:tc>
          <w:tcPr>
            <w:tcW w:type="dxa" w:w="6336"/>
            <w:vAlign w:val="top"/>
            <w:shd w:fill="F5F7F9"/>
          </w:tcPr>
          <w:p>
            <w:pPr>
              <w:spacing w:after="40"/>
            </w:pPr>
            <w:r>
              <w:rPr>
                <w:rFonts w:ascii="Times New Roman" w:hAnsi="Times New Roman"/>
                <w:sz w:val="19"/>
              </w:rPr>
              <w:t>Random 1/5/10%; high-memorization 5%</w:t>
            </w:r>
          </w:p>
        </w:tc>
      </w:tr>
      <w:tr>
        <w:trPr>
          <w:cantSplit/>
        </w:trPr>
        <w:tc>
          <w:tcPr>
            <w:tcW w:type="dxa" w:w="2880"/>
            <w:vAlign w:val="top"/>
          </w:tcPr>
          <w:p>
            <w:pPr>
              <w:spacing w:after="40"/>
            </w:pPr>
            <w:r>
              <w:rPr>
                <w:rFonts w:ascii="Times New Roman" w:hAnsi="Times New Roman"/>
                <w:sz w:val="19"/>
              </w:rPr>
              <w:t>Core audits</w:t>
            </w:r>
          </w:p>
        </w:tc>
        <w:tc>
          <w:tcPr>
            <w:tcW w:type="dxa" w:w="6336"/>
            <w:vAlign w:val="top"/>
          </w:tcPr>
          <w:p>
            <w:pPr>
              <w:spacing w:after="40"/>
            </w:pPr>
            <w:r>
              <w:rPr>
                <w:rFonts w:ascii="Times New Roman" w:hAnsi="Times New Roman"/>
                <w:sz w:val="19"/>
              </w:rPr>
              <w:t>Utility/behavior, MIA privacy, CKA/representation, relearning</w:t>
            </w:r>
          </w:p>
        </w:tc>
      </w:tr>
      <w:tr>
        <w:trPr>
          <w:cantSplit/>
        </w:trPr>
        <w:tc>
          <w:tcPr>
            <w:tcW w:type="dxa" w:w="2880"/>
            <w:vAlign w:val="top"/>
            <w:shd w:fill="F5F7F9"/>
          </w:tcPr>
          <w:p>
            <w:pPr>
              <w:spacing w:after="40"/>
            </w:pPr>
            <w:r>
              <w:rPr>
                <w:rFonts w:ascii="Times New Roman" w:hAnsi="Times New Roman"/>
                <w:sz w:val="19"/>
              </w:rPr>
              <w:t>Core statistics</w:t>
            </w:r>
          </w:p>
        </w:tc>
        <w:tc>
          <w:tcPr>
            <w:tcW w:type="dxa" w:w="6336"/>
            <w:vAlign w:val="top"/>
            <w:shd w:fill="F5F7F9"/>
          </w:tcPr>
          <w:p>
            <w:pPr>
              <w:spacing w:after="40"/>
            </w:pPr>
            <w:r>
              <w:rPr>
                <w:rFonts w:ascii="Times New Roman" w:hAnsi="Times New Roman"/>
                <w:sz w:val="19"/>
              </w:rPr>
              <w:t>Mean/SD across &gt;=3 seeds, Kendall tau, disagreement rate</w:t>
            </w:r>
          </w:p>
        </w:tc>
      </w:tr>
      <w:tr>
        <w:trPr>
          <w:cantSplit/>
        </w:trPr>
        <w:tc>
          <w:tcPr>
            <w:tcW w:type="dxa" w:w="2880"/>
            <w:vAlign w:val="top"/>
          </w:tcPr>
          <w:p>
            <w:pPr>
              <w:spacing w:after="40"/>
            </w:pPr>
            <w:r>
              <w:rPr>
                <w:rFonts w:ascii="Times New Roman" w:hAnsi="Times New Roman"/>
                <w:sz w:val="19"/>
              </w:rPr>
              <w:t>Reference</w:t>
            </w:r>
          </w:p>
        </w:tc>
        <w:tc>
          <w:tcPr>
            <w:tcW w:type="dxa" w:w="6336"/>
            <w:vAlign w:val="top"/>
          </w:tcPr>
          <w:p>
            <w:pPr>
              <w:spacing w:after="40"/>
            </w:pPr>
            <w:r>
              <w:rPr>
                <w:rFonts w:ascii="Times New Roman" w:hAnsi="Times New Roman"/>
                <w:sz w:val="19"/>
              </w:rPr>
              <w:t>Original + retrained oracle(s)</w:t>
            </w:r>
          </w:p>
        </w:tc>
      </w:tr>
      <w:tr>
        <w:trPr>
          <w:cantSplit/>
        </w:trPr>
        <w:tc>
          <w:tcPr>
            <w:tcW w:type="dxa" w:w="2880"/>
            <w:vAlign w:val="top"/>
            <w:shd w:fill="F5F7F9"/>
          </w:tcPr>
          <w:p>
            <w:pPr>
              <w:spacing w:after="40"/>
            </w:pPr>
            <w:r>
              <w:rPr>
                <w:rFonts w:ascii="Times New Roman" w:hAnsi="Times New Roman"/>
                <w:sz w:val="19"/>
              </w:rPr>
              <w:t>Demo</w:t>
            </w:r>
          </w:p>
        </w:tc>
        <w:tc>
          <w:tcPr>
            <w:tcW w:type="dxa" w:w="6336"/>
            <w:vAlign w:val="top"/>
            <w:shd w:fill="F5F7F9"/>
          </w:tcPr>
          <w:p>
            <w:pPr>
              <w:spacing w:after="40"/>
            </w:pPr>
            <w:r>
              <w:rPr>
                <w:rFonts w:ascii="Times New Roman" w:hAnsi="Times New Roman"/>
                <w:sz w:val="19"/>
              </w:rPr>
              <w:t>Streamlit</w:t>
            </w:r>
          </w:p>
        </w:tc>
      </w:tr>
      <w:tr>
        <w:trPr>
          <w:cantSplit/>
        </w:trPr>
        <w:tc>
          <w:tcPr>
            <w:tcW w:type="dxa" w:w="2880"/>
            <w:vAlign w:val="top"/>
          </w:tcPr>
          <w:p>
            <w:pPr>
              <w:spacing w:after="40"/>
            </w:pPr>
            <w:r>
              <w:rPr>
                <w:rFonts w:ascii="Times New Roman" w:hAnsi="Times New Roman"/>
                <w:sz w:val="19"/>
              </w:rPr>
              <w:t>LLM/TOFU extension</w:t>
            </w:r>
          </w:p>
        </w:tc>
        <w:tc>
          <w:tcPr>
            <w:tcW w:type="dxa" w:w="6336"/>
            <w:vAlign w:val="top"/>
          </w:tcPr>
          <w:p>
            <w:pPr>
              <w:spacing w:after="40"/>
            </w:pPr>
            <w:r>
              <w:rPr>
                <w:rFonts w:ascii="Times New Roman" w:hAnsi="Times New Roman"/>
                <w:sz w:val="19"/>
              </w:rPr>
              <w:t>Optional only after core paper is complete</w:t>
            </w:r>
          </w:p>
        </w:tc>
      </w:tr>
      <w:tr>
        <w:trPr>
          <w:cantSplit/>
        </w:trPr>
        <w:tc>
          <w:tcPr>
            <w:tcW w:type="dxa" w:w="2880"/>
            <w:vAlign w:val="top"/>
            <w:shd w:fill="F5F7F9"/>
          </w:tcPr>
          <w:p>
            <w:pPr>
              <w:spacing w:after="40"/>
            </w:pPr>
            <w:r>
              <w:rPr>
                <w:rFonts w:ascii="Times New Roman" w:hAnsi="Times New Roman"/>
                <w:sz w:val="19"/>
              </w:rPr>
              <w:t>Synthetic user deletion</w:t>
            </w:r>
          </w:p>
        </w:tc>
        <w:tc>
          <w:tcPr>
            <w:tcW w:type="dxa" w:w="6336"/>
            <w:vAlign w:val="top"/>
            <w:shd w:fill="F5F7F9"/>
          </w:tcPr>
          <w:p>
            <w:pPr>
              <w:spacing w:after="40"/>
            </w:pPr>
            <w:r>
              <w:rPr>
                <w:rFonts w:ascii="Times New Roman" w:hAnsi="Times New Roman"/>
                <w:sz w:val="19"/>
              </w:rPr>
              <w:t>Optional</w:t>
            </w:r>
          </w:p>
        </w:tc>
      </w:tr>
      <w:tr>
        <w:trPr>
          <w:cantSplit/>
        </w:trPr>
        <w:tc>
          <w:tcPr>
            <w:tcW w:type="dxa" w:w="2880"/>
            <w:vAlign w:val="top"/>
          </w:tcPr>
          <w:p>
            <w:pPr>
              <w:spacing w:after="40"/>
            </w:pPr>
            <w:r>
              <w:rPr>
                <w:rFonts w:ascii="Times New Roman" w:hAnsi="Times New Roman"/>
                <w:sz w:val="19"/>
              </w:rPr>
              <w:t>Formal certification / crypto proofs</w:t>
            </w:r>
          </w:p>
        </w:tc>
        <w:tc>
          <w:tcPr>
            <w:tcW w:type="dxa" w:w="6336"/>
            <w:vAlign w:val="top"/>
          </w:tcPr>
          <w:p>
            <w:pPr>
              <w:spacing w:after="40"/>
            </w:pPr>
            <w:r>
              <w:rPr>
                <w:rFonts w:ascii="Times New Roman" w:hAnsi="Times New Roman"/>
                <w:sz w:val="19"/>
              </w:rPr>
              <w:t>Out of scope</w:t>
            </w:r>
          </w:p>
        </w:tc>
      </w:tr>
    </w:tbl>
    <w:p>
      <w:pPr>
        <w:spacing w:after="20"/>
      </w:pPr>
    </w:p>
    <w:p>
      <w:pPr>
        <w:pStyle w:val="Heading1"/>
        <w:keepNext/>
      </w:pPr>
      <w:r>
        <w:t>Appendix B. Evaluation Metric Cheat Sheet</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2232"/>
            <w:shd w:fill="17324D"/>
            <w:vAlign w:val="center"/>
          </w:tcPr>
          <w:p>
            <w:r>
              <w:rPr>
                <w:rFonts w:ascii="Times New Roman" w:hAnsi="Times New Roman"/>
                <w:b/>
                <w:color w:val="FFFFFF"/>
                <w:sz w:val="17"/>
              </w:rPr>
              <w:t>Question</w:t>
            </w:r>
          </w:p>
        </w:tc>
        <w:tc>
          <w:tcPr>
            <w:tcW w:type="dxa" w:w="3384"/>
            <w:shd w:fill="17324D"/>
            <w:vAlign w:val="center"/>
          </w:tcPr>
          <w:p>
            <w:r>
              <w:rPr>
                <w:rFonts w:ascii="Times New Roman" w:hAnsi="Times New Roman"/>
                <w:b/>
                <w:color w:val="FFFFFF"/>
                <w:sz w:val="17"/>
              </w:rPr>
              <w:t>Metric / Tool</w:t>
            </w:r>
          </w:p>
        </w:tc>
        <w:tc>
          <w:tcPr>
            <w:tcW w:type="dxa" w:w="3600"/>
            <w:shd w:fill="17324D"/>
            <w:vAlign w:val="center"/>
          </w:tcPr>
          <w:p>
            <w:r>
              <w:rPr>
                <w:rFonts w:ascii="Times New Roman" w:hAnsi="Times New Roman"/>
                <w:b/>
                <w:color w:val="FFFFFF"/>
                <w:sz w:val="17"/>
              </w:rPr>
              <w:t>Interpretation Caution</w:t>
            </w:r>
          </w:p>
        </w:tc>
      </w:tr>
      <w:tr>
        <w:trPr>
          <w:cantSplit/>
        </w:trPr>
        <w:tc>
          <w:tcPr>
            <w:tcW w:type="dxa" w:w="2232"/>
            <w:vAlign w:val="top"/>
          </w:tcPr>
          <w:p>
            <w:pPr>
              <w:spacing w:after="40"/>
            </w:pPr>
            <w:r>
              <w:rPr>
                <w:rFonts w:ascii="Times New Roman" w:hAnsi="Times New Roman"/>
                <w:sz w:val="17"/>
              </w:rPr>
              <w:t>Did normal utility survive?</w:t>
            </w:r>
          </w:p>
        </w:tc>
        <w:tc>
          <w:tcPr>
            <w:tcW w:type="dxa" w:w="3384"/>
            <w:vAlign w:val="top"/>
          </w:tcPr>
          <w:p>
            <w:pPr>
              <w:spacing w:after="40"/>
            </w:pPr>
            <w:r>
              <w:rPr>
                <w:rFonts w:ascii="Times New Roman" w:hAnsi="Times New Roman"/>
                <w:sz w:val="17"/>
              </w:rPr>
              <w:t>Retain/test accuracy, F1, CE loss</w:t>
            </w:r>
          </w:p>
        </w:tc>
        <w:tc>
          <w:tcPr>
            <w:tcW w:type="dxa" w:w="3600"/>
            <w:vAlign w:val="top"/>
          </w:tcPr>
          <w:p>
            <w:pPr>
              <w:spacing w:after="40"/>
            </w:pPr>
            <w:r>
              <w:rPr>
                <w:rFonts w:ascii="Times New Roman" w:hAnsi="Times New Roman"/>
                <w:sz w:val="17"/>
              </w:rPr>
              <w:t>A damaged model can look “forgotten.”</w:t>
            </w:r>
          </w:p>
        </w:tc>
      </w:tr>
      <w:tr>
        <w:trPr>
          <w:cantSplit/>
        </w:trPr>
        <w:tc>
          <w:tcPr>
            <w:tcW w:type="dxa" w:w="2232"/>
            <w:vAlign w:val="top"/>
            <w:shd w:fill="F5F7F9"/>
          </w:tcPr>
          <w:p>
            <w:pPr>
              <w:spacing w:after="40"/>
            </w:pPr>
            <w:r>
              <w:rPr>
                <w:rFonts w:ascii="Times New Roman" w:hAnsi="Times New Roman"/>
                <w:sz w:val="17"/>
              </w:rPr>
              <w:t>Does forget behavior resemble retraining?</w:t>
            </w:r>
          </w:p>
        </w:tc>
        <w:tc>
          <w:tcPr>
            <w:tcW w:type="dxa" w:w="3384"/>
            <w:vAlign w:val="top"/>
            <w:shd w:fill="F5F7F9"/>
          </w:tcPr>
          <w:p>
            <w:pPr>
              <w:spacing w:after="40"/>
            </w:pPr>
            <w:r>
              <w:rPr>
                <w:rFonts w:ascii="Times New Roman" w:hAnsi="Times New Roman"/>
                <w:sz w:val="17"/>
              </w:rPr>
              <w:t>Forget loss/accuracy, prediction agreement</w:t>
            </w:r>
          </w:p>
        </w:tc>
        <w:tc>
          <w:tcPr>
            <w:tcW w:type="dxa" w:w="3600"/>
            <w:vAlign w:val="top"/>
            <w:shd w:fill="F5F7F9"/>
          </w:tcPr>
          <w:p>
            <w:pPr>
              <w:spacing w:after="40"/>
            </w:pPr>
            <w:r>
              <w:rPr>
                <w:rFonts w:ascii="Times New Roman" w:hAnsi="Times New Roman"/>
                <w:sz w:val="17"/>
              </w:rPr>
              <w:t>Wrong predictions are not automatically good unlearning.</w:t>
            </w:r>
          </w:p>
        </w:tc>
      </w:tr>
      <w:tr>
        <w:trPr>
          <w:cantSplit/>
        </w:trPr>
        <w:tc>
          <w:tcPr>
            <w:tcW w:type="dxa" w:w="2232"/>
            <w:vAlign w:val="top"/>
          </w:tcPr>
          <w:p>
            <w:pPr>
              <w:spacing w:after="40"/>
            </w:pPr>
            <w:r>
              <w:rPr>
                <w:rFonts w:ascii="Times New Roman" w:hAnsi="Times New Roman"/>
                <w:sz w:val="17"/>
              </w:rPr>
              <w:t>Are output distributions close?</w:t>
            </w:r>
          </w:p>
        </w:tc>
        <w:tc>
          <w:tcPr>
            <w:tcW w:type="dxa" w:w="3384"/>
            <w:vAlign w:val="top"/>
          </w:tcPr>
          <w:p>
            <w:pPr>
              <w:spacing w:after="40"/>
            </w:pPr>
            <w:r>
              <w:rPr>
                <w:rFonts w:ascii="Times New Roman" w:hAnsi="Times New Roman"/>
                <w:sz w:val="17"/>
              </w:rPr>
              <w:t>JS divergence, logit distance</w:t>
            </w:r>
          </w:p>
        </w:tc>
        <w:tc>
          <w:tcPr>
            <w:tcW w:type="dxa" w:w="3600"/>
            <w:vAlign w:val="top"/>
          </w:tcPr>
          <w:p>
            <w:pPr>
              <w:spacing w:after="40"/>
            </w:pPr>
            <w:r>
              <w:rPr>
                <w:rFonts w:ascii="Times New Roman" w:hAnsi="Times New Roman"/>
                <w:sz w:val="17"/>
              </w:rPr>
              <w:t>Account for stochastic retraining variation.</w:t>
            </w:r>
          </w:p>
        </w:tc>
      </w:tr>
      <w:tr>
        <w:trPr>
          <w:cantSplit/>
        </w:trPr>
        <w:tc>
          <w:tcPr>
            <w:tcW w:type="dxa" w:w="2232"/>
            <w:vAlign w:val="top"/>
            <w:shd w:fill="F5F7F9"/>
          </w:tcPr>
          <w:p>
            <w:pPr>
              <w:spacing w:after="40"/>
            </w:pPr>
            <w:r>
              <w:rPr>
                <w:rFonts w:ascii="Times New Roman" w:hAnsi="Times New Roman"/>
                <w:sz w:val="17"/>
              </w:rPr>
              <w:t>Can membership be inferred?</w:t>
            </w:r>
          </w:p>
        </w:tc>
        <w:tc>
          <w:tcPr>
            <w:tcW w:type="dxa" w:w="3384"/>
            <w:vAlign w:val="top"/>
            <w:shd w:fill="F5F7F9"/>
          </w:tcPr>
          <w:p>
            <w:pPr>
              <w:spacing w:after="40"/>
            </w:pPr>
            <w:r>
              <w:rPr>
                <w:rFonts w:ascii="Times New Roman" w:hAnsi="Times New Roman"/>
                <w:sz w:val="17"/>
              </w:rPr>
              <w:t>MIA ROC-AUC / attack accuracy</w:t>
            </w:r>
          </w:p>
        </w:tc>
        <w:tc>
          <w:tcPr>
            <w:tcW w:type="dxa" w:w="3600"/>
            <w:vAlign w:val="top"/>
            <w:shd w:fill="F5F7F9"/>
          </w:tcPr>
          <w:p>
            <w:pPr>
              <w:spacing w:after="40"/>
            </w:pPr>
            <w:r>
              <w:rPr>
                <w:rFonts w:ascii="Times New Roman" w:hAnsi="Times New Roman"/>
                <w:sz w:val="17"/>
              </w:rPr>
              <w:t>Passing one attack is not proof of deletion.</w:t>
            </w:r>
          </w:p>
        </w:tc>
      </w:tr>
      <w:tr>
        <w:trPr>
          <w:cantSplit/>
        </w:trPr>
        <w:tc>
          <w:tcPr>
            <w:tcW w:type="dxa" w:w="2232"/>
            <w:vAlign w:val="top"/>
          </w:tcPr>
          <w:p>
            <w:pPr>
              <w:spacing w:after="40"/>
            </w:pPr>
            <w:r>
              <w:rPr>
                <w:rFonts w:ascii="Times New Roman" w:hAnsi="Times New Roman"/>
                <w:sz w:val="17"/>
              </w:rPr>
              <w:t>Are internal representations retraining-like?</w:t>
            </w:r>
          </w:p>
        </w:tc>
        <w:tc>
          <w:tcPr>
            <w:tcW w:type="dxa" w:w="3384"/>
            <w:vAlign w:val="top"/>
          </w:tcPr>
          <w:p>
            <w:pPr>
              <w:spacing w:after="40"/>
            </w:pPr>
            <w:r>
              <w:rPr>
                <w:rFonts w:ascii="Times New Roman" w:hAnsi="Times New Roman"/>
                <w:sz w:val="17"/>
              </w:rPr>
              <w:t>CKA, activation distance, PCA</w:t>
            </w:r>
          </w:p>
        </w:tc>
        <w:tc>
          <w:tcPr>
            <w:tcW w:type="dxa" w:w="3600"/>
            <w:vAlign w:val="top"/>
          </w:tcPr>
          <w:p>
            <w:pPr>
              <w:spacing w:after="40"/>
            </w:pPr>
            <w:r>
              <w:rPr>
                <w:rFonts w:ascii="Times New Roman" w:hAnsi="Times New Roman"/>
                <w:sz w:val="17"/>
              </w:rPr>
              <w:t>Similarity is diagnostic, not direct privacy leakage.</w:t>
            </w:r>
          </w:p>
        </w:tc>
      </w:tr>
      <w:tr>
        <w:trPr>
          <w:cantSplit/>
        </w:trPr>
        <w:tc>
          <w:tcPr>
            <w:tcW w:type="dxa" w:w="2232"/>
            <w:vAlign w:val="top"/>
            <w:shd w:fill="F5F7F9"/>
          </w:tcPr>
          <w:p>
            <w:pPr>
              <w:spacing w:after="40"/>
            </w:pPr>
            <w:r>
              <w:rPr>
                <w:rFonts w:ascii="Times New Roman" w:hAnsi="Times New Roman"/>
                <w:sz w:val="17"/>
              </w:rPr>
              <w:t>Can forgotten behavior return quickly?</w:t>
            </w:r>
          </w:p>
        </w:tc>
        <w:tc>
          <w:tcPr>
            <w:tcW w:type="dxa" w:w="3384"/>
            <w:vAlign w:val="top"/>
            <w:shd w:fill="F5F7F9"/>
          </w:tcPr>
          <w:p>
            <w:pPr>
              <w:spacing w:after="40"/>
            </w:pPr>
            <w:r>
              <w:rPr>
                <w:rFonts w:ascii="Times New Roman" w:hAnsi="Times New Roman"/>
                <w:sz w:val="17"/>
              </w:rPr>
              <w:t>T80, relearning AUC</w:t>
            </w:r>
          </w:p>
        </w:tc>
        <w:tc>
          <w:tcPr>
            <w:tcW w:type="dxa" w:w="3600"/>
            <w:vAlign w:val="top"/>
            <w:shd w:fill="F5F7F9"/>
          </w:tcPr>
          <w:p>
            <w:pPr>
              <w:spacing w:after="40"/>
            </w:pPr>
            <w:r>
              <w:rPr>
                <w:rFonts w:ascii="Times New Roman" w:hAnsi="Times New Roman"/>
                <w:sz w:val="17"/>
              </w:rPr>
              <w:t>Use identical fine-tuning protocol for Mu and Mr.</w:t>
            </w:r>
          </w:p>
        </w:tc>
      </w:tr>
      <w:tr>
        <w:trPr>
          <w:cantSplit/>
        </w:trPr>
        <w:tc>
          <w:tcPr>
            <w:tcW w:type="dxa" w:w="2232"/>
            <w:vAlign w:val="top"/>
          </w:tcPr>
          <w:p>
            <w:pPr>
              <w:spacing w:after="40"/>
            </w:pPr>
            <w:r>
              <w:rPr>
                <w:rFonts w:ascii="Times New Roman" w:hAnsi="Times New Roman"/>
                <w:sz w:val="17"/>
              </w:rPr>
              <w:t>Do audit families agree?</w:t>
            </w:r>
          </w:p>
        </w:tc>
        <w:tc>
          <w:tcPr>
            <w:tcW w:type="dxa" w:w="3384"/>
            <w:vAlign w:val="top"/>
          </w:tcPr>
          <w:p>
            <w:pPr>
              <w:spacing w:after="40"/>
            </w:pPr>
            <w:r>
              <w:rPr>
                <w:rFonts w:ascii="Times New Roman" w:hAnsi="Times New Roman"/>
                <w:sz w:val="17"/>
              </w:rPr>
              <w:t>Kendall tau, disagreement rate</w:t>
            </w:r>
          </w:p>
        </w:tc>
        <w:tc>
          <w:tcPr>
            <w:tcW w:type="dxa" w:w="3600"/>
            <w:vAlign w:val="top"/>
          </w:tcPr>
          <w:p>
            <w:pPr>
              <w:spacing w:after="40"/>
            </w:pPr>
            <w:r>
              <w:rPr>
                <w:rFonts w:ascii="Times New Roman" w:hAnsi="Times New Roman"/>
                <w:sz w:val="17"/>
              </w:rPr>
              <w:t>Define metric direction and thresholds before analysis.</w:t>
            </w:r>
          </w:p>
        </w:tc>
      </w:tr>
      <w:tr>
        <w:trPr>
          <w:cantSplit/>
        </w:trPr>
        <w:tc>
          <w:tcPr>
            <w:tcW w:type="dxa" w:w="2232"/>
            <w:vAlign w:val="top"/>
            <w:shd w:fill="F5F7F9"/>
          </w:tcPr>
          <w:p>
            <w:pPr>
              <w:spacing w:after="40"/>
            </w:pPr>
            <w:r>
              <w:rPr>
                <w:rFonts w:ascii="Times New Roman" w:hAnsi="Times New Roman"/>
                <w:sz w:val="17"/>
              </w:rPr>
              <w:t>Is the metric informative?</w:t>
            </w:r>
          </w:p>
        </w:tc>
        <w:tc>
          <w:tcPr>
            <w:tcW w:type="dxa" w:w="3384"/>
            <w:vAlign w:val="top"/>
            <w:shd w:fill="F5F7F9"/>
          </w:tcPr>
          <w:p>
            <w:pPr>
              <w:spacing w:after="40"/>
            </w:pPr>
            <w:r>
              <w:rPr>
                <w:rFonts w:ascii="Times New Roman" w:hAnsi="Times New Roman"/>
                <w:sz w:val="17"/>
              </w:rPr>
              <w:t>Original-vs-retrained discriminability</w:t>
            </w:r>
          </w:p>
        </w:tc>
        <w:tc>
          <w:tcPr>
            <w:tcW w:type="dxa" w:w="3600"/>
            <w:vAlign w:val="top"/>
            <w:shd w:fill="F5F7F9"/>
          </w:tcPr>
          <w:p>
            <w:pPr>
              <w:spacing w:after="40"/>
            </w:pPr>
            <w:r>
              <w:rPr>
                <w:rFonts w:ascii="Times New Roman" w:hAnsi="Times New Roman"/>
                <w:sz w:val="17"/>
              </w:rPr>
              <w:t>Flag near-zero reference gap instead of forcing a score.</w:t>
            </w:r>
          </w:p>
        </w:tc>
      </w:tr>
    </w:tbl>
    <w:p>
      <w:pPr>
        <w:spacing w:after="20"/>
      </w:pPr>
    </w:p>
    <w:tbl>
      <w:tblPr>
        <w:tblStyle w:val="TableGrid"/>
        <w:tblW w:type="auto" w:w="0"/>
        <w:jc w:val="center"/>
        <w:tblLook w:firstColumn="1" w:firstRow="1" w:lastColumn="0" w:lastRow="0" w:noHBand="0" w:noVBand="1" w:val="04A0"/>
      </w:tblPr>
      <w:tblGrid>
        <w:gridCol w:w="9242"/>
      </w:tblGrid>
      <w:tr>
        <w:trPr>
          <w:cantSplit/>
        </w:trPr>
        <w:tc>
          <w:tcPr>
            <w:tcW w:type="dxa" w:w="9242"/>
            <w:shd w:fill="DDE1F6"/>
          </w:tcPr>
          <w:p>
            <w:pPr>
              <w:spacing w:after="60"/>
            </w:pPr>
            <w:r>
              <w:rPr>
                <w:b/>
                <w:color w:val="17324D"/>
                <w:sz w:val="23"/>
              </w:rPr>
              <w:t>Project-wide final reference sentence</w:t>
            </w:r>
          </w:p>
          <w:p>
            <w:pPr>
              <w:spacing w:after="20"/>
            </w:pPr>
            <w:r>
              <w:rPr>
                <w:sz w:val="21"/>
              </w:rPr>
              <w:t>ForgetCheck does not attempt to prove absolute erasure. It asks whether different empirical audits provide consistent evidence that an approximate unlearned model behaves like a retrained model that never saw the forgotten data, and whether this conclusion remains stable for harder deletion requests.</w:t>
            </w:r>
          </w:p>
        </w:tc>
      </w:tr>
    </w:tbl>
    <w:p>
      <w:pPr>
        <w:spacing w:after="20"/>
      </w:pPr>
    </w:p>
    <w:sectPr w:rsidR="00FC693F" w:rsidRPr="0006063C" w:rsidSect="00034616">
      <w:headerReference w:type="default" r:id="rId9"/>
      <w:footerReference w:type="default" r:id="rId10"/>
      <w:pgSz w:w="11906" w:h="16838"/>
      <w:pgMar w:top="1276"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76571"/>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76571"/>
        <w:sz w:val="17"/>
      </w:rPr>
      <w:t>ForgetCheck — Master Project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324A89"/>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2973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80"/>
    </w:pPr>
    <w:rPr>
      <w:rFonts w:ascii="Times New Roman" w:hAnsi="Times New Roman"/>
      <w:b/>
      <w:color w:val="17324D"/>
      <w:sz w:val="22"/>
    </w:rPr>
  </w:style>
  <w:style w:type="paragraph" w:customStyle="1" w:styleId="KeyPoint">
    <w:name w:val="KeyPoint"/>
    <w:pPr>
      <w:spacing w:before="80" w:after="80"/>
    </w:pPr>
    <w:rPr>
      <w:rFonts w:ascii="Times New Roman" w:hAnsi="Times New Roman"/>
      <w:b/>
      <w:color w:val="29738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proceedings.mlr.press/v119/guo20c.html" TargetMode="External"/><Relationship Id="rId14" Type="http://schemas.openxmlformats.org/officeDocument/2006/relationships/hyperlink" Target="https://doi.org/10.1109/SP40001.2021.00019" TargetMode="External"/><Relationship Id="rId15" Type="http://schemas.openxmlformats.org/officeDocument/2006/relationships/hyperlink" Target="https://ojs.aaai.org/index.php/AAAI/article/view/25879" TargetMode="External"/><Relationship Id="rId16" Type="http://schemas.openxmlformats.org/officeDocument/2006/relationships/hyperlink" Target="https://papers.nips.cc/paper_files/paper/2023/hash/062d711fb777322e2152435459e6e9d9-Abstract-Conference.html" TargetMode="External"/><Relationship Id="rId17" Type="http://schemas.openxmlformats.org/officeDocument/2006/relationships/hyperlink" Target="https://papers.nips.cc/paper_files/paper/2023/hash/a204aa68ab4e970e1ceccfb5b5cdc5e4-Abstract-Conference.html" TargetMode="External"/><Relationship Id="rId18" Type="http://schemas.openxmlformats.org/officeDocument/2006/relationships/hyperlink" Target="https://ojs.aaai.org/index.php/AAAI/article/view/29092" TargetMode="External"/><Relationship Id="rId19" Type="http://schemas.openxmlformats.org/officeDocument/2006/relationships/hyperlink" Target="https://aclanthology.org/2024.findings-emnlp.271/" TargetMode="External"/><Relationship Id="rId20" Type="http://schemas.openxmlformats.org/officeDocument/2006/relationships/hyperlink" Target="https://papers.neurips.cc/paper_files/paper/2024/hash/16e18fa3b3add076c30f2a2598f03031-Abstract-Conference.html" TargetMode="External"/><Relationship Id="rId21" Type="http://schemas.openxmlformats.org/officeDocument/2006/relationships/hyperlink" Target="https://openreview.net/forum?id=B41hNBoWLo" TargetMode="External"/><Relationship Id="rId22" Type="http://schemas.openxmlformats.org/officeDocument/2006/relationships/hyperlink" Target="https://aclanthology.org/2024.findings-emnlp.706/" TargetMode="External"/><Relationship Id="rId23" Type="http://schemas.openxmlformats.org/officeDocument/2006/relationships/hyperlink" Target="https://proceedings.iclr.cc/paper_files/paper/2025/hash/4556f5398bd2c61bd7500e306b4e560a-Abstract-Conference.html" TargetMode="External"/><Relationship Id="rId24" Type="http://schemas.openxmlformats.org/officeDocument/2006/relationships/hyperlink" Target="https://doi.org/10.1038/s42256-025-00985-0" TargetMode="External"/><Relationship Id="rId25" Type="http://schemas.openxmlformats.org/officeDocument/2006/relationships/hyperlink" Target="https://openreview.net/forum?id=E5SVowO13b" TargetMode="External"/><Relationship Id="rId26" Type="http://schemas.openxmlformats.org/officeDocument/2006/relationships/hyperlink" Target="https://arxiv.org/abs/2601.19755" TargetMode="External"/><Relationship Id="rId27" Type="http://schemas.openxmlformats.org/officeDocument/2006/relationships/hyperlink" Target="https://research.google/blog/new-framework-for-auditing-machine-unlearning/" TargetMode="External"/><Relationship Id="rId28" Type="http://schemas.openxmlformats.org/officeDocument/2006/relationships/hyperlink" Target="https://arxiv.org/abs/2606.16110" TargetMode="External"/><Relationship Id="rId29" Type="http://schemas.openxmlformats.org/officeDocument/2006/relationships/hyperlink" Target="https://neurips.cc/virtual/2023/competition/66581" TargetMode="External"/><Relationship Id="rId30" Type="http://schemas.openxmlformats.org/officeDocument/2006/relationships/hyperlink" Target="https://doi.org/10.1145/3749987" TargetMode="External"/><Relationship Id="rId31" Type="http://schemas.openxmlformats.org/officeDocument/2006/relationships/hyperlink" Target="https://github.com/unlearning-challenge/starting-kit" TargetMode="External"/><Relationship Id="rId32" Type="http://schemas.openxmlformats.org/officeDocument/2006/relationships/hyperlink" Target="https://github.com/meghdadk/SCRUB" TargetMode="External"/><Relationship Id="rId33" Type="http://schemas.openxmlformats.org/officeDocument/2006/relationships/hyperlink" Target="https://github.com/kairanzhao/RUM" TargetMode="External"/><Relationship Id="rId34" Type="http://schemas.openxmlformats.org/officeDocument/2006/relationships/hyperlink" Target="https://github.com/if-loops/selective-synaptic-dampening" TargetMode="External"/><Relationship Id="rId35" Type="http://schemas.openxmlformats.org/officeDocument/2006/relationships/hyperlink" Target="https://locuslab.github.io/tof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ForgetCheck: Master Project Details and Architecture Reference</dc:title>
  <dc:subject>Machine Unlearning Undergraduate Research Project</dc:subject>
  <dc:creator>python-docx</dc:creator>
  <cp:keywords>machine unlearning, audit disagreement, reversibility, SCRUB, SSD, membership inference, CKA, CIFAR-10</cp:keywords>
  <dc:description>Master project reference version 1.0</dc:description>
  <cp:lastModifiedBy/>
  <cp:revision>1</cp:revision>
  <dcterms:created xsi:type="dcterms:W3CDTF">2013-12-23T23:15:00Z</dcterms:created>
  <dcterms:modified xsi:type="dcterms:W3CDTF">2013-12-23T23:15:00Z</dcterms:modified>
  <cp:category/>
</cp:coreProperties>
</file>