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17324D"/>
          <w:sz w:val="60"/>
        </w:rPr>
        <w:t>FORGETCHECK</w:t>
      </w:r>
    </w:p>
    <w:p>
      <w:pPr>
        <w:jc w:val="center"/>
      </w:pPr>
      <w:r>
        <w:rPr>
          <w:rFonts w:ascii="Times New Roman" w:hAnsi="Times New Roman"/>
          <w:b/>
          <w:color w:val="324A89"/>
          <w:sz w:val="36"/>
        </w:rPr>
        <w:t>A Retraining-Grounded Study of Audit Disagreement, Reversibility and Audit Validity</w:t>
        <w:br/>
        <w:t>in Approximate Machine Unlearning</w:t>
      </w:r>
    </w:p>
    <w:p>
      <w:pPr>
        <w:spacing w:before="440"/>
        <w:jc w:val="center"/>
      </w:pPr>
      <w:r>
        <w:rPr>
          <w:b/>
          <w:color w:val="297380"/>
          <w:sz w:val="26"/>
        </w:rPr>
        <w:t>MASTER PROJECT DETAILS &amp; ARCHITECTURE REFERENCE</w:t>
      </w:r>
    </w:p>
    <w:p>
      <w:pPr>
        <w:spacing w:before="360"/>
        <w:jc w:val="center"/>
      </w:pPr>
      <w:r>
        <w:rPr>
          <w:i/>
        </w:rPr>
        <w:t>Domain: Trustworthy AI / Machine Learning Privacy / Deep Learning / AI Security</w:t>
      </w:r>
    </w:p>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304"/>
            <w:shd w:fill="17324D"/>
            <w:vAlign w:val="center"/>
          </w:tcPr>
          <w:p>
            <w:pPr>
              <w:keepNext/>
            </w:pPr>
            <w:r>
              <w:rPr>
                <w:rFonts w:ascii="Times New Roman" w:hAnsi="Times New Roman"/>
                <w:b/>
                <w:color w:val="FFFFFF"/>
                <w:sz w:val="19"/>
              </w:rPr>
              <w:t>Document Field</w:t>
            </w:r>
          </w:p>
        </w:tc>
        <w:tc>
          <w:tcPr>
            <w:tcW w:type="dxa" w:w="6912"/>
            <w:shd w:fill="17324D"/>
            <w:vAlign w:val="center"/>
          </w:tcPr>
          <w:p>
            <w:pPr>
              <w:keepNext/>
            </w:pPr>
            <w:r>
              <w:rPr>
                <w:rFonts w:ascii="Times New Roman" w:hAnsi="Times New Roman"/>
                <w:b/>
                <w:color w:val="FFFFFF"/>
                <w:sz w:val="19"/>
              </w:rPr>
              <w:t>Value</w:t>
            </w:r>
          </w:p>
        </w:tc>
      </w:tr>
      <w:tr>
        <w:trPr>
          <w:cantSplit/>
        </w:trPr>
        <w:tc>
          <w:tcPr>
            <w:tcW w:type="dxa" w:w="2304"/>
            <w:vAlign w:val="top"/>
          </w:tcPr>
          <w:p>
            <w:pPr>
              <w:spacing w:after="40"/>
            </w:pPr>
            <w:r>
              <w:rPr>
                <w:rFonts w:ascii="Times New Roman" w:hAnsi="Times New Roman"/>
                <w:sz w:val="19"/>
              </w:rPr>
              <w:t>Status</w:t>
            </w:r>
          </w:p>
        </w:tc>
        <w:tc>
          <w:tcPr>
            <w:tcW w:type="dxa" w:w="6912"/>
            <w:vAlign w:val="top"/>
          </w:tcPr>
          <w:p>
            <w:pPr>
              <w:spacing w:after="40"/>
            </w:pPr>
            <w:r>
              <w:rPr>
                <w:rFonts w:ascii="Times New Roman" w:hAnsi="Times New Roman"/>
                <w:sz w:val="19"/>
              </w:rPr>
              <w:t>Working Master Reference — use as the canonical project description unless the mentor approves a change</w:t>
            </w:r>
          </w:p>
        </w:tc>
      </w:tr>
      <w:tr>
        <w:trPr>
          <w:cantSplit/>
        </w:trPr>
        <w:tc>
          <w:tcPr>
            <w:tcW w:type="dxa" w:w="2304"/>
            <w:vAlign w:val="top"/>
            <w:shd w:fill="F5F7F9"/>
          </w:tcPr>
          <w:p>
            <w:pPr>
              <w:spacing w:after="40"/>
            </w:pPr>
            <w:r>
              <w:rPr>
                <w:rFonts w:ascii="Times New Roman" w:hAnsi="Times New Roman"/>
                <w:sz w:val="19"/>
              </w:rPr>
              <w:t>Version</w:t>
            </w:r>
          </w:p>
        </w:tc>
        <w:tc>
          <w:tcPr>
            <w:tcW w:type="dxa" w:w="6912"/>
            <w:vAlign w:val="top"/>
            <w:shd w:fill="F5F7F9"/>
          </w:tcPr>
          <w:p>
            <w:pPr>
              <w:spacing w:after="40"/>
            </w:pPr>
            <w:r>
              <w:rPr>
                <w:rFonts w:ascii="Times New Roman" w:hAnsi="Times New Roman"/>
                <w:sz w:val="19"/>
              </w:rPr>
              <w:t xml:space="preserve">3.0</w:t>
            </w:r>
          </w:p>
        </w:tc>
      </w:tr>
      <w:tr>
        <w:trPr>
          <w:cantSplit/>
        </w:trPr>
        <w:tc>
          <w:tcPr>
            <w:tcW w:type="dxa" w:w="2304"/>
            <w:vAlign w:val="top"/>
          </w:tcPr>
          <w:p>
            <w:pPr>
              <w:spacing w:after="40"/>
            </w:pPr>
            <w:r>
              <w:rPr>
                <w:rFonts w:ascii="Times New Roman" w:hAnsi="Times New Roman"/>
                <w:sz w:val="19"/>
              </w:rPr>
              <w:t>Research position frozen as of</w:t>
            </w:r>
          </w:p>
        </w:tc>
        <w:tc>
          <w:tcPr>
            <w:tcW w:type="dxa" w:w="6912"/>
            <w:vAlign w:val="top"/>
          </w:tcPr>
          <w:p>
            <w:pPr>
              <w:spacing w:after="40"/>
            </w:pPr>
            <w:r>
              <w:rPr>
                <w:rFonts w:ascii="Times New Roman" w:hAnsi="Times New Roman"/>
                <w:sz w:val="19"/>
              </w:rPr>
              <w:t xml:space="preserve">7 August 2026 (v1.0); repositioned 25 August 2026 (v2.0); brought up to date with the study as built and run, and its results, 19 October 2026 (v3.0) — see Changelog</w:t>
            </w:r>
          </w:p>
        </w:tc>
      </w:tr>
      <w:tr>
        <w:trPr>
          <w:cantSplit/>
        </w:trPr>
        <w:tc>
          <w:tcPr>
            <w:tcW w:type="dxa" w:w="2304"/>
            <w:vAlign w:val="top"/>
            <w:shd w:fill="F5F7F9"/>
          </w:tcPr>
          <w:p>
            <w:pPr>
              <w:spacing w:after="40"/>
            </w:pPr>
            <w:r>
              <w:rPr>
                <w:rFonts w:ascii="Times New Roman" w:hAnsi="Times New Roman"/>
                <w:sz w:val="19"/>
              </w:rPr>
              <w:t>Primary benchmark</w:t>
            </w:r>
          </w:p>
        </w:tc>
        <w:tc>
          <w:tcPr>
            <w:tcW w:type="dxa" w:w="6912"/>
            <w:vAlign w:val="top"/>
            <w:shd w:fill="F5F7F9"/>
          </w:tcPr>
          <w:p>
            <w:pPr>
              <w:spacing w:after="40"/>
            </w:pPr>
            <w:r>
              <w:rPr>
                <w:rFonts w:ascii="Times New Roman" w:hAnsi="Times New Roman"/>
                <w:sz w:val="19"/>
              </w:rPr>
              <w:t>CIFAR-10</w:t>
            </w:r>
          </w:p>
        </w:tc>
      </w:tr>
      <w:tr>
        <w:trPr>
          <w:cantSplit/>
        </w:trPr>
        <w:tc>
          <w:tcPr>
            <w:tcW w:type="dxa" w:w="2304"/>
            <w:vAlign w:val="top"/>
          </w:tcPr>
          <w:p>
            <w:pPr>
              <w:spacing w:after="40"/>
            </w:pPr>
            <w:r>
              <w:rPr>
                <w:rFonts w:ascii="Times New Roman" w:hAnsi="Times New Roman"/>
                <w:sz w:val="19"/>
              </w:rPr>
              <w:t>Primary model</w:t>
            </w:r>
          </w:p>
        </w:tc>
        <w:tc>
          <w:tcPr>
            <w:tcW w:type="dxa" w:w="6912"/>
            <w:vAlign w:val="top"/>
          </w:tcPr>
          <w:p>
            <w:pPr>
              <w:spacing w:after="40"/>
            </w:pPr>
            <w:r>
              <w:rPr>
                <w:rFonts w:ascii="Times New Roman" w:hAnsi="Times New Roman"/>
                <w:sz w:val="19"/>
              </w:rPr>
              <w:t>ResNet-18</w:t>
            </w:r>
          </w:p>
        </w:tc>
      </w:tr>
      <w:tr>
        <w:trPr>
          <w:cantSplit/>
        </w:trPr>
        <w:tc>
          <w:tcPr>
            <w:tcW w:type="dxa" w:w="2304"/>
            <w:vAlign w:val="top"/>
            <w:shd w:fill="F5F7F9"/>
          </w:tcPr>
          <w:p>
            <w:pPr>
              <w:spacing w:after="40"/>
            </w:pPr>
            <w:r>
              <w:rPr>
                <w:rFonts w:ascii="Times New Roman" w:hAnsi="Times New Roman"/>
                <w:sz w:val="19"/>
              </w:rPr>
              <w:t>Core unlearning methods</w:t>
            </w:r>
          </w:p>
        </w:tc>
        <w:tc>
          <w:tcPr>
            <w:tcW w:type="dxa" w:w="6912"/>
            <w:vAlign w:val="top"/>
            <w:shd w:fill="F5F7F9"/>
          </w:tcPr>
          <w:p>
            <w:pPr>
              <w:spacing w:after="40"/>
            </w:pPr>
            <w:r>
              <w:rPr>
                <w:rFonts w:ascii="Times New Roman" w:hAnsi="Times New Roman"/>
                <w:sz w:val="19"/>
              </w:rPr>
              <w:t>Fine-tuning, NegGrad+, NegGrad (destructive control), SCRUB, SalUn, L1-sparse</w:t>
            </w:r>
          </w:p>
        </w:tc>
      </w:tr>
      <w:tr>
        <w:trPr>
          <w:cantSplit/>
        </w:trPr>
        <w:tc>
          <w:tcPr>
            <w:tcW w:type="dxa" w:w="2304"/>
            <w:vAlign w:val="top"/>
          </w:tcPr>
          <w:p>
            <w:pPr>
              <w:spacing w:after="40"/>
            </w:pPr>
            <w:r>
              <w:rPr>
                <w:rFonts w:ascii="Times New Roman" w:hAnsi="Times New Roman"/>
                <w:sz w:val="19"/>
              </w:rPr>
              <w:t>Core audit families</w:t>
            </w:r>
          </w:p>
        </w:tc>
        <w:tc>
          <w:tcPr>
            <w:tcW w:type="dxa" w:w="6912"/>
            <w:vAlign w:val="top"/>
          </w:tcPr>
          <w:p>
            <w:pPr>
              <w:spacing w:after="40"/>
            </w:pPr>
            <w:r>
              <w:rPr>
                <w:rFonts w:ascii="Times New Roman" w:hAnsi="Times New Roman"/>
                <w:sz w:val="19"/>
              </w:rPr>
              <w:t xml:space="preserve">Behavioral, Privacy (two attack strengths), Representation, Relearning / Reversibility; plus a secondary, retrain-free independence audit (SDE)</w:t>
            </w:r>
          </w:p>
        </w:tc>
      </w:tr>
      <w:tr>
        <w:trPr>
          <w:cantSplit/>
        </w:trPr>
        <w:tc>
          <w:tcPr>
            <w:tcW w:type="dxa" w:w="2304"/>
            <w:vAlign w:val="top"/>
            <w:shd w:fill="F5F7F9"/>
          </w:tcPr>
          <w:p>
            <w:pPr>
              <w:spacing w:after="40"/>
            </w:pPr>
            <w:r>
              <w:rPr>
                <w:rFonts w:ascii="Times New Roman" w:hAnsi="Times New Roman"/>
                <w:sz w:val="19"/>
              </w:rPr>
              <w:t>Primary contribution</w:t>
            </w:r>
          </w:p>
        </w:tc>
        <w:tc>
          <w:tcPr>
            <w:tcW w:type="dxa" w:w="6912"/>
            <w:vAlign w:val="top"/>
            <w:shd w:fill="F5F7F9"/>
          </w:tcPr>
          <w:p>
            <w:pPr>
              <w:spacing w:after="40"/>
            </w:pPr>
            <w:r>
              <w:rPr>
                <w:rFonts w:ascii="Times New Roman" w:hAnsi="Times New Roman"/>
                <w:sz w:val="19"/>
              </w:rPr>
              <w:t>Reversibility-inclusive, difficulty-stratified, oracle-calibrated cross-audit analysis</w:t>
            </w:r>
          </w:p>
        </w:tc>
      </w:tr>
      <w:tr>
        <w:trPr>
          <w:cantSplit/>
        </w:trPr>
        <w:tc>
          <w:tcPr>
            <w:tcW w:type="dxa" w:w="2304"/>
            <w:vAlign w:val="top"/>
          </w:tcPr>
          <w:p>
            <w:pPr>
              <w:spacing w:after="40"/>
            </w:pPr>
            <w:r>
              <w:rPr>
                <w:rFonts w:ascii="Times New Roman" w:hAnsi="Times New Roman"/>
                <w:sz w:val="19"/>
              </w:rPr>
              <w:t>Problem formulation</w:t>
            </w:r>
          </w:p>
        </w:tc>
        <w:tc>
          <w:tcPr>
            <w:tcW w:type="dxa" w:w="6912"/>
            <w:vAlign w:val="top"/>
          </w:tcPr>
          <w:p>
            <w:pPr>
              <w:spacing w:after="40"/>
            </w:pPr>
            <w:r>
              <w:rPr>
                <w:rFonts w:ascii="Times New Roman" w:hAnsi="Times New Roman"/>
                <w:sz w:val="19"/>
              </w:rPr>
              <w:t>Untraining (instance-level influence removal), per Triantafillou et al., 2026 [19]</w:t>
            </w:r>
          </w:p>
        </w:tc>
      </w:tr>
      <w:tr>
        <w:trPr>
          <w:cantSplit/>
        </w:trPr>
        <w:tc>
          <w:tcPr>
            <w:tcW w:type="dxa" w:w="2304"/>
            <w:vAlign w:val="top"/>
            <w:shd w:fill="F5F7F9"/>
          </w:tcPr>
          <w:p>
            <w:pPr>
              <w:spacing w:after="40"/>
            </w:pPr>
            <w:r>
              <w:rPr>
                <w:rFonts w:ascii="Times New Roman" w:hAnsi="Times New Roman"/>
                <w:sz w:val="19"/>
              </w:rPr>
              <w:t xml:space="preserve">Project status</w:t>
            </w:r>
          </w:p>
        </w:tc>
        <w:tc>
          <w:tcPr>
            <w:tcW w:type="dxa" w:w="6912"/>
            <w:vAlign w:val="top"/>
            <w:shd w:fill="F5F7F9"/>
          </w:tcPr>
          <w:p>
            <w:pPr>
              <w:spacing w:after="40"/>
            </w:pPr>
            <w:r>
              <w:rPr>
                <w:rFonts w:ascii="Times New Roman" w:hAnsi="Times New Roman"/>
                <w:sz w:val="19"/>
              </w:rPr>
              <w:t xml:space="preserve">Experiments and analysis complete (11 October 2026). Remaining: final paper to the mentor 29 October, final progress presentation 31 October, final presentation 5 November 2026</w:t>
            </w:r>
          </w:p>
        </w:tc>
      </w:tr>
    </w:tbl>
    <w:p>
      <w:pPr>
        <w:spacing w:after="20"/>
      </w:pPr>
    </w:p>
    <w:p>
      <w:pPr>
        <w:spacing w:before="240"/>
        <w:jc w:val="center"/>
      </w:pPr>
      <w:r>
        <w:rPr>
          <w:i/>
          <w:color w:val="576571"/>
        </w:rPr>
        <w:t>Prepared as a project-wide reference for synopsis, implementation, progress reviews, final report, IEEE paper and presentation.</w:t>
      </w:r>
    </w:p>
    <w:p>
      <w:r>
        <w:br w:type="page"/>
      </w:r>
    </w:p>
    <w:p>
      <w:pPr>
        <w:pStyle w:val="Heading1"/>
        <w:keepNext/>
      </w:pPr>
      <w:r>
        <w:t>How to Use This Document</w:t>
      </w:r>
    </w:p>
    <w:p>
      <w:pPr>
        <w:spacing w:after="120"/>
      </w:pPr>
      <w:r>
        <w:rPr>
          <w:i w:val="0"/>
        </w:rPr>
        <w:t>This document is intended to be the single source of truth for the project. It consolidates the final topic, research motivation, literature position, experimental architecture, audit definitions, datasets, methods, evaluation metrics, implementation decisions, risks, timetable, deliverables and working references. When preparing the synopsis, weekly progress reports, research paper or presentation, terminology should remain consistent with this document unless the project mentor formally approves a change.</w:t>
      </w:r>
      <w:r>
        <w:rPr>
          <w:i w:val="0"/>
        </w:rPr>
        <w:t xml:space="preserve"> Two companion documents in the repository hold the detail this one summarises: docs/RESULTS.md, every result stage by stage with its tables, generated from the result records; and docs/STATUS.md, the build diary, with every decision, defect and correction and its date. Quote numbers from docs/RESULTS.md.</w:t>
      </w:r>
    </w:p>
    <w:tbl>
      <w:tblPr>
        <w:tblStyle w:val="TableGrid"/>
        <w:tblW w:type="auto" w:w="0"/>
        <w:jc w:val="center"/>
        <w:tblLook w:firstColumn="1" w:firstRow="1" w:lastColumn="0" w:lastRow="0" w:noHBand="0" w:noVBand="1" w:val="04A0"/>
      </w:tblPr>
      <w:tblGrid>
        <w:gridCol w:w="9242"/>
      </w:tblGrid>
      <w:tr>
        <w:trPr>
          <w:cantSplit/>
        </w:trPr>
        <w:tc>
          <w:tcPr>
            <w:tcW w:type="dxa" w:w="9242"/>
            <w:shd w:fill="FFF4D6"/>
          </w:tcPr>
          <w:p>
            <w:pPr>
              <w:spacing w:after="60"/>
            </w:pPr>
            <w:r>
              <w:rPr>
                <w:b/>
                <w:color w:val="17324D"/>
                <w:sz w:val="23"/>
              </w:rPr>
              <w:t>Project discipline rule</w:t>
            </w:r>
          </w:p>
          <w:p>
            <w:pPr>
              <w:spacing w:after="20"/>
            </w:pPr>
            <w:r>
              <w:rPr>
                <w:sz w:val="21"/>
              </w:rPr>
              <w:t>Do not change the research claim merely because an experiment gives an inconvenient result. The project investigates whether audits agree; both agreement and disagreement are valid scientific outcomes. Likewise, do not claim that any empirical audit proves complete erasure of information unless a formal guarantee actually exists.</w:t>
            </w:r>
          </w:p>
        </w:tc>
      </w:tr>
    </w:tbl>
    <w:p>
      <w:pPr>
        <w:spacing w:after="20"/>
      </w:pPr>
    </w:p>
    <w:p>
      <w:pPr>
        <w:pStyle w:val="Heading1"/>
        <w:keepNext/>
      </w:pPr>
      <w:r>
        <w:t xml:space="preserve">Changelog: v2.0 → v3.0 (19 October 2026)</w:t>
      </w:r>
    </w:p>
    <w:p>
      <w:pPr>
        <w:spacing w:after="120"/>
      </w:pPr>
      <w:r>
        <w:rPr>
          <w:i w:val="0"/>
        </w:rPr>
        <w:t xml:space="preserve">Version 3.0 brings the document in line with the study as it was built and run between 26 August and 11 October 2026, and records its outcomes. The research claim, the research questions and the hypotheses are unchanged: they were registered before any result existed, and their outcomes are recorded beside them in Section 8.4 rather than written into them. Each change below was decided during implementation with a recorded reason; docs/STATUS.md has the full account with dates.</w:t>
      </w:r>
    </w:p>
    <w:p>
      <w:pPr>
        <w:spacing w:after="120"/>
      </w:pPr>
      <w:r>
        <w:rPr>
          <w:b/>
          <w:i w:val="0"/>
        </w:rPr>
        <w:t xml:space="preserve">Substantive changes in v3.0:</w:t>
      </w:r>
    </w:p>
    <w:p>
      <w:pPr>
        <w:pStyle w:val="ListBullet"/>
        <w:spacing w:after="60"/>
        <w:ind w:left="346"/>
      </w:pPr>
      <w:r>
        <w:t xml:space="preserve">Status and outcomes — experiments and analysis complete. Section 8.4 records the outcome of every research question and hypothesis; Section 2 and the working abstract (22.1) report the findings; Section 22.3 gains the claims the results rule out.</w:t>
      </w:r>
    </w:p>
    <w:p>
      <w:pPr>
        <w:pStyle w:val="ListBullet"/>
        <w:spacing w:after="60"/>
        <w:ind w:left="346"/>
      </w:pPr>
      <w:r>
        <w:t xml:space="preserve">Section 12 — the methods as built (new 12.1): one interface and one shared training loop; settings frozen after the pilot; ascent budgets fixed in steps so that compute no longer scales with forget-set size; two deliberate departures (NegGrad+ forget loss capped at chance level; SCRUB ascent capped at 24 steps); SalUn corrected to the authors' full retain pass. SSD implemented but not run; Incompetent Teacher not added.</w:t>
      </w:r>
    </w:p>
    <w:p>
      <w:pPr>
        <w:pStyle w:val="ListBullet"/>
        <w:spacing w:after="60"/>
        <w:ind w:left="346"/>
      </w:pPr>
      <w:r>
        <w:t xml:space="preserve">Section 13 — the forget sets as built: absolute sizes (random 500, 2,500, 3,000 and 5,000; 3,000 per memorization stratum; medium defined as nearest 0.5), the canary label rule and the canary_top_wrong ground truth. The v2.0 statement that random subsets are “overwhelmingly low-memorization” is corrected: a quarter of CIFAR-10 scores above 0.5.</w:t>
      </w:r>
    </w:p>
    <w:p>
      <w:pPr>
        <w:pStyle w:val="ListBullet"/>
        <w:spacing w:after="60"/>
        <w:ind w:left="346"/>
      </w:pPr>
      <w:r>
        <w:t xml:space="preserve">Section 14 — the audits as built: a sixth, secondary audit (SDE, retrain-free; approved 15 September 2026; new 14.9); RBF-CKA chosen as the second representation measure; raw activation distance retired from verdicts, because it measures the shared initialisation; cka_to_original added to test H3 (approved 1 October 2026); attack settings; TPR at 1% FPR as the low-FPR operating point; the relearning protocol as run.</w:t>
      </w:r>
    </w:p>
    <w:p>
      <w:pPr>
        <w:pStyle w:val="ListBullet"/>
        <w:spacing w:after="60"/>
        <w:ind w:left="346"/>
      </w:pPr>
      <w:r>
        <w:t xml:space="preserve">Section 15 — 15.5 moved to its place in Section 15 and rewritten as implemented: prediction-interval bands with leave-one-out over all retrains, native and calibrated verdicts, the original model as positive control, a 5-point utility guard, a 2-point minimum effect and canary scoring. 15.2–15.4 record how agreement and the oracle gap were actually computed.</w:t>
      </w:r>
    </w:p>
    <w:p>
      <w:pPr>
        <w:pStyle w:val="ListBullet"/>
        <w:spacing w:after="60"/>
        <w:ind w:left="346"/>
      </w:pPr>
      <w:r>
        <w:t xml:space="preserve">Section 16 — the matrix and statistics as run; the analyses added after seeing data are named as exploratory.</w:t>
      </w:r>
    </w:p>
    <w:p>
      <w:pPr>
        <w:pStyle w:val="ListBullet"/>
        <w:spacing w:after="60"/>
        <w:ind w:left="346"/>
      </w:pPr>
      <w:r>
        <w:t xml:space="preserve">Sections 17–19 — implementation as built (the project's own package rather than the RUM codebase; append-only Parquet records with provenance checks), the compute actually used (three Kaggle accounts), and the risks that materialised, with their mitigations.</w:t>
      </w:r>
    </w:p>
    <w:p>
      <w:pPr>
        <w:pStyle w:val="ListBullet"/>
        <w:spacing w:after="60"/>
        <w:ind w:left="346"/>
      </w:pPr>
      <w:r>
        <w:t xml:space="preserve">Sections 20–21 — deliverable status; the week plan replaced by the as-run timeline and the remaining schedule (paper 29 October; final progress presentation 31 October; final presentation 5 November 2026).</w:t>
      </w:r>
    </w:p>
    <w:p>
      <w:pPr>
        <w:pStyle w:val="ListBullet"/>
        <w:spacing w:after="60"/>
        <w:ind w:left="346"/>
      </w:pPr>
      <w:r>
        <w:t xml:space="preserve">Sections 5, 23–25 — SDE and Unlearning Comparator added to the positioning table; references [35]–[37] added (SDE, CKA, memorization estimates); resource table updated to what was used.</w:t>
      </w:r>
    </w:p>
    <w:p>
      <w:pPr>
        <w:pStyle w:val="ListBullet"/>
        <w:spacing w:after="60"/>
        <w:ind w:left="346"/>
      </w:pPr>
      <w:r>
        <w:t xml:space="preserve">Appendices — the decision sheet and the metric cheat sheet brought up to date.</w:t>
      </w:r>
    </w:p>
    <w:p>
      <w:pPr>
        <w:pStyle w:val="ListBullet"/>
        <w:spacing w:after="60"/>
        <w:ind w:left="346"/>
      </w:pPr>
      <w:r>
        <w:t xml:space="preserve">Layout — the v2.0 additions that had landed inside the contents list (Section 15.5 and the ownership note of Section 21) are moved to their sections; body text set in heading styles, and list items without bullets, are restyled. The cover title now matches the frozen topic of Section 1, which since v2.0 has included audit validity.</w:t>
      </w:r>
    </w:p>
    <w:p>
      <w:pPr>
        <w:spacing w:after="120"/>
      </w:pPr>
      <w:r>
        <w:rPr>
          <w:i w:val="0"/>
        </w:rPr>
        <w:t xml:space="preserve"/>
      </w:r>
    </w:p>
    <w:p>
      <w:pPr>
        <w:pStyle w:val="Heading1"/>
        <w:keepNext/>
      </w:pPr>
      <w:r>
        <w:t>Changelog: v1.0 → v2.0 (25 August 2026)</w:t>
      </w:r>
    </w:p>
    <w:p>
      <w:pPr>
        <w:spacing w:after="120"/>
      </w:pPr>
      <w:r>
        <w:rPr>
          <w:i w:val="0"/>
        </w:rPr>
        <w:t xml:space="preserve">Version 2.0 follows an independent review of the frozen v1.0 position against literature published between February and August 2026. The review is archived in the project repository at docs/FORGETCHECK_REVIEW.md, with the full evidence trail and reasoning in docs/RESEARCH_LOG.md. Nothing in the project’s scientific discipline changed; the research claim, four experimental decisions and the statistical backbone did.</w:t>
      </w:r>
    </w:p>
    <w:p>
      <w:pPr>
        <w:spacing w:after="120"/>
      </w:pPr>
      <w:r>
        <w:rPr>
          <w:i w:val="0"/>
        </w:rPr>
        <w:t xml:space="preserve">Why the claim moved. Three papers published after the freeze date establish parts of what v1.0 proposed to discover. Metric Unreliability in Multimodal Machine Unlearning [20] performs cross-metric Kendall-tau disagreement analysis against a retrained oracle across five metric families, including a CIFAR-10 / ResNet-18 arm. RULER [22] and Are We Truly Forgetting? [23] independently establish former hypothesis H1. Section 6 is therefore narrowed to the parts that remain open: reversibility as a ranked audit family, disagreement within the privacy family, forget-set difficulty as a factor, and calibration of audits against an oracle ensemble and a ground-truth canary condition.</w:t>
      </w:r>
    </w:p>
    <w:p>
      <w:pPr>
        <w:spacing w:after="120"/>
      </w:pPr>
      <w:r>
        <w:rPr>
          <w:b/>
          <w:i w:val="0"/>
        </w:rPr>
        <w:t xml:space="preserve">Substantive changes in v2.0:</w:t>
      </w:r>
    </w:p>
    <w:p>
      <w:pPr>
        <w:pStyle w:val="ListBullet"/>
        <w:spacing w:after="60"/>
        <w:ind w:left="346"/>
      </w:pPr>
      <w:r>
        <w:t xml:space="preserve">Section 1 and 3 — the project is now explicitly framed as an Untraining study in the sense of [19], which fixes retraining-from-scratch as the correct reference and makes membership inference an appropriate metric for this setting.</w:t>
      </w:r>
    </w:p>
    <w:p>
      <w:pPr>
        <w:pStyle w:val="ListBullet"/>
        <w:spacing w:after="60"/>
        <w:ind w:left="346"/>
      </w:pPr>
      <w:r>
        <w:t xml:space="preserve">Section 6 — novelty statement replaced. Section 8 — H1 demoted to a replication target, H2 split into inter-family and intra-family forms, H5 added for audit validity.</w:t>
      </w:r>
    </w:p>
    <w:p>
      <w:pPr>
        <w:pStyle w:val="ListBullet"/>
        <w:spacing w:after="60"/>
        <w:ind w:left="346"/>
      </w:pPr>
      <w:r>
        <w:t xml:space="preserve">Section 12 — Selective Synaptic Dampening removed from the core method set. Its Fisher-importance mechanism cannot separate a random i.i.d. forget set from the retain set, and it is reported to fail at all forget fractions under random forgetting [24]. Replaced by SalUn and L1-sparse; NegGrad+ replaces plain NegGrad as the primary gradient-ascent method, with plain NegGrad retained as a labelled destructive control. Six methods total.</w:t>
      </w:r>
    </w:p>
    <w:p>
      <w:pPr>
        <w:pStyle w:val="ListBullet"/>
        <w:spacing w:after="60"/>
        <w:ind w:left="346"/>
      </w:pPr>
      <w:r>
        <w:t xml:space="preserve">Section 13 — forget-set design split into two orthogonal factors: a deletion-size axis (demoted to a scaling check) and a memorization-difficulty axis (promoted to primary), plus a mislabeled-canary condition providing ground truth by construction.</w:t>
      </w:r>
    </w:p>
    <w:p>
      <w:pPr>
        <w:pStyle w:val="ListBullet"/>
        <w:spacing w:after="60"/>
        <w:ind w:left="346"/>
      </w:pPr>
      <w:r>
        <w:t xml:space="preserve">Section 14.4 — two membership-inference attacks of different strength, not one. Section 14.5 — a second, non-CKA representation measure and an oracle-vs-oracle baseline. Section 14.7 — anchor arms added to the relearning protocol.</w:t>
      </w:r>
    </w:p>
    <w:p>
      <w:pPr>
        <w:pStyle w:val="ListBullet"/>
        <w:spacing w:after="60"/>
        <w:ind w:left="346"/>
      </w:pPr>
      <w:r>
        <w:t xml:space="preserve">Section 15 — new subsection 15.5 on audit calibration and validity. Section 16 — the primary agreement statistic changes: correlation is computed over model instances rather than over four method ranks, because Kendall’s tau over four items cannot attain p &lt; 0.05 under any possible data (minimum two-sided p = 0.0833).</w:t>
      </w:r>
    </w:p>
    <w:p>
      <w:pPr>
        <w:pStyle w:val="ListBullet"/>
        <w:spacing w:after="60"/>
        <w:ind w:left="346"/>
      </w:pPr>
      <w:r>
        <w:t xml:space="preserve">Section 17, 19, 21 — compute plan corrected. Training moves to Kaggle GPU; the local Ryzen AI 9 HX 370 machine cannot train PyTorch models on its Radeon 890M iGPU (unsupported by ROCm) and is measured at 4.76 hours per 30-epoch CIFAR-10 run on CPU. Gantt rebalanced.</w:t>
      </w:r>
    </w:p>
    <w:p>
      <w:pPr>
        <w:pStyle w:val="ListBullet"/>
        <w:spacing w:after="60"/>
        <w:ind w:left="346"/>
      </w:pPr>
      <w:r>
        <w:t xml:space="preserve">The optional LLM / TOFU extension is withdrawn to fund the calibration and canary work.</w:t>
      </w:r>
    </w:p>
    <w:p>
      <w:pPr>
        <w:pStyle w:val="Heading1"/>
        <w:keepNext/>
      </w:pPr>
      <w:r>
        <w:t>Document Contents</w:t>
      </w:r>
    </w:p>
    <w:p>
      <w:pPr>
        <w:spacing w:after="40"/>
        <w:ind w:left="288"/>
      </w:pPr>
      <w:r>
        <w:t>1. Project Identity and One-Sentence Definition</w:t>
      </w:r>
    </w:p>
    <w:p>
      <w:pPr>
        <w:spacing w:after="40"/>
        <w:ind w:left="288"/>
      </w:pPr>
      <w:r>
        <w:t>2. Executive Summary</w:t>
      </w:r>
    </w:p>
    <w:p>
      <w:pPr>
        <w:spacing w:after="40"/>
        <w:ind w:left="288"/>
      </w:pPr>
      <w:r>
        <w:t>3. Background: What Machine Unlearning Is</w:t>
      </w:r>
    </w:p>
    <w:p>
      <w:pPr>
        <w:spacing w:after="40"/>
        <w:ind w:left="288"/>
      </w:pPr>
      <w:r>
        <w:t>4. Why the Problem Matters</w:t>
      </w:r>
    </w:p>
    <w:p>
      <w:pPr>
        <w:spacing w:after="40"/>
        <w:ind w:left="288"/>
      </w:pPr>
      <w:r>
        <w:t>5. Existing Research and Where ForgetCheck Fits</w:t>
      </w:r>
    </w:p>
    <w:p>
      <w:pPr>
        <w:spacing w:after="40"/>
        <w:ind w:left="288"/>
      </w:pPr>
      <w:r>
        <w:t>6. Final Research Gap and Novelty</w:t>
      </w:r>
    </w:p>
    <w:p>
      <w:pPr>
        <w:spacing w:after="40"/>
        <w:ind w:left="288"/>
      </w:pPr>
      <w:r>
        <w:t>7. Research Problem Statement</w:t>
      </w:r>
    </w:p>
    <w:p>
      <w:pPr>
        <w:spacing w:after="40"/>
        <w:ind w:left="288"/>
      </w:pPr>
      <w:r>
        <w:t>8. Objectives, Research Questions and Hypotheses</w:t>
      </w:r>
    </w:p>
    <w:p>
      <w:pPr>
        <w:spacing w:after="40"/>
        <w:ind w:left="288"/>
      </w:pPr>
      <w:r>
        <w:t>9. Scope and Out-of-Scope Boundaries</w:t>
      </w:r>
    </w:p>
    <w:p>
      <w:pPr>
        <w:spacing w:after="40"/>
        <w:ind w:left="288"/>
      </w:pPr>
      <w:r>
        <w:t>10. Experimental Architecture</w:t>
      </w:r>
    </w:p>
    <w:p>
      <w:pPr>
        <w:spacing w:after="40"/>
        <w:ind w:left="288"/>
      </w:pPr>
      <w:r>
        <w:t>11. Dataset and Model Decisions</w:t>
      </w:r>
    </w:p>
    <w:p>
      <w:pPr>
        <w:spacing w:after="40"/>
        <w:ind w:left="288"/>
      </w:pPr>
      <w:r>
        <w:t>12. Unlearning Methods</w:t>
      </w:r>
    </w:p>
    <w:p>
      <w:pPr>
        <w:spacing w:after="40"/>
        <w:ind w:left="288"/>
      </w:pPr>
      <w:r>
        <w:t>13. Forget-Set Design</w:t>
      </w:r>
    </w:p>
    <w:p>
      <w:pPr>
        <w:spacing w:after="40"/>
        <w:ind w:left="288"/>
      </w:pPr>
      <w:r>
        <w:t>14. ForgetCheck Audit Architecture</w:t>
      </w:r>
    </w:p>
    <w:p>
      <w:pPr>
        <w:spacing w:after="40"/>
        <w:ind w:left="288"/>
      </w:pPr>
      <w:r>
        <w:t>15. Cross-Audit Disagreement Analysis</w:t>
      </w:r>
    </w:p>
    <w:p>
      <w:pPr>
        <w:spacing w:after="40"/>
        <w:ind w:left="288"/>
      </w:pPr>
      <w:r>
        <w:t>16. Experimental Matrix and Statistical Methodology</w:t>
      </w:r>
    </w:p>
    <w:p>
      <w:pPr>
        <w:spacing w:after="40"/>
        <w:ind w:left="288"/>
      </w:pPr>
      <w:r>
        <w:t>17. Implementation Plan and Repository Structure</w:t>
      </w:r>
    </w:p>
    <w:p>
      <w:pPr>
        <w:spacing w:after="40"/>
        <w:ind w:left="288"/>
      </w:pPr>
      <w:r>
        <w:t>18. Reproducibility and Experiment Logging</w:t>
      </w:r>
    </w:p>
    <w:p>
      <w:pPr>
        <w:spacing w:after="40"/>
        <w:ind w:left="288"/>
      </w:pPr>
      <w:r>
        <w:t>19. Risks and Mitigation</w:t>
      </w:r>
    </w:p>
    <w:p>
      <w:pPr>
        <w:spacing w:after="40"/>
        <w:ind w:left="288"/>
      </w:pPr>
      <w:r>
        <w:t>20. Expected Deliverables and Demo</w:t>
      </w:r>
    </w:p>
    <w:p>
      <w:pPr>
        <w:spacing w:after="40"/>
        <w:ind w:left="288"/>
      </w:pPr>
      <w:r>
        <w:t xml:space="preserve">21. Timeline: As Run, and What Remains</w:t>
      </w:r>
    </w:p>
    <w:p>
      <w:pPr>
        <w:spacing w:after="40"/>
        <w:ind w:left="288"/>
      </w:pPr>
      <w:r>
        <w:t>22. Working Abstract and Mentor Explanation</w:t>
      </w:r>
    </w:p>
    <w:p>
      <w:pPr>
        <w:spacing w:after="40"/>
        <w:ind w:left="288"/>
      </w:pPr>
      <w:r>
        <w:t>23. Literature Map</w:t>
      </w:r>
    </w:p>
    <w:p>
      <w:pPr>
        <w:spacing w:after="40"/>
        <w:ind w:left="288"/>
      </w:pPr>
      <w:r>
        <w:t>24. IEEE-Style Working References</w:t>
      </w:r>
    </w:p>
    <w:p>
      <w:pPr>
        <w:spacing w:after="40"/>
        <w:ind w:left="288"/>
      </w:pPr>
      <w:r>
        <w:t>25. Code and Dataset Resources</w:t>
      </w:r>
    </w:p>
    <w:p>
      <w:pPr>
        <w:spacing w:after="40"/>
        <w:ind w:left="288"/>
      </w:pPr>
      <w:r>
        <w:t>Appendix A. Canonical Decision Sheet</w:t>
      </w:r>
    </w:p>
    <w:p>
      <w:pPr>
        <w:spacing w:after="40"/>
        <w:ind w:left="288"/>
      </w:pPr>
      <w:r>
        <w:t>Appendix B. Evaluation Metric Cheat Sheet</w:t>
      </w:r>
    </w:p>
    <w:p>
      <w:pPr>
        <w:pStyle w:val="Heading1"/>
        <w:keepNext/>
      </w:pPr>
      <w:r>
        <w:t>1. Project Identity and One-Sentence Definition</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592"/>
            <w:shd w:fill="17324D"/>
            <w:vAlign w:val="center"/>
          </w:tcPr>
          <w:p>
            <w:pPr>
              <w:keepNext/>
            </w:pPr>
            <w:r>
              <w:rPr>
                <w:rFonts w:ascii="Times New Roman" w:hAnsi="Times New Roman"/>
                <w:b/>
                <w:color w:val="FFFFFF"/>
                <w:sz w:val="19"/>
              </w:rPr>
              <w:t>Field</w:t>
            </w:r>
          </w:p>
        </w:tc>
        <w:tc>
          <w:tcPr>
            <w:tcW w:type="dxa" w:w="6768"/>
            <w:shd w:fill="17324D"/>
            <w:vAlign w:val="center"/>
          </w:tcPr>
          <w:p>
            <w:pPr>
              <w:keepNext/>
            </w:pPr>
            <w:r>
              <w:rPr>
                <w:rFonts w:ascii="Times New Roman" w:hAnsi="Times New Roman"/>
                <w:b/>
                <w:color w:val="FFFFFF"/>
                <w:sz w:val="19"/>
              </w:rPr>
              <w:t>Final Project Decision</w:t>
            </w:r>
          </w:p>
        </w:tc>
      </w:tr>
      <w:tr>
        <w:trPr>
          <w:cantSplit/>
        </w:trPr>
        <w:tc>
          <w:tcPr>
            <w:tcW w:type="dxa" w:w="2592"/>
            <w:vAlign w:val="top"/>
          </w:tcPr>
          <w:p>
            <w:pPr>
              <w:spacing w:after="40"/>
            </w:pPr>
            <w:r>
              <w:rPr>
                <w:rFonts w:ascii="Times New Roman" w:hAnsi="Times New Roman"/>
                <w:sz w:val="19"/>
              </w:rPr>
              <w:t>Final Topic</w:t>
            </w:r>
          </w:p>
        </w:tc>
        <w:tc>
          <w:tcPr>
            <w:tcW w:type="dxa" w:w="6768"/>
            <w:vAlign w:val="top"/>
          </w:tcPr>
          <w:p>
            <w:pPr>
              <w:spacing w:after="40"/>
            </w:pPr>
            <w:r>
              <w:rPr>
                <w:rFonts w:ascii="Times New Roman" w:hAnsi="Times New Roman"/>
                <w:sz w:val="19"/>
              </w:rPr>
              <w:t>ForgetCheck: A Retraining-Grounded Study of Audit Disagreement, Reversibility and Audit Validity in Approximate Machine Unlearning</w:t>
            </w:r>
          </w:p>
        </w:tc>
      </w:tr>
      <w:tr>
        <w:trPr>
          <w:cantSplit/>
        </w:trPr>
        <w:tc>
          <w:tcPr>
            <w:tcW w:type="dxa" w:w="2592"/>
            <w:vAlign w:val="top"/>
            <w:shd w:fill="F5F7F9"/>
          </w:tcPr>
          <w:p>
            <w:pPr>
              <w:spacing w:after="40"/>
            </w:pPr>
            <w:r>
              <w:rPr>
                <w:rFonts w:ascii="Times New Roman" w:hAnsi="Times New Roman"/>
                <w:sz w:val="19"/>
              </w:rPr>
              <w:t>Extended Paper Title</w:t>
            </w:r>
          </w:p>
        </w:tc>
        <w:tc>
          <w:tcPr>
            <w:tcW w:type="dxa" w:w="6768"/>
            <w:vAlign w:val="top"/>
            <w:shd w:fill="F5F7F9"/>
          </w:tcPr>
          <w:p>
            <w:pPr>
              <w:spacing w:after="40"/>
            </w:pPr>
            <w:r>
              <w:rPr>
                <w:rFonts w:ascii="Times New Roman" w:hAnsi="Times New Roman"/>
                <w:sz w:val="19"/>
              </w:rPr>
              <w:t>ForgetCheck: Do Behavioral, Privacy, Representation and Relearning Audits Agree — and Which of Them Can Be Trusted?</w:t>
            </w:r>
          </w:p>
        </w:tc>
      </w:tr>
      <w:tr>
        <w:trPr>
          <w:cantSplit/>
        </w:trPr>
        <w:tc>
          <w:tcPr>
            <w:tcW w:type="dxa" w:w="2592"/>
            <w:vAlign w:val="top"/>
          </w:tcPr>
          <w:p>
            <w:pPr>
              <w:spacing w:after="40"/>
            </w:pPr>
            <w:r>
              <w:rPr>
                <w:rFonts w:ascii="Times New Roman" w:hAnsi="Times New Roman"/>
                <w:sz w:val="19"/>
              </w:rPr>
              <w:t>Domain</w:t>
            </w:r>
          </w:p>
        </w:tc>
        <w:tc>
          <w:tcPr>
            <w:tcW w:type="dxa" w:w="6768"/>
            <w:vAlign w:val="top"/>
          </w:tcPr>
          <w:p>
            <w:pPr>
              <w:spacing w:after="40"/>
            </w:pPr>
            <w:r>
              <w:rPr>
                <w:rFonts w:ascii="Times New Roman" w:hAnsi="Times New Roman"/>
                <w:sz w:val="19"/>
              </w:rPr>
              <w:t>Trustworthy Artificial Intelligence / Machine Learning Privacy / Deep Learning / AI Security</w:t>
            </w:r>
          </w:p>
        </w:tc>
      </w:tr>
      <w:tr>
        <w:trPr>
          <w:cantSplit/>
        </w:trPr>
        <w:tc>
          <w:tcPr>
            <w:tcW w:type="dxa" w:w="2592"/>
            <w:vAlign w:val="top"/>
            <w:shd w:fill="F5F7F9"/>
          </w:tcPr>
          <w:p>
            <w:pPr>
              <w:spacing w:after="40"/>
            </w:pPr>
            <w:r>
              <w:rPr>
                <w:rFonts w:ascii="Times New Roman" w:hAnsi="Times New Roman"/>
                <w:sz w:val="19"/>
              </w:rPr>
              <w:t>Primary Research Object</w:t>
            </w:r>
          </w:p>
        </w:tc>
        <w:tc>
          <w:tcPr>
            <w:tcW w:type="dxa" w:w="6768"/>
            <w:vAlign w:val="top"/>
            <w:shd w:fill="F5F7F9"/>
          </w:tcPr>
          <w:p>
            <w:pPr>
              <w:spacing w:after="40"/>
            </w:pPr>
            <w:r>
              <w:rPr>
                <w:rFonts w:ascii="Times New Roman" w:hAnsi="Times New Roman"/>
                <w:sz w:val="19"/>
              </w:rPr>
              <w:t>Approximate machine-unlearning algorithms</w:t>
            </w:r>
          </w:p>
        </w:tc>
      </w:tr>
      <w:tr>
        <w:trPr>
          <w:cantSplit/>
        </w:trPr>
        <w:tc>
          <w:tcPr>
            <w:tcW w:type="dxa" w:w="2592"/>
            <w:vAlign w:val="top"/>
          </w:tcPr>
          <w:p>
            <w:pPr>
              <w:spacing w:after="40"/>
            </w:pPr>
            <w:r>
              <w:rPr>
                <w:rFonts w:ascii="Times New Roman" w:hAnsi="Times New Roman"/>
                <w:sz w:val="19"/>
              </w:rPr>
              <w:t>Primary Research Question</w:t>
            </w:r>
          </w:p>
        </w:tc>
        <w:tc>
          <w:tcPr>
            <w:tcW w:type="dxa" w:w="6768"/>
            <w:vAlign w:val="top"/>
          </w:tcPr>
          <w:p>
            <w:pPr>
              <w:spacing w:after="40"/>
            </w:pPr>
            <w:r>
              <w:rPr>
                <w:rFonts w:ascii="Times New Roman" w:hAnsi="Times New Roman"/>
                <w:sz w:val="19"/>
              </w:rPr>
              <w:t>When audit families disagree about whether approximate unlearning succeeded, which audit is right — and does the answer depend on how hard the deletion request is?</w:t>
            </w:r>
          </w:p>
        </w:tc>
      </w:tr>
      <w:tr>
        <w:trPr>
          <w:cantSplit/>
        </w:trPr>
        <w:tc>
          <w:tcPr>
            <w:tcW w:type="dxa" w:w="2592"/>
            <w:vAlign w:val="top"/>
            <w:shd w:fill="F5F7F9"/>
          </w:tcPr>
          <w:p>
            <w:pPr>
              <w:spacing w:after="40"/>
            </w:pPr>
            <w:r>
              <w:rPr>
                <w:rFonts w:ascii="Times New Roman" w:hAnsi="Times New Roman"/>
                <w:sz w:val="19"/>
              </w:rPr>
              <w:t>Reference Standard</w:t>
            </w:r>
          </w:p>
        </w:tc>
        <w:tc>
          <w:tcPr>
            <w:tcW w:type="dxa" w:w="6768"/>
            <w:vAlign w:val="top"/>
            <w:shd w:fill="F5F7F9"/>
          </w:tcPr>
          <w:p>
            <w:pPr>
              <w:spacing w:after="40"/>
            </w:pPr>
            <w:r>
              <w:rPr>
                <w:rFonts w:ascii="Times New Roman" w:hAnsi="Times New Roman"/>
                <w:sz w:val="19"/>
              </w:rPr>
              <w:t>An ensemble of models retrained from scratch without the forget set, treated as a reference distribution rather than a single model</w:t>
            </w:r>
          </w:p>
        </w:tc>
      </w:tr>
      <w:tr>
        <w:trPr>
          <w:cantSplit/>
        </w:trPr>
        <w:tc>
          <w:tcPr>
            <w:tcW w:type="dxa" w:w="2592"/>
            <w:vAlign w:val="top"/>
          </w:tcPr>
          <w:p>
            <w:pPr>
              <w:spacing w:after="40"/>
            </w:pPr>
            <w:r>
              <w:rPr>
                <w:rFonts w:ascii="Times New Roman" w:hAnsi="Times New Roman"/>
                <w:sz w:val="19"/>
              </w:rPr>
              <w:t>Primary Benchmark</w:t>
            </w:r>
          </w:p>
        </w:tc>
        <w:tc>
          <w:tcPr>
            <w:tcW w:type="dxa" w:w="6768"/>
            <w:vAlign w:val="top"/>
          </w:tcPr>
          <w:p>
            <w:pPr>
              <w:spacing w:after="40"/>
            </w:pPr>
            <w:r>
              <w:rPr>
                <w:rFonts w:ascii="Times New Roman" w:hAnsi="Times New Roman"/>
                <w:sz w:val="19"/>
              </w:rPr>
              <w:t>CIFAR-10 with ResNet-18</w:t>
            </w:r>
          </w:p>
        </w:tc>
      </w:tr>
      <w:tr>
        <w:trPr>
          <w:cantSplit/>
        </w:trPr>
        <w:tc>
          <w:tcPr>
            <w:tcW w:type="dxa" w:w="2592"/>
            <w:vAlign w:val="top"/>
            <w:shd w:fill="F5F7F9"/>
          </w:tcPr>
          <w:p>
            <w:pPr>
              <w:spacing w:after="40"/>
            </w:pPr>
            <w:r>
              <w:rPr>
                <w:rFonts w:ascii="Times New Roman" w:hAnsi="Times New Roman"/>
                <w:sz w:val="19"/>
              </w:rPr>
              <w:t>Publication Format</w:t>
            </w:r>
          </w:p>
        </w:tc>
        <w:tc>
          <w:tcPr>
            <w:tcW w:type="dxa" w:w="6768"/>
            <w:vAlign w:val="top"/>
            <w:shd w:fill="F5F7F9"/>
          </w:tcPr>
          <w:p>
            <w:pPr>
              <w:spacing w:after="40"/>
            </w:pPr>
            <w:r>
              <w:rPr>
                <w:rFonts w:ascii="Times New Roman" w:hAnsi="Times New Roman"/>
                <w:sz w:val="19"/>
              </w:rPr>
              <w:t>IEEE-style research paper</w:t>
            </w:r>
          </w:p>
        </w:tc>
      </w:tr>
      <w:tr>
        <w:trPr>
          <w:cantSplit/>
        </w:trPr>
        <w:tc>
          <w:tcPr>
            <w:tcW w:type="dxa" w:w="2592"/>
            <w:vAlign w:val="top"/>
            <w:shd w:fill="F5F7F9"/>
          </w:tcPr>
          <w:p>
            <w:pPr>
              <w:spacing w:after="40"/>
            </w:pPr>
            <w:r>
              <w:rPr>
                <w:rFonts w:ascii="Times New Roman" w:hAnsi="Times New Roman"/>
                <w:sz w:val="19"/>
              </w:rPr>
              <w:t>Problem formulation</w:t>
            </w:r>
          </w:p>
        </w:tc>
        <w:tc>
          <w:tcPr>
            <w:tcW w:type="dxa" w:w="6768"/>
            <w:vAlign w:val="top"/>
            <w:shd w:fill="F5F7F9"/>
          </w:tcPr>
          <w:p>
            <w:pPr>
              <w:spacing w:after="40"/>
            </w:pPr>
            <w:r>
              <w:rPr>
                <w:rFonts w:ascii="Times New Roman" w:hAnsi="Times New Roman"/>
                <w:sz w:val="19"/>
              </w:rPr>
              <w:t>Untraining [19] — removal of the influence of specific forget-set examples, not removal of an underlying concept</w:t>
            </w:r>
          </w:p>
        </w:tc>
      </w:tr>
    </w:tbl>
    <w:p>
      <w:pPr>
        <w:spacing w:after="20"/>
      </w:pPr>
    </w:p>
    <w:tbl>
      <w:tblPr>
        <w:tblStyle w:val="TableGrid"/>
        <w:tblW w:type="auto" w:w="0"/>
        <w:jc w:val="center"/>
        <w:tblLook w:firstColumn="1" w:firstRow="1" w:lastColumn="0" w:lastRow="0" w:noHBand="0" w:noVBand="1" w:val="04A0"/>
      </w:tblPr>
      <w:tblGrid>
        <w:gridCol w:w="9242"/>
      </w:tblGrid>
      <w:tr>
        <w:trPr>
          <w:cantSplit/>
        </w:trPr>
        <w:tc>
          <w:tcPr>
            <w:tcW w:type="dxa" w:w="9242"/>
            <w:shd w:fill="EAF3F8"/>
          </w:tcPr>
          <w:p>
            <w:pPr>
              <w:spacing w:after="60"/>
            </w:pPr>
            <w:r>
              <w:rPr>
                <w:b/>
                <w:color w:val="17324D"/>
                <w:sz w:val="23"/>
              </w:rPr>
              <w:t>Project in one sentence</w:t>
            </w:r>
          </w:p>
          <w:p>
            <w:pPr>
              <w:spacing w:after="20"/>
            </w:pPr>
            <w:r>
              <w:rPr>
                <w:sz w:val="21"/>
              </w:rPr>
              <w:t xml:space="preserve">We apply five existing machine-unlearning algorithms and a destructive control to forget sets of controlled difficulty, audit each resulting model behaviorally, for membership privacy under two attack strengths, at the representation level and under controlled relearning, and determine not only whether these audits agree but which of them can be trusted — calibrating each against an ensemble of independently retrained models and against a canary condition where the correct answer is known by construction.</w:t>
            </w:r>
          </w:p>
        </w:tc>
      </w:tr>
    </w:tbl>
    <w:p>
      <w:pPr>
        <w:spacing w:after="20"/>
      </w:pPr>
    </w:p>
    <w:p>
      <w:pPr>
        <w:pStyle w:val="Heading1"/>
        <w:keepNext/>
      </w:pPr>
      <w:r>
        <w:t>2. Executive Summary</w:t>
      </w:r>
    </w:p>
    <w:p>
      <w:pPr>
        <w:spacing w:after="120"/>
      </w:pPr>
      <w:r>
        <w:rPr>
          <w:i w:val="0"/>
        </w:rPr>
        <w:t>Machine unlearning aims to remove the influence of selected training data from an already trained model without paying the full computational cost of retraining the model from scratch. The central difficulty is not only how to unlearn, but how to determine whether unlearning actually worked. A model may stop producing a previously learned output while still retaining internal structure that allows the behavior to be recovered quickly. Conversely, an unlearning method may make the forget set look forgotten only because it has damaged the model more generally.</w:t>
      </w:r>
    </w:p>
    <w:p>
      <w:pPr>
        <w:spacing w:after="120"/>
      </w:pPr>
      <w:r>
        <w:rPr>
          <w:i w:val="0"/>
        </w:rPr>
        <w:t>ForgetCheck does not claim to invent machine unlearning, membership inference, representation analysis or relearning diagnostics, and it does not claim to be the first to observe that evaluation metrics disagree — that has been reported in recent work [20]. Its contribution is to extend cross-audit analysis with a reversibility axis that prior studies identified as missing but could not scale, to compare attacks of different strength within the privacy family rather than treating privacy as a single verdict, to treat forget-set difficulty as an experimental factor, and to calibrate each audit for validity so that disagreement can be adjudicated instead of merely counted.</w:t>
      </w:r>
    </w:p>
    <w:p>
      <w:pPr>
        <w:spacing w:after="120"/>
      </w:pPr>
      <w:r>
        <w:rPr>
          <w:i w:val="0"/>
        </w:rPr>
        <w:t>The core experiment uses CIFAR-10 and ResNet-18. The original model is trained on the full training dataset. Forget sets are then selected along two axes: deletion size, and memorization difficulty at fixed size, together with a canary condition in which residual influence is known by construction. An ensemble of oracle models is retrained from scratch on the retained data only, providing a reference distribution rather than a single reference model, while six approximate unlearning methods are applied to the original model. Each resulting model is evaluated under a layered audit comprising retained utility, forget-set behavior, output-distribution similarity, membership privacy under two attack strengths, internal representation similarity and controlled relearning. Audits are then compared with one another, and separately calibrated for validity against held-out oracles and the canary condition, so that the study can report not only where audits disagree but which of them to believe.</w:t>
      </w:r>
    </w:p>
    <w:p>
      <w:pPr>
        <w:spacing w:after="120"/>
      </w:pPr>
      <w:r>
        <w:rPr>
          <w:b/>
          <w:i w:val="0"/>
        </w:rPr>
        <w:t xml:space="preserve">Status, October 2026. </w:t>
      </w:r>
      <w:r>
        <w:rPr>
          <w:i w:val="0"/>
        </w:rPr>
        <w:t xml:space="preserve">The study has been run in full: 10 original models, 52 retrains, 32 attack reference models and 240 unlearned models, each passed through six audits, calibrated against the retrains and analysed model by model. Three findings carry it. First, no method produces a model that looks like a retrain on any calibrated audit, and on representations most models end farther from retraining than the original model was. Second, audits used by their own decision rules give wrong verdicts on realistic forget sets — the population attack's rule calls all 17 genuine retrains “leaking” on the most-memorized forget set — while the same audits, calibrated against retrains and read alongside a utility guard, are nearly all valid on the canary ground truth, and the strong per-example attack tracks how much a model still remembers most closely. Third, the audits disagree about which method forgot best, and agree most where memorization is highest. Section 8.4 records every outcome; docs/RESULTS.md holds the evidence.</w:t>
      </w:r>
    </w:p>
    <w:p>
      <w:pPr>
        <w:pStyle w:val="Heading1"/>
        <w:keepNext/>
      </w:pPr>
      <w:r>
        <w:t>3. Background: What Machine Unlearning Is</w:t>
      </w:r>
    </w:p>
    <w:p>
      <w:pPr>
        <w:pStyle w:val="Heading2"/>
        <w:keepNext/>
      </w:pPr>
      <w:r>
        <w:t>3.1 Formal Setup</w:t>
      </w:r>
    </w:p>
    <w:p>
      <w:pPr>
        <w:spacing w:after="120"/>
      </w:pPr>
      <w:r>
        <w:rPr>
          <w:i w:val="0"/>
        </w:rPr>
        <w:t>Let the original training dataset be D. After a deletion request, D is divided into a forget set F and a retain set R, such that D = R ∪ F. The original model M0 is trained on D. A full retraining reference Mr is trained from scratch on R only. An approximate unlearning algorithm U modifies M0 to obtain an unlearned model Mu.</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1440"/>
            <w:shd w:fill="17324D"/>
            <w:vAlign w:val="center"/>
          </w:tcPr>
          <w:p>
            <w:pPr>
              <w:keepNext/>
            </w:pPr>
            <w:r>
              <w:rPr>
                <w:rFonts w:ascii="Times New Roman" w:hAnsi="Times New Roman"/>
                <w:b/>
                <w:color w:val="FFFFFF"/>
                <w:sz w:val="19"/>
              </w:rPr>
              <w:t>Symbol</w:t>
            </w:r>
          </w:p>
        </w:tc>
        <w:tc>
          <w:tcPr>
            <w:tcW w:type="dxa" w:w="7776"/>
            <w:shd w:fill="17324D"/>
            <w:vAlign w:val="center"/>
          </w:tcPr>
          <w:p>
            <w:pPr>
              <w:keepNext/>
            </w:pPr>
            <w:r>
              <w:rPr>
                <w:rFonts w:ascii="Times New Roman" w:hAnsi="Times New Roman"/>
                <w:b/>
                <w:color w:val="FFFFFF"/>
                <w:sz w:val="19"/>
              </w:rPr>
              <w:t>Meaning</w:t>
            </w:r>
          </w:p>
        </w:tc>
      </w:tr>
      <w:tr>
        <w:trPr>
          <w:cantSplit/>
        </w:trPr>
        <w:tc>
          <w:tcPr>
            <w:tcW w:type="dxa" w:w="1440"/>
            <w:vAlign w:val="top"/>
          </w:tcPr>
          <w:p>
            <w:pPr>
              <w:spacing w:after="40"/>
            </w:pPr>
            <w:r>
              <w:rPr>
                <w:rFonts w:ascii="Times New Roman" w:hAnsi="Times New Roman"/>
                <w:sz w:val="19"/>
              </w:rPr>
              <w:t>D</w:t>
            </w:r>
          </w:p>
        </w:tc>
        <w:tc>
          <w:tcPr>
            <w:tcW w:type="dxa" w:w="7776"/>
            <w:vAlign w:val="top"/>
          </w:tcPr>
          <w:p>
            <w:pPr>
              <w:spacing w:after="40"/>
            </w:pPr>
            <w:r>
              <w:rPr>
                <w:rFonts w:ascii="Times New Roman" w:hAnsi="Times New Roman"/>
                <w:sz w:val="19"/>
              </w:rPr>
              <w:t>Original full training dataset</w:t>
            </w:r>
          </w:p>
        </w:tc>
      </w:tr>
      <w:tr>
        <w:trPr>
          <w:cantSplit/>
        </w:trPr>
        <w:tc>
          <w:tcPr>
            <w:tcW w:type="dxa" w:w="1440"/>
            <w:vAlign w:val="top"/>
            <w:shd w:fill="F5F7F9"/>
          </w:tcPr>
          <w:p>
            <w:pPr>
              <w:spacing w:after="40"/>
            </w:pPr>
            <w:r>
              <w:rPr>
                <w:rFonts w:ascii="Times New Roman" w:hAnsi="Times New Roman"/>
                <w:sz w:val="19"/>
              </w:rPr>
              <w:t>F</w:t>
            </w:r>
          </w:p>
        </w:tc>
        <w:tc>
          <w:tcPr>
            <w:tcW w:type="dxa" w:w="7776"/>
            <w:vAlign w:val="top"/>
            <w:shd w:fill="F5F7F9"/>
          </w:tcPr>
          <w:p>
            <w:pPr>
              <w:spacing w:after="40"/>
            </w:pPr>
            <w:r>
              <w:rPr>
                <w:rFonts w:ascii="Times New Roman" w:hAnsi="Times New Roman"/>
                <w:sz w:val="19"/>
              </w:rPr>
              <w:t>Forget set: training examples whose influence is requested to be removed</w:t>
            </w:r>
          </w:p>
        </w:tc>
      </w:tr>
      <w:tr>
        <w:trPr>
          <w:cantSplit/>
        </w:trPr>
        <w:tc>
          <w:tcPr>
            <w:tcW w:type="dxa" w:w="1440"/>
            <w:vAlign w:val="top"/>
          </w:tcPr>
          <w:p>
            <w:pPr>
              <w:spacing w:after="40"/>
            </w:pPr>
            <w:r>
              <w:rPr>
                <w:rFonts w:ascii="Times New Roman" w:hAnsi="Times New Roman"/>
                <w:sz w:val="19"/>
              </w:rPr>
              <w:t>R</w:t>
            </w:r>
          </w:p>
        </w:tc>
        <w:tc>
          <w:tcPr>
            <w:tcW w:type="dxa" w:w="7776"/>
            <w:vAlign w:val="top"/>
          </w:tcPr>
          <w:p>
            <w:pPr>
              <w:spacing w:after="40"/>
            </w:pPr>
            <w:r>
              <w:rPr>
                <w:rFonts w:ascii="Times New Roman" w:hAnsi="Times New Roman"/>
                <w:sz w:val="19"/>
              </w:rPr>
              <w:t>Retain set: all training examples that remain</w:t>
            </w:r>
          </w:p>
        </w:tc>
      </w:tr>
      <w:tr>
        <w:trPr>
          <w:cantSplit/>
        </w:trPr>
        <w:tc>
          <w:tcPr>
            <w:tcW w:type="dxa" w:w="1440"/>
            <w:vAlign w:val="top"/>
            <w:shd w:fill="F5F7F9"/>
          </w:tcPr>
          <w:p>
            <w:pPr>
              <w:spacing w:after="40"/>
            </w:pPr>
            <w:r>
              <w:rPr>
                <w:rFonts w:ascii="Times New Roman" w:hAnsi="Times New Roman"/>
                <w:sz w:val="19"/>
              </w:rPr>
              <w:t>M0</w:t>
            </w:r>
          </w:p>
        </w:tc>
        <w:tc>
          <w:tcPr>
            <w:tcW w:type="dxa" w:w="7776"/>
            <w:vAlign w:val="top"/>
            <w:shd w:fill="F5F7F9"/>
          </w:tcPr>
          <w:p>
            <w:pPr>
              <w:spacing w:after="40"/>
            </w:pPr>
            <w:r>
              <w:rPr>
                <w:rFonts w:ascii="Times New Roman" w:hAnsi="Times New Roman"/>
                <w:sz w:val="19"/>
              </w:rPr>
              <w:t>Original model trained on D</w:t>
            </w:r>
          </w:p>
        </w:tc>
      </w:tr>
      <w:tr>
        <w:trPr>
          <w:cantSplit/>
        </w:trPr>
        <w:tc>
          <w:tcPr>
            <w:tcW w:type="dxa" w:w="1440"/>
            <w:vAlign w:val="top"/>
          </w:tcPr>
          <w:p>
            <w:pPr>
              <w:spacing w:after="40"/>
            </w:pPr>
            <w:r>
              <w:rPr>
                <w:rFonts w:ascii="Times New Roman" w:hAnsi="Times New Roman"/>
                <w:sz w:val="19"/>
              </w:rPr>
              <w:t>Mr</w:t>
            </w:r>
          </w:p>
        </w:tc>
        <w:tc>
          <w:tcPr>
            <w:tcW w:type="dxa" w:w="7776"/>
            <w:vAlign w:val="top"/>
          </w:tcPr>
          <w:p>
            <w:pPr>
              <w:spacing w:after="40"/>
            </w:pPr>
            <w:r>
              <w:rPr>
                <w:rFonts w:ascii="Times New Roman" w:hAnsi="Times New Roman"/>
                <w:sz w:val="19"/>
              </w:rPr>
              <w:t>Retrained oracle model trained from scratch on R</w:t>
            </w:r>
          </w:p>
        </w:tc>
      </w:tr>
      <w:tr>
        <w:trPr>
          <w:cantSplit/>
        </w:trPr>
        <w:tc>
          <w:tcPr>
            <w:tcW w:type="dxa" w:w="1440"/>
            <w:vAlign w:val="top"/>
            <w:shd w:fill="F5F7F9"/>
          </w:tcPr>
          <w:p>
            <w:pPr>
              <w:spacing w:after="40"/>
            </w:pPr>
            <w:r>
              <w:rPr>
                <w:rFonts w:ascii="Times New Roman" w:hAnsi="Times New Roman"/>
                <w:sz w:val="19"/>
              </w:rPr>
              <w:t>U</w:t>
            </w:r>
          </w:p>
        </w:tc>
        <w:tc>
          <w:tcPr>
            <w:tcW w:type="dxa" w:w="7776"/>
            <w:vAlign w:val="top"/>
            <w:shd w:fill="F5F7F9"/>
          </w:tcPr>
          <w:p>
            <w:pPr>
              <w:spacing w:after="40"/>
            </w:pPr>
            <w:r>
              <w:rPr>
                <w:rFonts w:ascii="Times New Roman" w:hAnsi="Times New Roman"/>
                <w:sz w:val="19"/>
              </w:rPr>
              <w:t>Approximate unlearning algorithm</w:t>
            </w:r>
          </w:p>
        </w:tc>
      </w:tr>
      <w:tr>
        <w:trPr>
          <w:cantSplit/>
        </w:trPr>
        <w:tc>
          <w:tcPr>
            <w:tcW w:type="dxa" w:w="1440"/>
            <w:vAlign w:val="top"/>
          </w:tcPr>
          <w:p>
            <w:pPr>
              <w:spacing w:after="40"/>
            </w:pPr>
            <w:r>
              <w:rPr>
                <w:rFonts w:ascii="Times New Roman" w:hAnsi="Times New Roman"/>
                <w:sz w:val="19"/>
              </w:rPr>
              <w:t>Mu</w:t>
            </w:r>
          </w:p>
        </w:tc>
        <w:tc>
          <w:tcPr>
            <w:tcW w:type="dxa" w:w="7776"/>
            <w:vAlign w:val="top"/>
          </w:tcPr>
          <w:p>
            <w:pPr>
              <w:spacing w:after="40"/>
            </w:pPr>
            <w:r>
              <w:rPr>
                <w:rFonts w:ascii="Times New Roman" w:hAnsi="Times New Roman"/>
                <w:sz w:val="19"/>
              </w:rPr>
              <w:t>Unlearned model obtained by applying U to M0</w:t>
            </w:r>
          </w:p>
        </w:tc>
      </w:tr>
    </w:tbl>
    <w:p>
      <w:pPr>
        <w:spacing w:after="20"/>
      </w:pPr>
    </w:p>
    <w:p>
      <w:pPr>
        <w:spacing w:after="120"/>
      </w:pPr>
      <w:r>
        <w:rPr>
          <w:i w:val="0"/>
        </w:rPr>
        <w:t>The practical goal is not necessarily to make Mu perform badly on F. Instead, Mu should behave as closely as possible to the model that would have existed had F never been used for training. This is why Mr is treated as the practical oracle/reference rather than “zero accuracy on forgotten samples.” Certified-removal research established the much stronger formal notion that the post-removal model should be statistically indistinguishable from a model trained without the removed data [1].</w:t>
      </w:r>
    </w:p>
    <w:p>
      <w:pPr>
        <w:pStyle w:val="Heading2"/>
        <w:keepNext/>
      </w:pPr>
      <w:r>
        <w:t>3.2 Why “Low Forget Accuracy” Is Not the Goal</w:t>
      </w:r>
    </w:p>
    <w:p>
      <w:pPr>
        <w:spacing w:after="120"/>
      </w:pPr>
      <w:r>
        <w:rPr>
          <w:i w:val="0"/>
        </w:rPr>
        <w:t>If a single dog image is removed from a classifier’s training set, a fully retrained model may still classify that exact image correctly because it learned the general concept “dog” from many other examples. Therefore, successful instance unlearning cannot be defined as making the model wrong on the deleted image. The meaningful target is retraining-consistent behavior: the unlearned model should resemble the counterfactual model trained without that example.</w:t>
      </w:r>
    </w:p>
    <w:tbl>
      <w:tblPr>
        <w:tblStyle w:val="TableGrid"/>
        <w:tblW w:type="auto" w:w="0"/>
        <w:jc w:val="center"/>
        <w:tblLook w:firstColumn="1" w:firstRow="1" w:lastColumn="0" w:lastRow="0" w:noHBand="0" w:noVBand="1" w:val="04A0"/>
      </w:tblPr>
      <w:tblGrid>
        <w:gridCol w:w="9242"/>
      </w:tblGrid>
      <w:tr>
        <w:trPr>
          <w:cantSplit/>
        </w:trPr>
        <w:tc>
          <w:tcPr>
            <w:tcW w:type="dxa" w:w="9242"/>
            <w:shd w:fill="E7F2EC"/>
          </w:tcPr>
          <w:p>
            <w:pPr>
              <w:spacing w:after="60"/>
            </w:pPr>
            <w:r>
              <w:rPr>
                <w:b/>
                <w:color w:val="17324D"/>
                <w:sz w:val="23"/>
              </w:rPr>
              <w:t>Canonical concept to remember</w:t>
            </w:r>
          </w:p>
          <w:p>
            <w:pPr>
              <w:spacing w:after="20"/>
            </w:pPr>
            <w:r>
              <w:rPr>
                <w:sz w:val="21"/>
              </w:rPr>
              <w:t>Machine unlearning does not mean “make the model fail on deleted examples.” It means “make the model behave as if those examples had not participated in training,” subject to the limits of the selected unlearning definition and audit.</w:t>
            </w:r>
          </w:p>
        </w:tc>
      </w:tr>
    </w:tbl>
    <w:p>
      <w:pPr>
        <w:spacing w:after="20"/>
      </w:pPr>
    </w:p>
    <w:p>
      <w:pPr>
        <w:pStyle w:val="Heading2"/>
        <w:keepNext/>
      </w:pPr>
      <w:r>
        <w:t>3.3 Forgetting Versus Suppression</w:t>
      </w:r>
    </w:p>
    <w:p>
      <w:pPr>
        <w:spacing w:after="120"/>
      </w:pPr>
      <w:r>
        <w:rPr>
          <w:i w:val="0"/>
        </w:rPr>
        <w:t>A model may appear to forget at the output level while latent information or a recoverable representation remains inside the network. Recent work on LLM unlearning shows that conventional task-level metrics can be misleading: supposedly forgotten behavior can sometimes be recovered with limited fine-tuning, motivating representation-level and relearning analysis [13]. ForgetCheck studies the analogous diagnostic question in a smaller, retraining-feasible setting rather than claiming that every remaining representation constitutes private information.</w:t>
      </w:r>
    </w:p>
    <w:p>
      <w:pPr>
        <w:pStyle w:val="Heading1"/>
        <w:keepNext/>
      </w:pPr>
      <w:r>
        <w:t>4. Why the Problem Matters</w:t>
      </w:r>
    </w:p>
    <w:p>
      <w:pPr>
        <w:spacing w:after="120"/>
      </w:pPr>
      <w:r>
        <w:rPr>
          <w:i w:val="0"/>
        </w:rPr>
        <w:t>Machine unlearning is motivated by practical data-governance, privacy, safety and model-maintenance needs. Examples include user deletion requests, copyrighted or sensitive content, erroneous records, poisoned examples, outdated data and training data that should no longer influence deployed models. Regulations such as GDPR Article 17 establish rights to erasure in defined circumstances, but the project will not claim that machine unlearning is the legally mandated implementation mechanism. Rather, data-erasure requirements are one motivation for technical research into removing training influence.</w:t>
      </w:r>
    </w:p>
    <w:p>
      <w:pPr>
        <w:spacing w:after="120"/>
      </w:pPr>
      <w:r>
        <w:rPr>
          <w:i w:val="0"/>
        </w:rPr>
        <w:t>The research community has also recognized evaluation as a bottleneck. The NeurIPS 2023 Machine Unlearning Competition was explicitly designed to advance standardized evaluation, and its starter kit includes CIFAR-10 training, a baseline unlearning procedure and membership-inference-based scoring [17]. This makes the field unusually suitable for an undergraduate project: the central research questions are current, while reproducible public infrastructure already exists.</w:t>
      </w:r>
    </w:p>
    <w:p>
      <w:pPr>
        <w:pStyle w:val="Heading1"/>
        <w:keepNext/>
      </w:pPr>
      <w:r>
        <w:t>5. Existing Research and Where ForgetCheck Fits</w:t>
      </w:r>
    </w:p>
    <w:p>
      <w:pPr>
        <w:spacing w:after="120"/>
      </w:pPr>
      <w:r>
        <w:rPr>
          <w:i w:val="0"/>
        </w:rPr>
        <w:t>The project sits at the intersection of two mature subproblems: designing unlearning algorithms and verifying whether unlearning succeeded. Because several recent works already propose multi-metric evaluation and even general-purpose auditing, ForgetCheck must be positioned carefully. The table below states what is already similar and what remains distinct in our project.</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2232"/>
            <w:shd w:fill="17324D"/>
            <w:vAlign w:val="center"/>
          </w:tcPr>
          <w:p>
            <w:pPr>
              <w:keepNext/>
            </w:pPr>
            <w:r>
              <w:rPr>
                <w:rFonts w:ascii="Times New Roman" w:hAnsi="Times New Roman"/>
                <w:b/>
                <w:color w:val="FFFFFF"/>
                <w:sz w:val="17"/>
              </w:rPr>
              <w:t>Existing Research</w:t>
            </w:r>
          </w:p>
        </w:tc>
        <w:tc>
          <w:tcPr>
            <w:tcW w:type="dxa" w:w="3456"/>
            <w:shd w:fill="17324D"/>
            <w:vAlign w:val="center"/>
          </w:tcPr>
          <w:p>
            <w:pPr>
              <w:keepNext/>
            </w:pPr>
            <w:r>
              <w:rPr>
                <w:rFonts w:ascii="Times New Roman" w:hAnsi="Times New Roman"/>
                <w:b/>
                <w:color w:val="FFFFFF"/>
                <w:sz w:val="17"/>
              </w:rPr>
              <w:t>What Is Similar</w:t>
            </w:r>
          </w:p>
        </w:tc>
        <w:tc>
          <w:tcPr>
            <w:tcW w:type="dxa" w:w="3528"/>
            <w:shd w:fill="17324D"/>
            <w:vAlign w:val="center"/>
          </w:tcPr>
          <w:p>
            <w:pPr>
              <w:keepNext/>
            </w:pPr>
            <w:r>
              <w:rPr>
                <w:rFonts w:ascii="Times New Roman" w:hAnsi="Times New Roman"/>
                <w:b/>
                <w:color w:val="FFFFFF"/>
                <w:sz w:val="17"/>
              </w:rPr>
              <w:t>ForgetCheck Position</w:t>
            </w:r>
          </w:p>
        </w:tc>
      </w:tr>
      <w:tr>
        <w:trPr>
          <w:cantSplit/>
        </w:trPr>
        <w:tc>
          <w:tcPr>
            <w:tcW w:type="dxa" w:w="2232"/>
            <w:vAlign w:val="top"/>
          </w:tcPr>
          <w:p>
            <w:pPr>
              <w:spacing w:after="40"/>
            </w:pPr>
            <w:r>
              <w:rPr>
                <w:rFonts w:ascii="Times New Roman" w:hAnsi="Times New Roman"/>
                <w:sz w:val="17"/>
              </w:rPr>
              <w:t>Certified Data Removal [1]</w:t>
            </w:r>
          </w:p>
        </w:tc>
        <w:tc>
          <w:tcPr>
            <w:tcW w:type="dxa" w:w="3456"/>
            <w:vAlign w:val="top"/>
          </w:tcPr>
          <w:p>
            <w:pPr>
              <w:spacing w:after="40"/>
            </w:pPr>
            <w:r>
              <w:rPr>
                <w:rFonts w:ascii="Times New Roman" w:hAnsi="Times New Roman"/>
                <w:sz w:val="17"/>
              </w:rPr>
              <w:t>Defines a strong counterfactual/certified removal target.</w:t>
            </w:r>
          </w:p>
        </w:tc>
        <w:tc>
          <w:tcPr>
            <w:tcW w:type="dxa" w:w="3528"/>
            <w:vAlign w:val="top"/>
          </w:tcPr>
          <w:p>
            <w:pPr>
              <w:spacing w:after="40"/>
            </w:pPr>
            <w:r>
              <w:rPr>
                <w:rFonts w:ascii="Times New Roman" w:hAnsi="Times New Roman"/>
                <w:sz w:val="17"/>
              </w:rPr>
              <w:t>Provides conceptual foundation; ForgetCheck is an empirical study on deep approximate unlearning, not a new certificate.</w:t>
            </w:r>
          </w:p>
        </w:tc>
      </w:tr>
      <w:tr>
        <w:trPr>
          <w:cantSplit/>
        </w:trPr>
        <w:tc>
          <w:tcPr>
            <w:tcW w:type="dxa" w:w="2232"/>
            <w:vAlign w:val="top"/>
            <w:shd w:fill="F5F7F9"/>
          </w:tcPr>
          <w:p>
            <w:pPr>
              <w:spacing w:after="40"/>
            </w:pPr>
            <w:r>
              <w:rPr>
                <w:rFonts w:ascii="Times New Roman" w:hAnsi="Times New Roman"/>
                <w:sz w:val="17"/>
              </w:rPr>
              <w:t>SISA / Machine Unlearning [2]</w:t>
            </w:r>
          </w:p>
        </w:tc>
        <w:tc>
          <w:tcPr>
            <w:tcW w:type="dxa" w:w="3456"/>
            <w:vAlign w:val="top"/>
            <w:shd w:fill="F5F7F9"/>
          </w:tcPr>
          <w:p>
            <w:pPr>
              <w:spacing w:after="40"/>
            </w:pPr>
            <w:r>
              <w:rPr>
                <w:rFonts w:ascii="Times New Roman" w:hAnsi="Times New Roman"/>
                <w:sz w:val="17"/>
              </w:rPr>
              <w:t>Makes deletion cheaper using sharding, slicing and selective retraining.</w:t>
            </w:r>
          </w:p>
        </w:tc>
        <w:tc>
          <w:tcPr>
            <w:tcW w:type="dxa" w:w="3528"/>
            <w:vAlign w:val="top"/>
            <w:shd w:fill="F5F7F9"/>
          </w:tcPr>
          <w:p>
            <w:pPr>
              <w:spacing w:after="40"/>
            </w:pPr>
            <w:r>
              <w:rPr>
                <w:rFonts w:ascii="Times New Roman" w:hAnsi="Times New Roman"/>
                <w:sz w:val="17"/>
              </w:rPr>
              <w:t>SISA is an unlearning mechanism; ForgetCheck is primarily an evaluation study.</w:t>
            </w:r>
          </w:p>
        </w:tc>
      </w:tr>
      <w:tr>
        <w:trPr>
          <w:cantSplit/>
        </w:trPr>
        <w:tc>
          <w:tcPr>
            <w:tcW w:type="dxa" w:w="2232"/>
            <w:vAlign w:val="top"/>
          </w:tcPr>
          <w:p>
            <w:pPr>
              <w:spacing w:after="40"/>
            </w:pPr>
            <w:r>
              <w:rPr>
                <w:rFonts w:ascii="Times New Roman" w:hAnsi="Times New Roman"/>
                <w:sz w:val="17"/>
              </w:rPr>
              <w:t>Incompetent Teacher [3]</w:t>
            </w:r>
          </w:p>
        </w:tc>
        <w:tc>
          <w:tcPr>
            <w:tcW w:type="dxa" w:w="3456"/>
            <w:vAlign w:val="top"/>
          </w:tcPr>
          <w:p>
            <w:pPr>
              <w:spacing w:after="40"/>
            </w:pPr>
            <w:r>
              <w:rPr>
                <w:rFonts w:ascii="Times New Roman" w:hAnsi="Times New Roman"/>
                <w:sz w:val="17"/>
              </w:rPr>
              <w:t>Deep-network unlearning method with retraining-independent evaluation ideas.</w:t>
            </w:r>
          </w:p>
        </w:tc>
        <w:tc>
          <w:tcPr>
            <w:tcW w:type="dxa" w:w="3528"/>
            <w:vAlign w:val="top"/>
          </w:tcPr>
          <w:p>
            <w:pPr>
              <w:spacing w:after="40"/>
            </w:pPr>
            <w:r>
              <w:rPr>
                <w:rFonts w:ascii="Times New Roman" w:hAnsi="Times New Roman"/>
                <w:sz w:val="17"/>
              </w:rPr>
              <w:t>Can be an optional baseline, not our main contribution.</w:t>
            </w:r>
          </w:p>
        </w:tc>
      </w:tr>
      <w:tr>
        <w:trPr>
          <w:cantSplit/>
        </w:trPr>
        <w:tc>
          <w:tcPr>
            <w:tcW w:type="dxa" w:w="2232"/>
            <w:vAlign w:val="top"/>
            <w:shd w:fill="F5F7F9"/>
          </w:tcPr>
          <w:p>
            <w:pPr>
              <w:spacing w:after="40"/>
            </w:pPr>
            <w:r>
              <w:rPr>
                <w:rFonts w:ascii="Times New Roman" w:hAnsi="Times New Roman"/>
                <w:sz w:val="17"/>
              </w:rPr>
              <w:t>SCRUB [4]</w:t>
            </w:r>
          </w:p>
        </w:tc>
        <w:tc>
          <w:tcPr>
            <w:tcW w:type="dxa" w:w="3456"/>
            <w:vAlign w:val="top"/>
            <w:shd w:fill="F5F7F9"/>
          </w:tcPr>
          <w:p>
            <w:pPr>
              <w:spacing w:after="40"/>
            </w:pPr>
            <w:r>
              <w:rPr>
                <w:rFonts w:ascii="Times New Roman" w:hAnsi="Times New Roman"/>
                <w:sz w:val="17"/>
              </w:rPr>
              <w:t>Proposes unlearning with teacher/student optimization and uses MIA for privacy evaluation.</w:t>
            </w:r>
          </w:p>
        </w:tc>
        <w:tc>
          <w:tcPr>
            <w:tcW w:type="dxa" w:w="3528"/>
            <w:vAlign w:val="top"/>
            <w:shd w:fill="F5F7F9"/>
          </w:tcPr>
          <w:p>
            <w:pPr>
              <w:spacing w:after="40"/>
            </w:pPr>
            <w:r>
              <w:rPr>
                <w:rFonts w:ascii="Times New Roman" w:hAnsi="Times New Roman"/>
                <w:sz w:val="17"/>
              </w:rPr>
              <w:t>SCRUB is one audited method; MIA itself is not novel in our work.</w:t>
            </w:r>
          </w:p>
        </w:tc>
      </w:tr>
      <w:tr>
        <w:trPr>
          <w:cantSplit/>
        </w:trPr>
        <w:tc>
          <w:tcPr>
            <w:tcW w:type="dxa" w:w="2232"/>
            <w:vAlign w:val="top"/>
          </w:tcPr>
          <w:p>
            <w:pPr>
              <w:spacing w:after="40"/>
            </w:pPr>
            <w:r>
              <w:rPr>
                <w:rFonts w:ascii="Times New Roman" w:hAnsi="Times New Roman"/>
                <w:sz w:val="17"/>
              </w:rPr>
              <w:t>Model Sparsity [5]</w:t>
            </w:r>
          </w:p>
        </w:tc>
        <w:tc>
          <w:tcPr>
            <w:tcW w:type="dxa" w:w="3456"/>
            <w:vAlign w:val="top"/>
          </w:tcPr>
          <w:p>
            <w:pPr>
              <w:spacing w:after="40"/>
            </w:pPr>
            <w:r>
              <w:rPr>
                <w:rFonts w:ascii="Times New Roman" w:hAnsi="Times New Roman"/>
                <w:sz w:val="17"/>
              </w:rPr>
              <w:t>Studies prune-first-then-unlearn and approximation to retraining.</w:t>
            </w:r>
          </w:p>
        </w:tc>
        <w:tc>
          <w:tcPr>
            <w:tcW w:type="dxa" w:w="3528"/>
            <w:vAlign w:val="top"/>
          </w:tcPr>
          <w:p>
            <w:pPr>
              <w:spacing w:after="40"/>
            </w:pPr>
            <w:r>
              <w:rPr>
                <w:rFonts w:ascii="Times New Roman" w:hAnsi="Times New Roman"/>
                <w:sz w:val="17"/>
              </w:rPr>
              <w:t>Shows how model structure can aid unlearning; can inform optional extension.</w:t>
            </w:r>
          </w:p>
        </w:tc>
      </w:tr>
      <w:tr>
        <w:trPr>
          <w:cantSplit/>
        </w:trPr>
        <w:tc>
          <w:tcPr>
            <w:tcW w:type="dxa" w:w="2232"/>
            <w:vAlign w:val="top"/>
            <w:shd w:fill="F5F7F9"/>
          </w:tcPr>
          <w:p>
            <w:pPr>
              <w:spacing w:after="40"/>
            </w:pPr>
            <w:r>
              <w:rPr>
                <w:rFonts w:ascii="Times New Roman" w:hAnsi="Times New Roman"/>
                <w:sz w:val="17"/>
              </w:rPr>
              <w:t>SSD [6]</w:t>
            </w:r>
          </w:p>
        </w:tc>
        <w:tc>
          <w:tcPr>
            <w:tcW w:type="dxa" w:w="3456"/>
            <w:vAlign w:val="top"/>
            <w:shd w:fill="F5F7F9"/>
          </w:tcPr>
          <w:p>
            <w:pPr>
              <w:spacing w:after="40"/>
            </w:pPr>
            <w:r>
              <w:rPr>
                <w:rFonts w:ascii="Times New Roman" w:hAnsi="Times New Roman"/>
                <w:sz w:val="17"/>
              </w:rPr>
              <w:t>Selective synaptic dampening using parameter importance/Fisher information.</w:t>
            </w:r>
          </w:p>
        </w:tc>
        <w:tc>
          <w:tcPr>
            <w:tcW w:type="dxa" w:w="3528"/>
            <w:vAlign w:val="top"/>
            <w:shd w:fill="F5F7F9"/>
          </w:tcPr>
          <w:p>
            <w:pPr>
              <w:spacing w:after="40"/>
            </w:pPr>
            <w:r>
              <w:rPr>
                <w:rFonts w:ascii="Times New Roman" w:hAnsi="Times New Roman"/>
                <w:sz w:val="17"/>
              </w:rPr>
              <w:t xml:space="preserve">Provides a mechanism qualitatively different from SCRUB, but one that depends on the forget set having a distinct Fisher-importance signature. That condition fails for randomly drawn instance-level forget sets, so SSD is withdrawn from the core method set in v2.0 and retained only as an optional class-unlearning comparator. See Section 12. Implemented but not run.</w:t>
            </w:r>
          </w:p>
        </w:tc>
      </w:tr>
      <w:tr>
        <w:trPr>
          <w:cantSplit/>
        </w:trPr>
        <w:tc>
          <w:tcPr>
            <w:tcW w:type="dxa" w:w="2232"/>
            <w:vAlign w:val="top"/>
          </w:tcPr>
          <w:p>
            <w:pPr>
              <w:spacing w:after="40"/>
            </w:pPr>
            <w:r>
              <w:rPr>
                <w:rFonts w:ascii="Times New Roman" w:hAnsi="Times New Roman"/>
                <w:sz w:val="17"/>
              </w:rPr>
              <w:t>Wichert &amp; Sikdar [7]</w:t>
            </w:r>
          </w:p>
        </w:tc>
        <w:tc>
          <w:tcPr>
            <w:tcW w:type="dxa" w:w="3456"/>
            <w:vAlign w:val="top"/>
          </w:tcPr>
          <w:p>
            <w:pPr>
              <w:spacing w:after="40"/>
            </w:pPr>
            <w:r>
              <w:rPr>
                <w:rFonts w:ascii="Times New Roman" w:hAnsi="Times New Roman"/>
                <w:sz w:val="17"/>
              </w:rPr>
              <w:t>Shows random forget sets can make evaluation misleading; influential examples reveal more.</w:t>
            </w:r>
          </w:p>
        </w:tc>
        <w:tc>
          <w:tcPr>
            <w:tcW w:type="dxa" w:w="3528"/>
            <w:vAlign w:val="top"/>
          </w:tcPr>
          <w:p>
            <w:pPr>
              <w:spacing w:after="40"/>
            </w:pPr>
            <w:r>
              <w:rPr>
                <w:rFonts w:ascii="Times New Roman" w:hAnsi="Times New Roman"/>
                <w:sz w:val="17"/>
              </w:rPr>
              <w:t>Directly motivates our random vs. hard/high-memorization forget-set experiment.</w:t>
            </w:r>
          </w:p>
        </w:tc>
      </w:tr>
      <w:tr>
        <w:trPr>
          <w:cantSplit/>
        </w:trPr>
        <w:tc>
          <w:tcPr>
            <w:tcW w:type="dxa" w:w="2232"/>
            <w:vAlign w:val="top"/>
            <w:shd w:fill="F5F7F9"/>
          </w:tcPr>
          <w:p>
            <w:pPr>
              <w:spacing w:after="40"/>
            </w:pPr>
            <w:r>
              <w:rPr>
                <w:rFonts w:ascii="Times New Roman" w:hAnsi="Times New Roman"/>
                <w:sz w:val="17"/>
              </w:rPr>
              <w:t>RUM [8]</w:t>
            </w:r>
          </w:p>
        </w:tc>
        <w:tc>
          <w:tcPr>
            <w:tcW w:type="dxa" w:w="3456"/>
            <w:vAlign w:val="top"/>
            <w:shd w:fill="F5F7F9"/>
          </w:tcPr>
          <w:p>
            <w:pPr>
              <w:spacing w:after="40"/>
            </w:pPr>
            <w:r>
              <w:rPr>
                <w:rFonts w:ascii="Times New Roman" w:hAnsi="Times New Roman"/>
                <w:sz w:val="17"/>
              </w:rPr>
              <w:t>Shows unlearning difficulty varies by forget-set characteristics; provides CIFAR memorization scores and code.</w:t>
            </w:r>
          </w:p>
        </w:tc>
        <w:tc>
          <w:tcPr>
            <w:tcW w:type="dxa" w:w="3528"/>
            <w:vAlign w:val="top"/>
            <w:shd w:fill="F5F7F9"/>
          </w:tcPr>
          <w:p>
            <w:pPr>
              <w:spacing w:after="40"/>
            </w:pPr>
            <w:r>
              <w:rPr>
                <w:rFonts w:ascii="Times New Roman" w:hAnsi="Times New Roman"/>
                <w:sz w:val="17"/>
              </w:rPr>
              <w:t>We use forget difficulty as an experimental factor rather than proposing RUM itself.</w:t>
            </w:r>
          </w:p>
        </w:tc>
      </w:tr>
      <w:tr>
        <w:trPr>
          <w:cantSplit/>
        </w:trPr>
        <w:tc>
          <w:tcPr>
            <w:tcW w:type="dxa" w:w="2232"/>
            <w:vAlign w:val="top"/>
          </w:tcPr>
          <w:p>
            <w:pPr>
              <w:spacing w:after="40"/>
            </w:pPr>
            <w:r>
              <w:rPr>
                <w:rFonts w:ascii="Times New Roman" w:hAnsi="Times New Roman"/>
                <w:sz w:val="17"/>
              </w:rPr>
              <w:t>TOFU [9]</w:t>
            </w:r>
          </w:p>
        </w:tc>
        <w:tc>
          <w:tcPr>
            <w:tcW w:type="dxa" w:w="3456"/>
            <w:vAlign w:val="top"/>
          </w:tcPr>
          <w:p>
            <w:pPr>
              <w:spacing w:after="40"/>
            </w:pPr>
            <w:r>
              <w:rPr>
                <w:rFonts w:ascii="Times New Roman" w:hAnsi="Times New Roman"/>
                <w:sz w:val="17"/>
              </w:rPr>
              <w:t>Controlled synthetic LLM unlearning benchmark with fictitious facts.</w:t>
            </w:r>
          </w:p>
        </w:tc>
        <w:tc>
          <w:tcPr>
            <w:tcW w:type="dxa" w:w="3528"/>
            <w:vAlign w:val="top"/>
          </w:tcPr>
          <w:p>
            <w:pPr>
              <w:spacing w:after="40"/>
            </w:pPr>
            <w:r>
              <w:rPr>
                <w:rFonts w:ascii="Times New Roman" w:hAnsi="Times New Roman"/>
                <w:sz w:val="17"/>
              </w:rPr>
              <w:t>Supports the legitimacy of synthetic extensions, but our core experiment is vision and retraining-feasible.</w:t>
            </w:r>
          </w:p>
        </w:tc>
      </w:tr>
      <w:tr>
        <w:trPr>
          <w:cantSplit/>
        </w:trPr>
        <w:tc>
          <w:tcPr>
            <w:tcW w:type="dxa" w:w="2232"/>
            <w:vAlign w:val="top"/>
            <w:shd w:fill="F5F7F9"/>
          </w:tcPr>
          <w:p>
            <w:pPr>
              <w:spacing w:after="40"/>
            </w:pPr>
            <w:r>
              <w:rPr>
                <w:rFonts w:ascii="Times New Roman" w:hAnsi="Times New Roman"/>
                <w:sz w:val="17"/>
              </w:rPr>
              <w:t>Robust LLM Evaluation via Transformations [10]</w:t>
            </w:r>
          </w:p>
        </w:tc>
        <w:tc>
          <w:tcPr>
            <w:tcW w:type="dxa" w:w="3456"/>
            <w:vAlign w:val="top"/>
            <w:shd w:fill="F5F7F9"/>
          </w:tcPr>
          <w:p>
            <w:pPr>
              <w:spacing w:after="40"/>
            </w:pPr>
            <w:r>
              <w:rPr>
                <w:rFonts w:ascii="Times New Roman" w:hAnsi="Times New Roman"/>
                <w:sz w:val="17"/>
              </w:rPr>
              <w:t>Shows transformed prompts can expose residual forgotten information.</w:t>
            </w:r>
          </w:p>
        </w:tc>
        <w:tc>
          <w:tcPr>
            <w:tcW w:type="dxa" w:w="3528"/>
            <w:vAlign w:val="top"/>
            <w:shd w:fill="F5F7F9"/>
          </w:tcPr>
          <w:p>
            <w:pPr>
              <w:spacing w:after="40"/>
            </w:pPr>
            <w:r>
              <w:rPr>
                <w:rFonts w:ascii="Times New Roman" w:hAnsi="Times New Roman"/>
                <w:sz w:val="17"/>
              </w:rPr>
              <w:t>Supports the broader principle that one behavioral test may not be robust.</w:t>
            </w:r>
          </w:p>
        </w:tc>
      </w:tr>
      <w:tr>
        <w:trPr>
          <w:cantSplit/>
        </w:trPr>
        <w:tc>
          <w:tcPr>
            <w:tcW w:type="dxa" w:w="2232"/>
            <w:vAlign w:val="top"/>
          </w:tcPr>
          <w:p>
            <w:pPr>
              <w:spacing w:after="40"/>
            </w:pPr>
            <w:r>
              <w:rPr>
                <w:rFonts w:ascii="Times New Roman" w:hAnsi="Times New Roman"/>
                <w:sz w:val="17"/>
              </w:rPr>
              <w:t>MUSE [11]</w:t>
            </w:r>
          </w:p>
        </w:tc>
        <w:tc>
          <w:tcPr>
            <w:tcW w:type="dxa" w:w="3456"/>
            <w:vAlign w:val="top"/>
          </w:tcPr>
          <w:p>
            <w:pPr>
              <w:spacing w:after="40"/>
            </w:pPr>
            <w:r>
              <w:rPr>
                <w:rFonts w:ascii="Times New Roman" w:hAnsi="Times New Roman"/>
                <w:sz w:val="17"/>
              </w:rPr>
              <w:t>Six-way LLM unlearning evaluation including utility, privacy, scalability and sequential deletion.</w:t>
            </w:r>
          </w:p>
        </w:tc>
        <w:tc>
          <w:tcPr>
            <w:tcW w:type="dxa" w:w="3528"/>
            <w:vAlign w:val="top"/>
          </w:tcPr>
          <w:p>
            <w:pPr>
              <w:spacing w:after="40"/>
            </w:pPr>
            <w:r>
              <w:rPr>
                <w:rFonts w:ascii="Times New Roman" w:hAnsi="Times New Roman"/>
                <w:sz w:val="17"/>
              </w:rPr>
              <w:t>Multi-axis evaluation is therefore not our novelty; cross-audit disagreement is the sharper focus.</w:t>
            </w:r>
          </w:p>
        </w:tc>
      </w:tr>
      <w:tr>
        <w:trPr>
          <w:cantSplit/>
        </w:trPr>
        <w:tc>
          <w:tcPr>
            <w:tcW w:type="dxa" w:w="2232"/>
            <w:vAlign w:val="top"/>
            <w:shd w:fill="F5F7F9"/>
          </w:tcPr>
          <w:p>
            <w:pPr>
              <w:spacing w:after="40"/>
            </w:pPr>
            <w:r>
              <w:rPr>
                <w:rFonts w:ascii="Times New Roman" w:hAnsi="Times New Roman"/>
                <w:sz w:val="17"/>
              </w:rPr>
              <w:t>Rethinking Machine Unlearning for LLMs [12]</w:t>
            </w:r>
          </w:p>
        </w:tc>
        <w:tc>
          <w:tcPr>
            <w:tcW w:type="dxa" w:w="3456"/>
            <w:vAlign w:val="top"/>
            <w:shd w:fill="F5F7F9"/>
          </w:tcPr>
          <w:p>
            <w:pPr>
              <w:spacing w:after="40"/>
            </w:pPr>
            <w:r>
              <w:rPr>
                <w:rFonts w:ascii="Times New Roman" w:hAnsi="Times New Roman"/>
                <w:sz w:val="17"/>
              </w:rPr>
              <w:t>Review of current LLM-unlearning challenges and evaluation concerns.</w:t>
            </w:r>
          </w:p>
        </w:tc>
        <w:tc>
          <w:tcPr>
            <w:tcW w:type="dxa" w:w="3528"/>
            <w:vAlign w:val="top"/>
            <w:shd w:fill="F5F7F9"/>
          </w:tcPr>
          <w:p>
            <w:pPr>
              <w:spacing w:after="40"/>
            </w:pPr>
            <w:r>
              <w:rPr>
                <w:rFonts w:ascii="Times New Roman" w:hAnsi="Times New Roman"/>
                <w:sz w:val="17"/>
              </w:rPr>
              <w:t>Provides recent field context and supports cautious claims.</w:t>
            </w:r>
          </w:p>
        </w:tc>
      </w:tr>
      <w:tr>
        <w:trPr>
          <w:cantSplit/>
        </w:trPr>
        <w:tc>
          <w:tcPr>
            <w:tcW w:type="dxa" w:w="2232"/>
            <w:vAlign w:val="top"/>
          </w:tcPr>
          <w:p>
            <w:pPr>
              <w:spacing w:after="40"/>
            </w:pPr>
            <w:r>
              <w:rPr>
                <w:rFonts w:ascii="Times New Roman" w:hAnsi="Times New Roman"/>
                <w:sz w:val="17"/>
              </w:rPr>
              <w:t>Unlearning Isn’t Deletion [13]</w:t>
            </w:r>
          </w:p>
        </w:tc>
        <w:tc>
          <w:tcPr>
            <w:tcW w:type="dxa" w:w="3456"/>
            <w:vAlign w:val="top"/>
          </w:tcPr>
          <w:p>
            <w:pPr>
              <w:spacing w:after="40"/>
            </w:pPr>
            <w:r>
              <w:rPr>
                <w:rFonts w:ascii="Times New Roman" w:hAnsi="Times New Roman"/>
                <w:sz w:val="17"/>
              </w:rPr>
              <w:t>Representation-level and relearning analysis; shows reversibility can reveal suppression.</w:t>
            </w:r>
          </w:p>
        </w:tc>
        <w:tc>
          <w:tcPr>
            <w:tcW w:type="dxa" w:w="3528"/>
            <w:vAlign w:val="top"/>
          </w:tcPr>
          <w:p>
            <w:pPr>
              <w:spacing w:after="40"/>
            </w:pPr>
            <w:r>
              <w:rPr>
                <w:rFonts w:ascii="Times New Roman" w:hAnsi="Times New Roman"/>
                <w:sz w:val="17"/>
              </w:rPr>
              <w:t>Very close philosophically. ForgetCheck adapts the question to a full-retraining-grounded small-model study and focuses on disagreement among audit families.</w:t>
            </w:r>
          </w:p>
        </w:tc>
      </w:tr>
      <w:tr>
        <w:trPr>
          <w:cantSplit/>
        </w:trPr>
        <w:tc>
          <w:tcPr>
            <w:tcW w:type="dxa" w:w="2232"/>
            <w:vAlign w:val="top"/>
            <w:shd w:fill="F5F7F9"/>
          </w:tcPr>
          <w:p>
            <w:pPr>
              <w:spacing w:after="40"/>
            </w:pPr>
            <w:r>
              <w:rPr>
                <w:rFonts w:ascii="Times New Roman" w:hAnsi="Times New Roman"/>
                <w:sz w:val="17"/>
              </w:rPr>
              <w:t>Regularized f-Divergence / Google Audit [14,15]</w:t>
            </w:r>
          </w:p>
        </w:tc>
        <w:tc>
          <w:tcPr>
            <w:tcW w:type="dxa" w:w="3456"/>
            <w:vAlign w:val="top"/>
            <w:shd w:fill="F5F7F9"/>
          </w:tcPr>
          <w:p>
            <w:pPr>
              <w:spacing w:after="40"/>
            </w:pPr>
            <w:r>
              <w:rPr>
                <w:rFonts w:ascii="Times New Roman" w:hAnsi="Times New Roman"/>
                <w:sz w:val="17"/>
              </w:rPr>
              <w:t>Statistical relative-distribution tests for comparing model output distributions.</w:t>
            </w:r>
          </w:p>
        </w:tc>
        <w:tc>
          <w:tcPr>
            <w:tcW w:type="dxa" w:w="3528"/>
            <w:vAlign w:val="top"/>
            <w:shd w:fill="F5F7F9"/>
          </w:tcPr>
          <w:p>
            <w:pPr>
              <w:spacing w:after="40"/>
            </w:pPr>
            <w:r>
              <w:rPr>
                <w:rFonts w:ascii="Times New Roman" w:hAnsi="Times New Roman"/>
                <w:sz w:val="17"/>
              </w:rPr>
              <w:t>Motivates relative original–unlearned–retrained comparison and caution about stochastic retraining.</w:t>
            </w:r>
          </w:p>
        </w:tc>
      </w:tr>
      <w:tr>
        <w:trPr>
          <w:cantSplit/>
        </w:trPr>
        <w:tc>
          <w:tcPr>
            <w:tcW w:type="dxa" w:w="2232"/>
            <w:vAlign w:val="top"/>
          </w:tcPr>
          <w:p>
            <w:pPr>
              <w:spacing w:after="40"/>
            </w:pPr>
            <w:r>
              <w:rPr>
                <w:rFonts w:ascii="Times New Roman" w:hAnsi="Times New Roman"/>
                <w:sz w:val="17"/>
              </w:rPr>
              <w:t>Auditing Machine Unlearning [16]</w:t>
            </w:r>
          </w:p>
        </w:tc>
        <w:tc>
          <w:tcPr>
            <w:tcW w:type="dxa" w:w="3456"/>
            <w:vAlign w:val="top"/>
          </w:tcPr>
          <w:p>
            <w:pPr>
              <w:spacing w:after="40"/>
            </w:pPr>
            <w:r>
              <w:rPr>
                <w:rFonts w:ascii="Times New Roman" w:hAnsi="Times New Roman"/>
                <w:sz w:val="17"/>
              </w:rPr>
              <w:t>General-purpose auditing framework across datasets and unlearning methods.</w:t>
            </w:r>
          </w:p>
        </w:tc>
        <w:tc>
          <w:tcPr>
            <w:tcW w:type="dxa" w:w="3528"/>
            <w:vAlign w:val="top"/>
          </w:tcPr>
          <w:p>
            <w:pPr>
              <w:spacing w:after="40"/>
            </w:pPr>
            <w:r>
              <w:rPr>
                <w:rFonts w:ascii="Times New Roman" w:hAnsi="Times New Roman"/>
                <w:sz w:val="17"/>
              </w:rPr>
              <w:t>Makes it incorrect to claim that ForgetCheck is the first unlearning auditor. We instead study cross-audit consistency and reversibility under controlled retraining references.</w:t>
            </w:r>
          </w:p>
        </w:tc>
      </w:tr>
      <w:tr>
        <w:trPr>
          <w:cantSplit/>
        </w:trPr>
        <w:tc>
          <w:tcPr>
            <w:tcW w:type="dxa" w:w="2232"/>
            <w:vAlign w:val="top"/>
            <w:shd w:fill="F5F7F9"/>
          </w:tcPr>
          <w:p>
            <w:pPr>
              <w:spacing w:after="40"/>
            </w:pPr>
            <w:r>
              <w:rPr>
                <w:rFonts w:ascii="Times New Roman" w:hAnsi="Times New Roman"/>
                <w:sz w:val="17"/>
              </w:rPr>
              <w:t>Is your algorithm unlearning or untraining? [19]</w:t>
            </w:r>
          </w:p>
        </w:tc>
        <w:tc>
          <w:tcPr>
            <w:tcW w:type="dxa" w:w="3456"/>
            <w:vAlign w:val="top"/>
            <w:shd w:fill="F5F7F9"/>
          </w:tcPr>
          <w:p>
            <w:pPr>
              <w:spacing w:after="40"/>
            </w:pPr>
            <w:r>
              <w:rPr>
                <w:rFonts w:ascii="Times New Roman" w:hAnsi="Times New Roman"/>
                <w:sz w:val="17"/>
              </w:rPr>
              <w:t>Separates Untraining (remove the influence of specific examples; retraining is the correct oracle) from Unlearning (remove an underlying concept; retraining is not).</w:t>
            </w:r>
          </w:p>
        </w:tc>
        <w:tc>
          <w:tcPr>
            <w:tcW w:type="dxa" w:w="3528"/>
            <w:vAlign w:val="top"/>
            <w:shd w:fill="F5F7F9"/>
          </w:tcPr>
          <w:p>
            <w:pPr>
              <w:spacing w:after="40"/>
            </w:pPr>
            <w:r>
              <w:rPr>
                <w:rFonts w:ascii="Times New Roman" w:hAnsi="Times New Roman"/>
                <w:sz w:val="17"/>
              </w:rPr>
              <w:t>Supplies the vocabulary this project works in. ForgetCheck is an Untraining study, which is what licenses both the retrained oracle and the use of membership inference.</w:t>
            </w:r>
          </w:p>
        </w:tc>
      </w:tr>
      <w:tr>
        <w:trPr>
          <w:cantSplit/>
        </w:trPr>
        <w:tc>
          <w:tcPr>
            <w:tcW w:type="dxa" w:w="2232"/>
            <w:vAlign w:val="top"/>
          </w:tcPr>
          <w:p>
            <w:pPr>
              <w:spacing w:after="40"/>
            </w:pPr>
            <w:r>
              <w:rPr>
                <w:rFonts w:ascii="Times New Roman" w:hAnsi="Times New Roman"/>
                <w:sz w:val="17"/>
              </w:rPr>
              <w:t>Metric Unreliability in Multimodal Unlearning [20]</w:t>
            </w:r>
          </w:p>
        </w:tc>
        <w:tc>
          <w:tcPr>
            <w:tcW w:type="dxa" w:w="3456"/>
            <w:vAlign w:val="top"/>
          </w:tcPr>
          <w:p>
            <w:pPr>
              <w:spacing w:after="40"/>
            </w:pPr>
            <w:r>
              <w:rPr>
                <w:rFonts w:ascii="Times New Roman" w:hAnsi="Times New Roman"/>
                <w:sz w:val="17"/>
              </w:rPr>
              <w:t>Cross-metric Kendall-tau disagreement over 36 unlearned models against a retained-only oracle; reports two opposing metric clusters and a CIFAR-10 / ResNet-18 arm.</w:t>
            </w:r>
          </w:p>
        </w:tc>
        <w:tc>
          <w:tcPr>
            <w:tcW w:type="dxa" w:w="3528"/>
            <w:vAlign w:val="top"/>
          </w:tcPr>
          <w:p>
            <w:pPr>
              <w:spacing w:after="40"/>
            </w:pPr>
            <w:r>
              <w:rPr>
                <w:rFonts w:ascii="Times New Roman" w:hAnsi="Times New Roman"/>
                <w:sz w:val="17"/>
              </w:rPr>
              <w:t>The nearest neighbour to this project and the reason Section 6 is narrowed. It explicitly excludes knowledge recoverability as unscalable — which is the axis ForgetCheck supplies.</w:t>
            </w:r>
          </w:p>
        </w:tc>
      </w:tr>
      <w:tr>
        <w:trPr>
          <w:cantSplit/>
        </w:trPr>
        <w:tc>
          <w:tcPr>
            <w:tcW w:type="dxa" w:w="2232"/>
            <w:vAlign w:val="top"/>
            <w:shd w:fill="F5F7F9"/>
          </w:tcPr>
          <w:p>
            <w:pPr>
              <w:spacing w:after="40"/>
            </w:pPr>
            <w:r>
              <w:rPr>
                <w:rFonts w:ascii="Times New Roman" w:hAnsi="Times New Roman"/>
                <w:sz w:val="17"/>
              </w:rPr>
              <w:t>Inexact Unlearning Needs More Careful Evaluations [21]</w:t>
            </w:r>
          </w:p>
        </w:tc>
        <w:tc>
          <w:tcPr>
            <w:tcW w:type="dxa" w:w="3456"/>
            <w:vAlign w:val="top"/>
            <w:shd w:fill="F5F7F9"/>
          </w:tcPr>
          <w:p>
            <w:pPr>
              <w:spacing w:after="40"/>
            </w:pPr>
            <w:r>
              <w:rPr>
                <w:rFonts w:ascii="Times New Roman" w:hAnsi="Times New Roman"/>
                <w:sz w:val="17"/>
              </w:rPr>
              <w:t>Population membership-inference attacks overestimate privacy protection; per-example attacks are far stronger and can show risk increasing after unlearning.</w:t>
            </w:r>
          </w:p>
        </w:tc>
        <w:tc>
          <w:tcPr>
            <w:tcW w:type="dxa" w:w="3528"/>
            <w:vAlign w:val="top"/>
            <w:shd w:fill="F5F7F9"/>
          </w:tcPr>
          <w:p>
            <w:pPr>
              <w:spacing w:after="40"/>
            </w:pPr>
            <w:r>
              <w:rPr>
                <w:rFonts w:ascii="Times New Roman" w:hAnsi="Times New Roman"/>
                <w:sz w:val="17"/>
              </w:rPr>
              <w:t>Motivates running two attacks of different strength and treating the gap between them as an intra-family disagreement result rather than a caveat.</w:t>
            </w:r>
          </w:p>
        </w:tc>
      </w:tr>
      <w:tr>
        <w:trPr>
          <w:cantSplit/>
        </w:trPr>
        <w:tc>
          <w:tcPr>
            <w:tcW w:type="dxa" w:w="2232"/>
            <w:vAlign w:val="top"/>
          </w:tcPr>
          <w:p>
            <w:pPr>
              <w:spacing w:after="40"/>
            </w:pPr>
            <w:r>
              <w:rPr>
                <w:rFonts w:ascii="Times New Roman" w:hAnsi="Times New Roman"/>
                <w:sz w:val="17"/>
              </w:rPr>
              <w:t>RULER [22]; Are We Truly Forgetting? [23]</w:t>
            </w:r>
          </w:p>
        </w:tc>
        <w:tc>
          <w:tcPr>
            <w:tcW w:type="dxa" w:w="3456"/>
            <w:vAlign w:val="top"/>
          </w:tcPr>
          <w:p>
            <w:pPr>
              <w:spacing w:after="40"/>
            </w:pPr>
            <w:r>
              <w:rPr>
                <w:rFonts w:ascii="Times New Roman" w:hAnsi="Times New Roman"/>
                <w:sz w:val="17"/>
              </w:rPr>
              <w:t>Methods that pass every output-level check still show significant representation-level residuals; representation quality can collapse or only the classifier can change.</w:t>
            </w:r>
          </w:p>
        </w:tc>
        <w:tc>
          <w:tcPr>
            <w:tcW w:type="dxa" w:w="3528"/>
            <w:vAlign w:val="top"/>
          </w:tcPr>
          <w:p>
            <w:pPr>
              <w:spacing w:after="40"/>
            </w:pPr>
            <w:r>
              <w:rPr>
                <w:rFonts w:ascii="Times New Roman" w:hAnsi="Times New Roman"/>
                <w:sz w:val="17"/>
              </w:rPr>
              <w:t>Establishes former hypothesis H1. ForgetCheck treats it as a replication target and moves its novelty to reversibility, difficulty and audit validity.</w:t>
            </w:r>
          </w:p>
        </w:tc>
      </w:tr>
      <w:tr>
        <w:trPr>
          <w:cantSplit/>
        </w:trPr>
        <w:tc>
          <w:tcPr>
            <w:tcW w:type="dxa" w:w="2232"/>
            <w:vAlign w:val="top"/>
            <w:shd w:fill="F5F7F9"/>
          </w:tcPr>
          <w:p>
            <w:pPr>
              <w:spacing w:after="40"/>
            </w:pPr>
            <w:r>
              <w:rPr>
                <w:rFonts w:ascii="Times New Roman" w:hAnsi="Times New Roman"/>
                <w:sz w:val="17"/>
              </w:rPr>
              <w:t>Comparative study of unlearning techniques [24]</w:t>
            </w:r>
          </w:p>
        </w:tc>
        <w:tc>
          <w:tcPr>
            <w:tcW w:type="dxa" w:w="3456"/>
            <w:vAlign w:val="top"/>
            <w:shd w:fill="F5F7F9"/>
          </w:tcPr>
          <w:p>
            <w:pPr>
              <w:spacing w:after="40"/>
            </w:pPr>
            <w:r>
              <w:rPr>
                <w:rFonts w:ascii="Times New Roman" w:hAnsi="Times New Roman"/>
                <w:sz w:val="17"/>
              </w:rPr>
              <w:t>Reports that Selective Synaptic Dampening fails to forget at all forget fractions under random forgetting, attributed to similar Fisher information values.</w:t>
            </w:r>
          </w:p>
        </w:tc>
        <w:tc>
          <w:tcPr>
            <w:tcW w:type="dxa" w:w="3528"/>
            <w:vAlign w:val="top"/>
            <w:shd w:fill="F5F7F9"/>
          </w:tcPr>
          <w:p>
            <w:pPr>
              <w:spacing w:after="40"/>
            </w:pPr>
            <w:r>
              <w:rPr>
                <w:rFonts w:ascii="Times New Roman" w:hAnsi="Times New Roman"/>
                <w:sz w:val="17"/>
              </w:rPr>
              <w:t>Directly motivates removing SSD from the core method set for instance-level deletion.</w:t>
            </w:r>
          </w:p>
        </w:tc>
      </w:tr>
      <w:tr>
        <w:trPr>
          <w:cantSplit/>
        </w:trPr>
        <w:tc>
          <w:tcPr>
            <w:tcW w:type="dxa" w:w="2232"/>
            <w:vAlign w:val="top"/>
          </w:tcPr>
          <w:p>
            <w:pPr>
              <w:spacing w:after="40"/>
            </w:pPr>
            <w:r>
              <w:rPr>
                <w:rFonts w:ascii="Times New Roman" w:hAnsi="Times New Roman"/>
                <w:sz w:val="17"/>
              </w:rPr>
              <w:t>Easy Data Unlearning Bench [25]</w:t>
            </w:r>
          </w:p>
        </w:tc>
        <w:tc>
          <w:tcPr>
            <w:tcW w:type="dxa" w:w="3456"/>
            <w:vAlign w:val="top"/>
          </w:tcPr>
          <w:p>
            <w:pPr>
              <w:spacing w:after="40"/>
            </w:pPr>
            <w:r>
              <w:rPr>
                <w:rFonts w:ascii="Times New Roman" w:hAnsi="Times New Roman"/>
                <w:sz w:val="17"/>
              </w:rPr>
              <w:t>Evaluates against an ensemble of oracle models rather than a single retrained model; releases 200 oracles per forget set for CIFAR-10.</w:t>
            </w:r>
          </w:p>
        </w:tc>
        <w:tc>
          <w:tcPr>
            <w:tcW w:type="dxa" w:w="3528"/>
            <w:vAlign w:val="top"/>
          </w:tcPr>
          <w:p>
            <w:pPr>
              <w:spacing w:after="40"/>
            </w:pPr>
            <w:r>
              <w:rPr>
                <w:rFonts w:ascii="Times New Roman" w:hAnsi="Times New Roman"/>
                <w:sz w:val="17"/>
              </w:rPr>
              <w:t>Motivates treating the oracle as a reference distribution and expressing thresholds in oracle-standard-deviation units.</w:t>
            </w:r>
          </w:p>
        </w:tc>
      </w:tr>
      <w:tr>
        <w:trPr>
          <w:cantSplit/>
        </w:trPr>
        <w:tc>
          <w:tcPr>
            <w:tcW w:type="dxa" w:w="2232"/>
            <w:vAlign w:val="top"/>
            <w:shd w:fill="F5F7F9"/>
          </w:tcPr>
          <w:p>
            <w:pPr>
              <w:spacing w:after="40"/>
            </w:pPr>
            <w:r>
              <w:rPr>
                <w:rFonts w:ascii="Times New Roman" w:hAnsi="Times New Roman"/>
                <w:sz w:val="17"/>
              </w:rPr>
              <w:t>Reliability of CKA [26]</w:t>
            </w:r>
          </w:p>
        </w:tc>
        <w:tc>
          <w:tcPr>
            <w:tcW w:type="dxa" w:w="3456"/>
            <w:vAlign w:val="top"/>
            <w:shd w:fill="F5F7F9"/>
          </w:tcPr>
          <w:p>
            <w:pPr>
              <w:spacing w:after="40"/>
            </w:pPr>
            <w:r>
              <w:rPr>
                <w:rFonts w:ascii="Times New Roman" w:hAnsi="Times New Roman"/>
                <w:sz w:val="17"/>
              </w:rPr>
              <w:t>CKA values can change substantially without corresponding change in functional behavior; sensitive to outliers and to separability-preserving transformations.</w:t>
            </w:r>
          </w:p>
        </w:tc>
        <w:tc>
          <w:tcPr>
            <w:tcW w:type="dxa" w:w="3528"/>
            <w:vAlign w:val="top"/>
            <w:shd w:fill="F5F7F9"/>
          </w:tcPr>
          <w:p>
            <w:pPr>
              <w:spacing w:after="40"/>
            </w:pPr>
            <w:r>
              <w:rPr>
                <w:rFonts w:ascii="Times New Roman" w:hAnsi="Times New Roman"/>
                <w:sz w:val="17"/>
              </w:rPr>
              <w:t>Motivates pairing CKA with a mechanistically different similarity measure before any representation-level claim is made.</w:t>
            </w:r>
          </w:p>
        </w:tc>
      </w:tr>
      <w:tr>
        <w:trPr>
          <w:cantSplit/>
        </w:trPr>
        <w:tc>
          <w:tcPr>
            <w:tcW w:type="dxa" w:w="2232"/>
            <w:vAlign w:val="top"/>
          </w:tcPr>
          <w:p>
            <w:pPr>
              <w:spacing w:after="40"/>
            </w:pPr>
            <w:r>
              <w:rPr>
                <w:rFonts w:ascii="Times New Roman" w:hAnsi="Times New Roman"/>
                <w:sz w:val="17"/>
              </w:rPr>
              <w:t xml:space="preserve">Subset Statistical Independence (SDE) [35]</w:t>
            </w:r>
          </w:p>
        </w:tc>
        <w:tc>
          <w:tcPr>
            <w:tcW w:type="dxa" w:w="3456"/>
            <w:vAlign w:val="top"/>
          </w:tcPr>
          <w:p>
            <w:pPr>
              <w:spacing w:after="40"/>
            </w:pPr>
            <w:r>
              <w:rPr>
                <w:rFonts w:ascii="Times New Roman" w:hAnsi="Times New Roman"/>
                <w:sz w:val="17"/>
              </w:rPr>
              <w:t xml:space="preserve">A retrain-free audit: split-half statistical dependence (HSIC) of a model's outputs on a subset, compared with in-training and out-of-training references.</w:t>
            </w:r>
          </w:p>
        </w:tc>
        <w:tc>
          <w:tcPr>
            <w:tcW w:type="dxa" w:w="3528"/>
            <w:vAlign w:val="top"/>
          </w:tcPr>
          <w:p>
            <w:pPr>
              <w:spacing w:after="40"/>
            </w:pPr>
            <w:r>
              <w:rPr>
                <w:rFonts w:ascii="Times New Roman" w:hAnsi="Times New Roman"/>
                <w:sz w:val="17"/>
              </w:rPr>
              <w:t xml:space="preserve">Run as a sixth, secondary audit. Calibrated against retrains its statistic detects the original model everywhere, but its own retrain-free verdict misfires on non-random forget sets — exactly the validity question ForgetCheck asks.</w:t>
            </w:r>
          </w:p>
        </w:tc>
      </w:tr>
      <w:tr>
        <w:trPr>
          <w:cantSplit/>
        </w:trPr>
        <w:tc>
          <w:tcPr>
            <w:tcW w:type="dxa" w:w="2232"/>
            <w:vAlign w:val="top"/>
            <w:shd w:fill="F5F7F9"/>
          </w:tcPr>
          <w:p>
            <w:pPr>
              <w:spacing w:after="40"/>
            </w:pPr>
            <w:r>
              <w:rPr>
                <w:rFonts w:ascii="Times New Roman" w:hAnsi="Times New Roman"/>
                <w:sz w:val="17"/>
              </w:rPr>
              <w:t xml:space="preserve">Unlearning Comparator [34]</w:t>
            </w:r>
          </w:p>
        </w:tc>
        <w:tc>
          <w:tcPr>
            <w:tcW w:type="dxa" w:w="3456"/>
            <w:vAlign w:val="top"/>
            <w:shd w:fill="F5F7F9"/>
          </w:tcPr>
          <w:p>
            <w:pPr>
              <w:spacing w:after="40"/>
            </w:pPr>
            <w:r>
              <w:rPr>
                <w:rFonts w:ascii="Times New Roman" w:hAnsi="Times New Roman"/>
                <w:sz w:val="17"/>
              </w:rPr>
              <w:t xml:space="preserve">A visual analytics system for comparing unlearning methods.</w:t>
            </w:r>
          </w:p>
        </w:tc>
        <w:tc>
          <w:tcPr>
            <w:tcW w:type="dxa" w:w="3528"/>
            <w:vAlign w:val="top"/>
            <w:shd w:fill="F5F7F9"/>
          </w:tcPr>
          <w:p>
            <w:pPr>
              <w:spacing w:after="40"/>
            </w:pPr>
            <w:r>
              <w:rPr>
                <w:rFonts w:ascii="Times New Roman" w:hAnsi="Times New Roman"/>
                <w:sz w:val="17"/>
              </w:rPr>
              <w:t xml:space="preserve">Published prior art for the dashboard, which is therefore a visualization layer over the results, not a contribution.</w:t>
            </w:r>
          </w:p>
        </w:tc>
      </w:tr>
    </w:tbl>
    <w:p>
      <w:pPr>
        <w:spacing w:after="20"/>
      </w:pPr>
    </w:p>
    <w:p>
      <w:pPr>
        <w:pStyle w:val="Heading1"/>
        <w:keepNext/>
      </w:pPr>
      <w:r>
        <w:t>6. Final Research Gap and Novelty</w:t>
      </w:r>
    </w:p>
    <w:p>
      <w:pPr>
        <w:spacing w:after="120"/>
      </w:pPr>
      <w:r>
        <w:rPr>
          <w:i w:val="0"/>
        </w:rPr>
        <w:t>The novelty claim must be narrow and accurate, and it was narrowed in v2.0. This project is not the first unlearning benchmark, not the first to use membership inference, not the first to compare against retraining, not the first to study representations, not the first to test relearning, and — since [20] — not the first to quantify disagreement between audit families. What remains open is narrower and sharper: existing disagreement studies compare output-, privacy- and alignment-based metrics only, quantify disagreement without adjudicating it, and hold the difficulty of the deletion request fixed.</w:t>
      </w:r>
    </w:p>
    <w:tbl>
      <w:tblPr>
        <w:tblStyle w:val="TableGrid"/>
        <w:tblW w:type="auto" w:w="0"/>
        <w:jc w:val="center"/>
        <w:tblLook w:firstColumn="1" w:firstRow="1" w:lastColumn="0" w:lastRow="0" w:noHBand="0" w:noVBand="1" w:val="04A0"/>
      </w:tblPr>
      <w:tblGrid>
        <w:gridCol w:w="9242"/>
      </w:tblGrid>
      <w:tr>
        <w:trPr>
          <w:cantSplit/>
        </w:trPr>
        <w:tc>
          <w:tcPr>
            <w:tcW w:type="dxa" w:w="9242"/>
            <w:shd w:fill="EAF3F8"/>
          </w:tcPr>
          <w:p>
            <w:pPr>
              <w:spacing w:after="60"/>
            </w:pPr>
            <w:r>
              <w:rPr>
                <w:b/>
                <w:color w:val="17324D"/>
                <w:sz w:val="23"/>
              </w:rPr>
              <w:t>Final novelty statement</w:t>
            </w:r>
          </w:p>
          <w:p>
            <w:pPr>
              <w:spacing w:after="20"/>
            </w:pPr>
            <w:r>
              <w:rPr>
                <w:sz w:val="21"/>
              </w:rPr>
              <w:t>ForgetCheck extends cross-audit analysis of approximate Untraining in three directions and adds a validity layer. It introduces controlled relearning as a fourth ranked audit family — the axis prior work identified as missing but did not scale; it measures disagreement within the privacy family as well as between families, by contrasting a population membership-inference attack with a per-example one; and it treats forget-set memorization difficulty as an experimental factor rather than a fixed condition. Every audit is calibrated against an ensemble of independently retrained oracles and validated on a canary condition where residual influence is known by construction, so that audits can be scored for accuracy rather than only compared for agreement.</w:t>
            </w:r>
          </w:p>
        </w:tc>
      </w:tr>
    </w:tbl>
    <w:p>
      <w:pPr>
        <w:spacing w:after="20"/>
      </w:pPr>
    </w:p>
    <w:p>
      <w:pPr>
        <w:spacing w:after="120"/>
      </w:pPr>
      <w:r>
        <w:rPr>
          <w:i w:val="0"/>
        </w:rPr>
        <w:t>The contributions are therefore ordered as follows. First and primary: audit validity — determining which audit families give trustworthy verdicts, measured as false-positive rate against independently retrained oracles and as accuracy against the canary condition. Second: the reversibility axis, absent from existing disagreement studies. Third: the interaction between audit disagreement and forget-set difficulty, motivated by evidence that random deletion sets may be insufficiently discriminative [7] and that unlearning difficulty depends on the characteristics of the deleted samples [8]. Fourth and explicitly secondary: replication of the cross-audit disagreement finding of [20] in a clean unimodal, instance-level setting with a true from-scratch oracle ensemble. Replication is stated as replication.</w:t>
      </w:r>
    </w:p>
    <w:p>
      <w:pPr>
        <w:pStyle w:val="Heading1"/>
        <w:keepNext/>
      </w:pPr>
      <w:r>
        <w:t>7. Research Problem Statement</w:t>
      </w:r>
    </w:p>
    <w:p>
      <w:pPr>
        <w:spacing w:after="120"/>
      </w:pPr>
      <w:r>
        <w:rPr>
          <w:i w:val="0"/>
        </w:rPr>
        <w:t>Approximate machine-unlearning algorithms are commonly evaluated using behavioral performance, privacy attacks, similarity to retrained models or changes in internal representations. However, recent evidence suggests that individual evaluation approaches may provide incomplete or misleading evidence of forgetting, and the apparent difficulty of unlearning depends on the composition of the forget set. This project proposes a retraining-grounded experimental study to determine whether behavioral, membership-privacy, representation-level and relearning audits provide consistent conclusions when evaluating approximate machine-unlearning algorithms under random and high-memorization deletion scenarios.</w:t>
      </w:r>
    </w:p>
    <w:p>
      <w:pPr>
        <w:pStyle w:val="Heading1"/>
        <w:keepNext/>
      </w:pPr>
      <w:r>
        <w:t>8. Objectives, Research Questions and Hypotheses</w:t>
      </w:r>
    </w:p>
    <w:p>
      <w:pPr>
        <w:pStyle w:val="Heading2"/>
        <w:keepNext/>
      </w:pPr>
      <w:r>
        <w:t>8.1 Official Objectives</w:t>
      </w:r>
    </w:p>
    <w:p>
      <w:pPr>
        <w:spacing w:after="60"/>
        <w:ind w:left="403" w:hanging="317"/>
      </w:pPr>
      <w:r>
        <w:rPr>
          <w:b/>
        </w:rPr>
        <w:t xml:space="preserve">1. </w:t>
      </w:r>
      <w:r>
        <w:t>To implement and comparatively evaluate representative approximate machine-unlearning techniques on a standard deep-learning benchmark.</w:t>
      </w:r>
    </w:p>
    <w:p>
      <w:pPr>
        <w:spacing w:after="60"/>
        <w:ind w:left="403" w:hanging="317"/>
      </w:pPr>
      <w:r>
        <w:rPr>
          <w:b/>
        </w:rPr>
        <w:t xml:space="preserve">2. </w:t>
      </w:r>
      <w:r>
        <w:t>To develop a reproducible multi-level audit pipeline covering behavioral performance, retraining similarity, membership privacy, representation changes and relearning behavior.</w:t>
      </w:r>
    </w:p>
    <w:p>
      <w:pPr>
        <w:spacing w:after="60"/>
        <w:ind w:left="403" w:hanging="317"/>
      </w:pPr>
      <w:r>
        <w:rPr>
          <w:b/>
        </w:rPr>
        <w:t xml:space="preserve">3. </w:t>
      </w:r>
      <w:r>
        <w:t>To quantitatively study whether different auditing techniques agree or disagree when ranking machine-unlearning algorithms.</w:t>
      </w:r>
    </w:p>
    <w:p>
      <w:pPr>
        <w:spacing w:after="60"/>
        <w:ind w:left="403" w:hanging="317"/>
      </w:pPr>
      <w:r>
        <w:rPr>
          <w:b/>
        </w:rPr>
        <w:t xml:space="preserve">4. </w:t>
      </w:r>
      <w:r>
        <w:t>To investigate whether audit conclusions change when the forget set consists of randomly selected examples versus high-influence/high-memorization training examples.</w:t>
      </w:r>
    </w:p>
    <w:p>
      <w:pPr>
        <w:spacing w:after="60"/>
        <w:ind w:left="403" w:hanging="317"/>
      </w:pPr>
      <w:r>
        <w:rPr>
          <w:b/>
        </w:rPr>
        <w:t xml:space="preserve">5. </w:t>
      </w:r>
      <w:r>
        <w:t>To analyze the trade-off between forgetting effectiveness, retained model utility, privacy, computational cost and reversibility.</w:t>
      </w:r>
    </w:p>
    <w:p>
      <w:pPr>
        <w:pStyle w:val="Heading2"/>
        <w:keepNext/>
      </w:pPr>
      <w:r>
        <w:t>8.2 Research Questions</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936"/>
            <w:shd w:fill="17324D"/>
            <w:vAlign w:val="center"/>
          </w:tcPr>
          <w:p>
            <w:pPr>
              <w:keepNext/>
            </w:pPr>
            <w:r>
              <w:rPr>
                <w:rFonts w:ascii="Times New Roman" w:hAnsi="Times New Roman"/>
                <w:b/>
                <w:color w:val="FFFFFF"/>
                <w:sz w:val="19"/>
              </w:rPr>
              <w:t>ID</w:t>
            </w:r>
          </w:p>
        </w:tc>
        <w:tc>
          <w:tcPr>
            <w:tcW w:type="dxa" w:w="8280"/>
            <w:shd w:fill="17324D"/>
            <w:vAlign w:val="center"/>
          </w:tcPr>
          <w:p>
            <w:pPr>
              <w:keepNext/>
            </w:pPr>
            <w:r>
              <w:rPr>
                <w:rFonts w:ascii="Times New Roman" w:hAnsi="Times New Roman"/>
                <w:b/>
                <w:color w:val="FFFFFF"/>
                <w:sz w:val="19"/>
              </w:rPr>
              <w:t>Research Question</w:t>
            </w:r>
          </w:p>
        </w:tc>
      </w:tr>
      <w:tr>
        <w:trPr>
          <w:cantSplit/>
        </w:trPr>
        <w:tc>
          <w:tcPr>
            <w:tcW w:type="dxa" w:w="936"/>
            <w:vAlign w:val="top"/>
          </w:tcPr>
          <w:p>
            <w:pPr>
              <w:spacing w:after="40"/>
            </w:pPr>
            <w:r>
              <w:rPr>
                <w:rFonts w:ascii="Times New Roman" w:hAnsi="Times New Roman"/>
                <w:sz w:val="19"/>
              </w:rPr>
              <w:t>RQ1</w:t>
            </w:r>
          </w:p>
        </w:tc>
        <w:tc>
          <w:tcPr>
            <w:tcW w:type="dxa" w:w="8280"/>
            <w:vAlign w:val="top"/>
          </w:tcPr>
          <w:p>
            <w:pPr>
              <w:spacing w:after="40"/>
            </w:pPr>
            <w:r>
              <w:rPr>
                <w:rFonts w:ascii="Times New Roman" w:hAnsi="Times New Roman"/>
                <w:sz w:val="19"/>
              </w:rPr>
              <w:t>How closely do approximate unlearning methods reproduce the behavior of a model retrained from scratch without the forgotten data?</w:t>
            </w:r>
          </w:p>
        </w:tc>
      </w:tr>
      <w:tr>
        <w:trPr>
          <w:cantSplit/>
        </w:trPr>
        <w:tc>
          <w:tcPr>
            <w:tcW w:type="dxa" w:w="936"/>
            <w:vAlign w:val="top"/>
            <w:shd w:fill="F5F7F9"/>
          </w:tcPr>
          <w:p>
            <w:pPr>
              <w:spacing w:after="40"/>
            </w:pPr>
            <w:r>
              <w:rPr>
                <w:rFonts w:ascii="Times New Roman" w:hAnsi="Times New Roman"/>
                <w:sz w:val="19"/>
              </w:rPr>
              <w:t>RQ2</w:t>
            </w:r>
          </w:p>
        </w:tc>
        <w:tc>
          <w:tcPr>
            <w:tcW w:type="dxa" w:w="8280"/>
            <w:vAlign w:val="top"/>
            <w:shd w:fill="F5F7F9"/>
          </w:tcPr>
          <w:p>
            <w:pPr>
              <w:spacing w:after="40"/>
            </w:pPr>
            <w:r>
              <w:rPr>
                <w:rFonts w:ascii="Times New Roman" w:hAnsi="Times New Roman"/>
                <w:sz w:val="19"/>
              </w:rPr>
              <w:t>Do behavioral metrics and membership-inference metrics reach the same conclusions regarding successful unlearning — and do two membership-inference attacks of different strength reach the same conclusion as each other?</w:t>
            </w:r>
          </w:p>
        </w:tc>
      </w:tr>
      <w:tr>
        <w:trPr>
          <w:cantSplit/>
        </w:trPr>
        <w:tc>
          <w:tcPr>
            <w:tcW w:type="dxa" w:w="936"/>
            <w:vAlign w:val="top"/>
          </w:tcPr>
          <w:p>
            <w:pPr>
              <w:spacing w:after="40"/>
            </w:pPr>
            <w:r>
              <w:rPr>
                <w:rFonts w:ascii="Times New Roman" w:hAnsi="Times New Roman"/>
                <w:sz w:val="19"/>
              </w:rPr>
              <w:t>RQ3</w:t>
            </w:r>
          </w:p>
        </w:tc>
        <w:tc>
          <w:tcPr>
            <w:tcW w:type="dxa" w:w="8280"/>
            <w:vAlign w:val="top"/>
          </w:tcPr>
          <w:p>
            <w:pPr>
              <w:spacing w:after="40"/>
            </w:pPr>
            <w:r>
              <w:rPr>
                <w:rFonts w:ascii="Times New Roman" w:hAnsi="Times New Roman"/>
                <w:sz w:val="19"/>
              </w:rPr>
              <w:t>Can an apparently successful unlearned model remain more similar internally to the original model than to the retrained oracle?</w:t>
            </w:r>
          </w:p>
        </w:tc>
      </w:tr>
      <w:tr>
        <w:trPr>
          <w:cantSplit/>
        </w:trPr>
        <w:tc>
          <w:tcPr>
            <w:tcW w:type="dxa" w:w="936"/>
            <w:vAlign w:val="top"/>
            <w:shd w:fill="F5F7F9"/>
          </w:tcPr>
          <w:p>
            <w:pPr>
              <w:spacing w:after="40"/>
            </w:pPr>
            <w:r>
              <w:rPr>
                <w:rFonts w:ascii="Times New Roman" w:hAnsi="Times New Roman"/>
                <w:sz w:val="19"/>
              </w:rPr>
              <w:t>RQ4</w:t>
            </w:r>
          </w:p>
        </w:tc>
        <w:tc>
          <w:tcPr>
            <w:tcW w:type="dxa" w:w="8280"/>
            <w:vAlign w:val="top"/>
            <w:shd w:fill="F5F7F9"/>
          </w:tcPr>
          <w:p>
            <w:pPr>
              <w:spacing w:after="40"/>
            </w:pPr>
            <w:r>
              <w:rPr>
                <w:rFonts w:ascii="Times New Roman" w:hAnsi="Times New Roman"/>
                <w:sz w:val="19"/>
              </w:rPr>
              <w:t>Does rapid relearning reveal residual structure not captured by conventional behavioral or privacy metrics?</w:t>
            </w:r>
          </w:p>
        </w:tc>
      </w:tr>
      <w:tr>
        <w:trPr>
          <w:cantSplit/>
        </w:trPr>
        <w:tc>
          <w:tcPr>
            <w:tcW w:type="dxa" w:w="936"/>
            <w:vAlign w:val="top"/>
          </w:tcPr>
          <w:p>
            <w:pPr>
              <w:spacing w:after="40"/>
            </w:pPr>
            <w:r>
              <w:rPr>
                <w:rFonts w:ascii="Times New Roman" w:hAnsi="Times New Roman"/>
                <w:sz w:val="19"/>
              </w:rPr>
              <w:t>RQ5</w:t>
            </w:r>
          </w:p>
        </w:tc>
        <w:tc>
          <w:tcPr>
            <w:tcW w:type="dxa" w:w="8280"/>
            <w:vAlign w:val="top"/>
          </w:tcPr>
          <w:p>
            <w:pPr>
              <w:spacing w:after="40"/>
            </w:pPr>
            <w:r>
              <w:rPr>
                <w:rFonts w:ascii="Times New Roman" w:hAnsi="Times New Roman"/>
                <w:sz w:val="19"/>
              </w:rPr>
              <w:t>Does audit disagreement become greater for high-memorization / influential forget sets than for randomly selected forget sets?</w:t>
            </w:r>
          </w:p>
        </w:tc>
      </w:tr>
      <w:tr>
        <w:trPr>
          <w:cantSplit/>
        </w:trPr>
        <w:tc>
          <w:tcPr>
            <w:tcW w:type="dxa" w:w="936"/>
            <w:vAlign w:val="top"/>
          </w:tcPr>
          <w:p>
            <w:pPr>
              <w:spacing w:after="40"/>
            </w:pPr>
            <w:r>
              <w:rPr>
                <w:rFonts w:ascii="Times New Roman" w:hAnsi="Times New Roman"/>
                <w:sz w:val="19"/>
              </w:rPr>
              <w:t>RQ6</w:t>
            </w:r>
          </w:p>
        </w:tc>
        <w:tc>
          <w:tcPr>
            <w:tcW w:type="dxa" w:w="8280"/>
            <w:vAlign w:val="top"/>
          </w:tcPr>
          <w:p>
            <w:pPr>
              <w:spacing w:after="40"/>
            </w:pPr>
            <w:r>
              <w:rPr>
                <w:rFonts w:ascii="Times New Roman" w:hAnsi="Times New Roman"/>
                <w:sz w:val="19"/>
              </w:rPr>
              <w:t>Which audit families produce correct verdicts, judged by their false-positive rate against independently retrained oracles and by their accuracy on a canary condition where residual influence is known by construction?</w:t>
            </w:r>
          </w:p>
        </w:tc>
      </w:tr>
    </w:tbl>
    <w:p>
      <w:pPr>
        <w:spacing w:after="20"/>
      </w:pPr>
    </w:p>
    <w:p>
      <w:pPr>
        <w:pStyle w:val="Heading2"/>
        <w:keepNext/>
      </w:pPr>
      <w:r>
        <w:t>8.3 Working Hypotheses</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936"/>
            <w:shd w:fill="17324D"/>
            <w:vAlign w:val="center"/>
          </w:tcPr>
          <w:p>
            <w:pPr>
              <w:keepNext/>
            </w:pPr>
            <w:r>
              <w:rPr>
                <w:rFonts w:ascii="Times New Roman" w:hAnsi="Times New Roman"/>
                <w:b/>
                <w:color w:val="FFFFFF"/>
                <w:sz w:val="19"/>
              </w:rPr>
              <w:t>ID</w:t>
            </w:r>
          </w:p>
        </w:tc>
        <w:tc>
          <w:tcPr>
            <w:tcW w:type="dxa" w:w="8280"/>
            <w:shd w:fill="17324D"/>
            <w:vAlign w:val="center"/>
          </w:tcPr>
          <w:p>
            <w:pPr>
              <w:keepNext/>
            </w:pPr>
            <w:r>
              <w:rPr>
                <w:rFonts w:ascii="Times New Roman" w:hAnsi="Times New Roman"/>
                <w:b/>
                <w:color w:val="FFFFFF"/>
                <w:sz w:val="19"/>
              </w:rPr>
              <w:t>Hypothesis</w:t>
            </w:r>
          </w:p>
        </w:tc>
      </w:tr>
      <w:tr>
        <w:trPr>
          <w:cantSplit/>
        </w:trPr>
        <w:tc>
          <w:tcPr>
            <w:tcW w:type="dxa" w:w="936"/>
            <w:vAlign w:val="top"/>
          </w:tcPr>
          <w:p>
            <w:pPr>
              <w:spacing w:after="40"/>
            </w:pPr>
            <w:r>
              <w:rPr>
                <w:rFonts w:ascii="Times New Roman" w:hAnsi="Times New Roman"/>
                <w:sz w:val="19"/>
              </w:rPr>
              <w:t>H1</w:t>
            </w:r>
          </w:p>
        </w:tc>
        <w:tc>
          <w:tcPr>
            <w:tcW w:type="dxa" w:w="8280"/>
            <w:vAlign w:val="top"/>
          </w:tcPr>
          <w:p>
            <w:pPr>
              <w:spacing w:after="40"/>
            </w:pPr>
            <w:r>
              <w:rPr>
                <w:rFonts w:ascii="Times New Roman" w:hAnsi="Times New Roman"/>
                <w:sz w:val="19"/>
              </w:rPr>
              <w:t>Replication target, not a novel prediction. Approximate unlearning algorithms that perform well under output-level evaluation will remain distinguishable from full retraining under representation-level analysis. This has been established independently by [22] and [23]; ForgetCheck predicts the effect will be larger for high-memorization forget sets than for random ones.</w:t>
            </w:r>
          </w:p>
        </w:tc>
      </w:tr>
      <w:tr>
        <w:trPr>
          <w:cantSplit/>
        </w:trPr>
        <w:tc>
          <w:tcPr>
            <w:tcW w:type="dxa" w:w="936"/>
            <w:vAlign w:val="top"/>
            <w:shd w:fill="F5F7F9"/>
          </w:tcPr>
          <w:p>
            <w:pPr>
              <w:spacing w:after="40"/>
            </w:pPr>
            <w:r>
              <w:rPr>
                <w:rFonts w:ascii="Times New Roman" w:hAnsi="Times New Roman"/>
                <w:sz w:val="19"/>
              </w:rPr>
              <w:t>H2</w:t>
            </w:r>
          </w:p>
        </w:tc>
        <w:tc>
          <w:tcPr>
            <w:tcW w:type="dxa" w:w="8280"/>
            <w:vAlign w:val="top"/>
            <w:shd w:fill="F5F7F9"/>
          </w:tcPr>
          <w:p>
            <w:pPr>
              <w:spacing w:after="40"/>
            </w:pPr>
            <w:r>
              <w:rPr>
                <w:rFonts w:ascii="Times New Roman" w:hAnsi="Times New Roman"/>
                <w:sz w:val="19"/>
              </w:rPr>
              <w:t>H2a (between families): membership-inference success and behavioral similarity will not always rank unlearning algorithms identically. H2b (within the privacy family): a population membership-inference attack and a per-example attack will not always rank them identically either, and the population attack will systematically rank methods as more private [21].</w:t>
            </w:r>
          </w:p>
        </w:tc>
      </w:tr>
      <w:tr>
        <w:trPr>
          <w:cantSplit/>
        </w:trPr>
        <w:tc>
          <w:tcPr>
            <w:tcW w:type="dxa" w:w="936"/>
            <w:vAlign w:val="top"/>
          </w:tcPr>
          <w:p>
            <w:pPr>
              <w:spacing w:after="40"/>
            </w:pPr>
            <w:r>
              <w:rPr>
                <w:rFonts w:ascii="Times New Roman" w:hAnsi="Times New Roman"/>
                <w:sz w:val="19"/>
              </w:rPr>
              <w:t>H3</w:t>
            </w:r>
          </w:p>
        </w:tc>
        <w:tc>
          <w:tcPr>
            <w:tcW w:type="dxa" w:w="8280"/>
            <w:vAlign w:val="top"/>
          </w:tcPr>
          <w:p>
            <w:pPr>
              <w:spacing w:after="40"/>
            </w:pPr>
            <w:r>
              <w:rPr>
                <w:rFonts w:ascii="Times New Roman" w:hAnsi="Times New Roman"/>
                <w:sz w:val="19"/>
              </w:rPr>
              <w:t>Models retaining representations closer to the original model may exhibit faster relearning than models whose representations more closely resemble the retrained oracle.</w:t>
            </w:r>
          </w:p>
        </w:tc>
      </w:tr>
      <w:tr>
        <w:trPr>
          <w:cantSplit/>
        </w:trPr>
        <w:tc>
          <w:tcPr>
            <w:tcW w:type="dxa" w:w="936"/>
            <w:vAlign w:val="top"/>
            <w:shd w:fill="F5F7F9"/>
          </w:tcPr>
          <w:p>
            <w:pPr>
              <w:spacing w:after="40"/>
            </w:pPr>
            <w:r>
              <w:rPr>
                <w:rFonts w:ascii="Times New Roman" w:hAnsi="Times New Roman"/>
                <w:sz w:val="19"/>
              </w:rPr>
              <w:t>H4</w:t>
            </w:r>
          </w:p>
        </w:tc>
        <w:tc>
          <w:tcPr>
            <w:tcW w:type="dxa" w:w="8280"/>
            <w:vAlign w:val="top"/>
            <w:shd w:fill="F5F7F9"/>
          </w:tcPr>
          <w:p>
            <w:pPr>
              <w:spacing w:after="40"/>
            </w:pPr>
            <w:r>
              <w:rPr>
                <w:rFonts w:ascii="Times New Roman" w:hAnsi="Times New Roman"/>
                <w:sz w:val="19"/>
              </w:rPr>
              <w:t>High-memorization forget sets will reveal larger differences among unlearning algorithms, and greater disagreement among audit families, than equally sized low-memorization or randomly selected forget sets. Low-memorization forget sets are expected to show little of either, and serve as a designed negative control.</w:t>
            </w:r>
          </w:p>
        </w:tc>
      </w:tr>
      <w:tr>
        <w:trPr>
          <w:cantSplit/>
        </w:trPr>
        <w:tc>
          <w:tcPr>
            <w:tcW w:type="dxa" w:w="936"/>
            <w:vAlign w:val="top"/>
            <w:shd w:fill="F5F7F9"/>
          </w:tcPr>
          <w:p>
            <w:pPr>
              <w:spacing w:after="40"/>
            </w:pPr>
            <w:r>
              <w:rPr>
                <w:rFonts w:ascii="Times New Roman" w:hAnsi="Times New Roman"/>
                <w:sz w:val="19"/>
              </w:rPr>
              <w:t>H5</w:t>
            </w:r>
          </w:p>
        </w:tc>
        <w:tc>
          <w:tcPr>
            <w:tcW w:type="dxa" w:w="8280"/>
            <w:vAlign w:val="top"/>
            <w:shd w:fill="F5F7F9"/>
          </w:tcPr>
          <w:p>
            <w:pPr>
              <w:spacing w:after="40"/>
            </w:pPr>
            <w:r>
              <w:rPr>
                <w:rFonts w:ascii="Times New Roman" w:hAnsi="Times New Roman"/>
                <w:sz w:val="19"/>
              </w:rPr>
              <w:t>Audit families will differ in validity, not merely in verdict. At least one audit family is expected to flag an independently retrained oracle as insufficiently forgotten, which would indicate a false-positive problem in that audit rather than a failure of retraining.</w:t>
            </w:r>
          </w:p>
        </w:tc>
      </w:tr>
    </w:tbl>
    <w:p>
      <w:pPr>
        <w:spacing w:after="20"/>
      </w:pPr>
    </w:p>
    <w:tbl>
      <w:tblPr>
        <w:tblStyle w:val="TableGrid"/>
        <w:tblW w:type="auto" w:w="0"/>
        <w:jc w:val="center"/>
        <w:tblLook w:firstColumn="1" w:firstRow="1" w:lastColumn="0" w:lastRow="0" w:noHBand="0" w:noVBand="1" w:val="04A0"/>
      </w:tblPr>
      <w:tblGrid>
        <w:gridCol w:w="9242"/>
      </w:tblGrid>
      <w:tr>
        <w:trPr>
          <w:cantSplit/>
        </w:trPr>
        <w:tc>
          <w:tcPr>
            <w:tcW w:type="dxa" w:w="9242"/>
            <w:shd w:fill="FFF4D6"/>
          </w:tcPr>
          <w:p>
            <w:pPr>
              <w:spacing w:after="60"/>
            </w:pPr>
            <w:r>
              <w:rPr>
                <w:b/>
                <w:color w:val="17324D"/>
                <w:sz w:val="23"/>
              </w:rPr>
              <w:t>Scientific integrity rule</w:t>
            </w:r>
          </w:p>
          <w:p>
            <w:pPr>
              <w:spacing w:after="20"/>
            </w:pPr>
            <w:r>
              <w:rPr>
                <w:sz w:val="21"/>
              </w:rPr>
              <w:t>The hypotheses are testable propositions, not desired outcomes. Agreement across all audits would also be a valid result and could imply that simpler audits are sufficient in the studied small-model setting.</w:t>
            </w:r>
          </w:p>
        </w:tc>
      </w:tr>
    </w:tbl>
    <w:p>
      <w:pPr>
        <w:spacing w:after="20"/>
      </w:pPr>
    </w:p>
    <w:p>
      <w:pPr>
        <w:pStyle w:val="Heading2"/>
        <w:keepNext/>
      </w:pPr>
      <w:r>
        <w:t xml:space="preserve">8.4 Outcomes (October 2026)</w:t>
      </w:r>
    </w:p>
    <w:p>
      <w:pPr>
        <w:spacing w:after="120"/>
      </w:pPr>
      <w:r>
        <w:rPr>
          <w:i w:val="0"/>
        </w:rPr>
        <w:t xml:space="preserve">The objectives, questions and hypotheses above are unchanged from their registration. Their outcomes on the full study are below; docs/RESULTS.md gives the evidence for each.</w:t>
      </w:r>
    </w:p>
    <w:tbl>
      <w:tblPr>
        <w:tblStyle w:val="TableGrid"/>
        <w:tblW w:type="auto" w:w="0"/>
        <w:jc w:val="center"/>
        <w:tblLook w:firstColumn="1" w:firstRow="1" w:lastColumn="0" w:lastRow="0" w:noHBand="0" w:noVBand="1" w:val="04A0"/>
      </w:tblPr>
      <w:tblGrid>
        <w:gridCol w:w="792"/>
        <w:gridCol w:w="3456"/>
        <w:gridCol w:w="5112"/>
      </w:tblGrid>
      <w:tr>
        <w:trPr>
          <w:tblHeader w:val="true"/>
          <w:cantSplit/>
        </w:trPr>
        <w:tc>
          <w:tcPr>
            <w:tcW w:type="dxa" w:w="792"/>
            <w:shd w:fill="17324D"/>
            <w:vAlign w:val="center"/>
          </w:tcPr>
          <w:p>
            <w:pPr>
              <w:keepNext/>
            </w:pPr>
            <w:r>
              <w:rPr>
                <w:rFonts w:ascii="Times New Roman" w:hAnsi="Times New Roman"/>
                <w:b/>
                <w:color w:val="FFFFFF"/>
                <w:sz w:val="18"/>
              </w:rPr>
              <w:t xml:space="preserve">ID</w:t>
            </w:r>
          </w:p>
        </w:tc>
        <w:tc>
          <w:tcPr>
            <w:tcW w:type="dxa" w:w="3456"/>
            <w:shd w:fill="17324D"/>
            <w:vAlign w:val="center"/>
          </w:tcPr>
          <w:p>
            <w:pPr>
              <w:keepNext/>
            </w:pPr>
            <w:r>
              <w:rPr>
                <w:rFonts w:ascii="Times New Roman" w:hAnsi="Times New Roman"/>
                <w:b/>
                <w:color w:val="FFFFFF"/>
                <w:sz w:val="18"/>
              </w:rPr>
              <w:t xml:space="preserve">Outcome</w:t>
            </w:r>
          </w:p>
        </w:tc>
        <w:tc>
          <w:tcPr>
            <w:tcW w:type="dxa" w:w="5112"/>
            <w:shd w:fill="17324D"/>
            <w:vAlign w:val="center"/>
          </w:tcPr>
          <w:p>
            <w:pPr>
              <w:keepNext/>
            </w:pPr>
            <w:r>
              <w:rPr>
                <w:rFonts w:ascii="Times New Roman" w:hAnsi="Times New Roman"/>
                <w:b/>
                <w:color w:val="FFFFFF"/>
                <w:sz w:val="18"/>
              </w:rPr>
              <w:t xml:space="preserve">Key evidence</w:t>
            </w:r>
          </w:p>
        </w:tc>
      </w:tr>
      <w:tr>
        <w:trPr>
          <w:cantSplit/>
        </w:trPr>
        <w:tc>
          <w:tcPr>
            <w:tcW w:type="dxa" w:w="792"/>
            <w:vAlign w:val="top"/>
          </w:tcPr>
          <w:p>
            <w:pPr>
              <w:spacing w:after="40"/>
            </w:pPr>
            <w:r>
              <w:rPr>
                <w:rFonts w:ascii="Times New Roman" w:hAnsi="Times New Roman"/>
                <w:sz w:val="18"/>
              </w:rPr>
              <w:t xml:space="preserve">RQ1</w:t>
            </w:r>
          </w:p>
        </w:tc>
        <w:tc>
          <w:tcPr>
            <w:tcW w:type="dxa" w:w="3456"/>
            <w:vAlign w:val="top"/>
          </w:tcPr>
          <w:p>
            <w:pPr>
              <w:spacing w:after="40"/>
            </w:pPr>
            <w:r>
              <w:rPr>
                <w:rFonts w:ascii="Times New Roman" w:hAnsi="Times New Roman"/>
                <w:sz w:val="18"/>
              </w:rPr>
              <w:t xml:space="preserve">Not closely, on any calibrated audit.</w:t>
            </w:r>
          </w:p>
        </w:tc>
        <w:tc>
          <w:tcPr>
            <w:tcW w:type="dxa" w:w="5112"/>
            <w:vAlign w:val="top"/>
          </w:tcPr>
          <w:p>
            <w:pPr>
              <w:spacing w:after="40"/>
            </w:pPr>
            <w:r>
              <w:rPr>
                <w:rFonts w:ascii="Times New Roman" w:hAnsi="Times New Roman"/>
                <w:sz w:val="18"/>
              </w:rPr>
              <w:t xml:space="preserve">Representation and relearning flag every healthy unlearned model as unlike every retrain; behavior flags all of them except at mem-low (77%); privacy 84–100% (mem-med 52–60%). On representation, 88–100% of models end farther from the retrains than the original model at mem-med and the random sets.</w:t>
            </w:r>
          </w:p>
        </w:tc>
      </w:tr>
      <w:tr>
        <w:trPr>
          <w:cantSplit/>
        </w:trPr>
        <w:tc>
          <w:tcPr>
            <w:tcW w:type="dxa" w:w="792"/>
            <w:vAlign w:val="top"/>
            <w:shd w:fill="F5F7F9"/>
          </w:tcPr>
          <w:p>
            <w:pPr>
              <w:spacing w:after="40"/>
            </w:pPr>
            <w:r>
              <w:rPr>
                <w:rFonts w:ascii="Times New Roman" w:hAnsi="Times New Roman"/>
                <w:sz w:val="18"/>
              </w:rPr>
              <w:t xml:space="preserve">RQ2</w:t>
            </w:r>
          </w:p>
        </w:tc>
        <w:tc>
          <w:tcPr>
            <w:tcW w:type="dxa" w:w="3456"/>
            <w:vAlign w:val="top"/>
            <w:shd w:fill="F5F7F9"/>
          </w:tcPr>
          <w:p>
            <w:pPr>
              <w:spacing w:after="40"/>
            </w:pPr>
            <w:r>
              <w:rPr>
                <w:rFonts w:ascii="Times New Roman" w:hAnsi="Times New Roman"/>
                <w:sz w:val="18"/>
              </w:rPr>
              <w:t xml:space="preserve">Partly, and only where memorization is high.</w:t>
            </w:r>
          </w:p>
        </w:tc>
        <w:tc>
          <w:tcPr>
            <w:tcW w:type="dxa" w:w="5112"/>
            <w:vAlign w:val="top"/>
            <w:shd w:fill="F5F7F9"/>
          </w:tcPr>
          <w:p>
            <w:pPr>
              <w:spacing w:after="40"/>
            </w:pPr>
            <w:r>
              <w:rPr>
                <w:rFonts w:ascii="Times New Roman" w:hAnsi="Times New Roman"/>
                <w:sz w:val="18"/>
              </w:rPr>
              <w:t xml:space="preserve">Within-condition Kendall τ: behavior vs population attack +0.28, vs RMIA +0.18; +0.74 and +0.75 at mem-high; −0.36 (behavior vs RMIA) at mem-med.</w:t>
            </w:r>
          </w:p>
        </w:tc>
      </w:tr>
      <w:tr>
        <w:trPr>
          <w:cantSplit/>
        </w:trPr>
        <w:tc>
          <w:tcPr>
            <w:tcW w:type="dxa" w:w="792"/>
            <w:vAlign w:val="top"/>
          </w:tcPr>
          <w:p>
            <w:pPr>
              <w:spacing w:after="40"/>
            </w:pPr>
            <w:r>
              <w:rPr>
                <w:rFonts w:ascii="Times New Roman" w:hAnsi="Times New Roman"/>
                <w:sz w:val="18"/>
              </w:rPr>
              <w:t xml:space="preserve">RQ3</w:t>
            </w:r>
          </w:p>
        </w:tc>
        <w:tc>
          <w:tcPr>
            <w:tcW w:type="dxa" w:w="3456"/>
            <w:vAlign w:val="top"/>
          </w:tcPr>
          <w:p>
            <w:pPr>
              <w:spacing w:after="40"/>
            </w:pPr>
            <w:r>
              <w:rPr>
                <w:rFonts w:ascii="Times New Roman" w:hAnsi="Times New Roman"/>
                <w:sz w:val="18"/>
              </w:rPr>
              <w:t xml:space="preserve">Yes.</w:t>
            </w:r>
          </w:p>
        </w:tc>
        <w:tc>
          <w:tcPr>
            <w:tcW w:type="dxa" w:w="5112"/>
            <w:vAlign w:val="top"/>
          </w:tcPr>
          <w:p>
            <w:pPr>
              <w:spacing w:after="40"/>
            </w:pPr>
            <w:r>
              <w:rPr>
                <w:rFonts w:ascii="Times New Roman" w:hAnsi="Times New Roman"/>
                <w:sz w:val="18"/>
              </w:rPr>
              <w:t xml:space="preserve">Of the 21 models behaviorally nearer a retrain than the original, 12 are representationally nearer the original (canary 7 of 16; mem-high 5 of 5).</w:t>
            </w:r>
          </w:p>
        </w:tc>
      </w:tr>
      <w:tr>
        <w:trPr>
          <w:cantSplit/>
        </w:trPr>
        <w:tc>
          <w:tcPr>
            <w:tcW w:type="dxa" w:w="792"/>
            <w:vAlign w:val="top"/>
            <w:shd w:fill="F5F7F9"/>
          </w:tcPr>
          <w:p>
            <w:pPr>
              <w:spacing w:after="40"/>
            </w:pPr>
            <w:r>
              <w:rPr>
                <w:rFonts w:ascii="Times New Roman" w:hAnsi="Times New Roman"/>
                <w:sz w:val="18"/>
              </w:rPr>
              <w:t xml:space="preserve">RQ4</w:t>
            </w:r>
          </w:p>
        </w:tc>
        <w:tc>
          <w:tcPr>
            <w:tcW w:type="dxa" w:w="3456"/>
            <w:vAlign w:val="top"/>
            <w:shd w:fill="F5F7F9"/>
          </w:tcPr>
          <w:p>
            <w:pPr>
              <w:spacing w:after="40"/>
            </w:pPr>
            <w:r>
              <w:rPr>
                <w:rFonts w:ascii="Times New Roman" w:hAnsi="Times New Roman"/>
                <w:sz w:val="18"/>
              </w:rPr>
              <w:t xml:space="preserve">Yes, concentrated in SalUn; elsewhere relearning mostly repeats plain forget accuracy.</w:t>
            </w:r>
          </w:p>
        </w:tc>
        <w:tc>
          <w:tcPr>
            <w:tcW w:type="dxa" w:w="5112"/>
            <w:vAlign w:val="top"/>
            <w:shd w:fill="F5F7F9"/>
          </w:tcPr>
          <w:p>
            <w:pPr>
              <w:spacing w:after="40"/>
            </w:pPr>
            <w:r>
              <w:rPr>
                <w:rFonts w:ascii="Times New Roman" w:hAnsi="Times New Roman"/>
                <w:sz w:val="18"/>
              </w:rPr>
              <w:t xml:space="preserve">Of 60 models RMIA rates retrain-like, 38 relearn like the original (SalUn 25 of 28). Relearning flags nothing beyond starting accuracy at 6 of 8 conditions.</w:t>
            </w:r>
          </w:p>
        </w:tc>
      </w:tr>
      <w:tr>
        <w:trPr>
          <w:cantSplit/>
        </w:trPr>
        <w:tc>
          <w:tcPr>
            <w:tcW w:type="dxa" w:w="792"/>
            <w:vAlign w:val="top"/>
          </w:tcPr>
          <w:p>
            <w:pPr>
              <w:spacing w:after="40"/>
            </w:pPr>
            <w:r>
              <w:rPr>
                <w:rFonts w:ascii="Times New Roman" w:hAnsi="Times New Roman"/>
                <w:sz w:val="18"/>
              </w:rPr>
              <w:t xml:space="preserve">RQ5</w:t>
            </w:r>
          </w:p>
        </w:tc>
        <w:tc>
          <w:tcPr>
            <w:tcW w:type="dxa" w:w="3456"/>
            <w:vAlign w:val="top"/>
          </w:tcPr>
          <w:p>
            <w:pPr>
              <w:spacing w:after="40"/>
            </w:pPr>
            <w:r>
              <w:rPr>
                <w:rFonts w:ascii="Times New Roman" w:hAnsi="Times New Roman"/>
                <w:sz w:val="18"/>
              </w:rPr>
              <w:t xml:space="preserve">Method differences depend on the forget set, but audits disagree least, not most, where memorization is high.</w:t>
            </w:r>
          </w:p>
        </w:tc>
        <w:tc>
          <w:tcPr>
            <w:tcW w:type="dxa" w:w="5112"/>
            <w:vAlign w:val="top"/>
          </w:tcPr>
          <w:p>
            <w:pPr>
              <w:spacing w:after="40"/>
            </w:pPr>
            <w:r>
              <w:rPr>
                <w:rFonts w:ascii="Times New Roman" w:hAnsi="Times New Roman"/>
                <w:sz w:val="18"/>
              </w:rPr>
              <w:t xml:space="preserve">Method × condition interaction p ≤ 0.002 for every primary audit. Mean agreement τ +0.38 at mem-high, +0.36 at the canary, +0.01 at mem-med.</w:t>
            </w:r>
          </w:p>
        </w:tc>
      </w:tr>
      <w:tr>
        <w:trPr>
          <w:cantSplit/>
        </w:trPr>
        <w:tc>
          <w:tcPr>
            <w:tcW w:type="dxa" w:w="792"/>
            <w:vAlign w:val="top"/>
            <w:shd w:fill="F5F7F9"/>
          </w:tcPr>
          <w:p>
            <w:pPr>
              <w:spacing w:after="40"/>
            </w:pPr>
            <w:r>
              <w:rPr>
                <w:rFonts w:ascii="Times New Roman" w:hAnsi="Times New Roman"/>
                <w:sz w:val="18"/>
              </w:rPr>
              <w:t xml:space="preserve">RQ6</w:t>
            </w:r>
          </w:p>
        </w:tc>
        <w:tc>
          <w:tcPr>
            <w:tcW w:type="dxa" w:w="3456"/>
            <w:vAlign w:val="top"/>
            <w:shd w:fill="F5F7F9"/>
          </w:tcPr>
          <w:p>
            <w:pPr>
              <w:spacing w:after="40"/>
            </w:pPr>
            <w:r>
              <w:rPr>
                <w:rFonts w:ascii="Times New Roman" w:hAnsi="Times New Roman"/>
                <w:sz w:val="18"/>
              </w:rPr>
              <w:t xml:space="preserve">Calibrated against retrains and read with a utility guard, nearly every audit is valid; used by their own rules, the retrain-free audits are not.</w:t>
            </w:r>
          </w:p>
        </w:tc>
        <w:tc>
          <w:tcPr>
            <w:tcW w:type="dxa" w:w="5112"/>
            <w:vAlign w:val="top"/>
            <w:shd w:fill="F5F7F9"/>
          </w:tcPr>
          <w:p>
            <w:pPr>
              <w:spacing w:after="40"/>
            </w:pPr>
            <w:r>
              <w:rPr>
                <w:rFonts w:ascii="Times New Roman" w:hAnsi="Times New Roman"/>
                <w:sz w:val="18"/>
              </w:rPr>
              <w:t xml:space="preserve">Native rules flag up to 17 of 17 retrains (population attack, mem-high); calibrated false-positive rate 2.4% (14/595) and 4.2% (11/260); 23 of 39 canary readings at balanced accuracy 1.00; RMIA tracks canary memory best (τ +0.75).</w:t>
            </w:r>
          </w:p>
        </w:tc>
      </w:tr>
      <w:tr>
        <w:trPr>
          <w:cantSplit/>
        </w:trPr>
        <w:tc>
          <w:tcPr>
            <w:tcW w:type="dxa" w:w="792"/>
            <w:vAlign w:val="top"/>
          </w:tcPr>
          <w:p>
            <w:pPr>
              <w:spacing w:after="40"/>
            </w:pPr>
            <w:r>
              <w:rPr>
                <w:rFonts w:ascii="Times New Roman" w:hAnsi="Times New Roman"/>
                <w:sz w:val="18"/>
              </w:rPr>
              <w:t xml:space="preserve">H1</w:t>
            </w:r>
          </w:p>
        </w:tc>
        <w:tc>
          <w:tcPr>
            <w:tcW w:type="dxa" w:w="3456"/>
            <w:vAlign w:val="top"/>
          </w:tcPr>
          <w:p>
            <w:pPr>
              <w:spacing w:after="40"/>
            </w:pPr>
            <w:r>
              <w:rPr>
                <w:rFonts w:ascii="Times New Roman" w:hAnsi="Times New Roman"/>
                <w:sz w:val="18"/>
              </w:rPr>
              <w:t xml:space="preserve">The replication holds; the predicted larger effect at high memorization does not.</w:t>
            </w:r>
          </w:p>
        </w:tc>
        <w:tc>
          <w:tcPr>
            <w:tcW w:type="dxa" w:w="5112"/>
            <w:vAlign w:val="top"/>
          </w:tcPr>
          <w:p>
            <w:pPr>
              <w:spacing w:after="40"/>
            </w:pPr>
            <w:r>
              <w:rPr>
                <w:rFonts w:ascii="Times New Roman" w:hAnsi="Times New Roman"/>
                <w:sz w:val="18"/>
              </w:rPr>
              <w:t xml:space="preserve">Representation flags every model wherever it is scored; its departures are largest at mem-med and the random sets.</w:t>
            </w:r>
          </w:p>
        </w:tc>
      </w:tr>
      <w:tr>
        <w:trPr>
          <w:cantSplit/>
        </w:trPr>
        <w:tc>
          <w:tcPr>
            <w:tcW w:type="dxa" w:w="792"/>
            <w:vAlign w:val="top"/>
            <w:shd w:fill="F5F7F9"/>
          </w:tcPr>
          <w:p>
            <w:pPr>
              <w:spacing w:after="40"/>
            </w:pPr>
            <w:r>
              <w:rPr>
                <w:rFonts w:ascii="Times New Roman" w:hAnsi="Times New Roman"/>
                <w:sz w:val="18"/>
              </w:rPr>
              <w:t xml:space="preserve">H2a</w:t>
            </w:r>
          </w:p>
        </w:tc>
        <w:tc>
          <w:tcPr>
            <w:tcW w:type="dxa" w:w="3456"/>
            <w:vAlign w:val="top"/>
            <w:shd w:fill="F5F7F9"/>
          </w:tcPr>
          <w:p>
            <w:pPr>
              <w:spacing w:after="40"/>
            </w:pPr>
            <w:r>
              <w:rPr>
                <w:rFonts w:ascii="Times New Roman" w:hAnsi="Times New Roman"/>
                <w:sz w:val="18"/>
              </w:rPr>
              <w:t xml:space="preserve">Supported.</w:t>
            </w:r>
          </w:p>
        </w:tc>
        <w:tc>
          <w:tcPr>
            <w:tcW w:type="dxa" w:w="5112"/>
            <w:vAlign w:val="top"/>
            <w:shd w:fill="F5F7F9"/>
          </w:tcPr>
          <w:p>
            <w:pPr>
              <w:spacing w:after="40"/>
            </w:pPr>
            <w:r>
              <w:rPr>
                <w:rFonts w:ascii="Times New Roman" w:hAnsi="Times New Roman"/>
                <w:sz w:val="18"/>
              </w:rPr>
              <w:t xml:space="preserve">As RQ2.</w:t>
            </w:r>
          </w:p>
        </w:tc>
      </w:tr>
      <w:tr>
        <w:trPr>
          <w:cantSplit/>
        </w:trPr>
        <w:tc>
          <w:tcPr>
            <w:tcW w:type="dxa" w:w="792"/>
            <w:vAlign w:val="top"/>
          </w:tcPr>
          <w:p>
            <w:pPr>
              <w:spacing w:after="40"/>
            </w:pPr>
            <w:r>
              <w:rPr>
                <w:rFonts w:ascii="Times New Roman" w:hAnsi="Times New Roman"/>
                <w:sz w:val="18"/>
              </w:rPr>
              <w:t xml:space="preserve">H2b</w:t>
            </w:r>
          </w:p>
        </w:tc>
        <w:tc>
          <w:tcPr>
            <w:tcW w:type="dxa" w:w="3456"/>
            <w:vAlign w:val="top"/>
          </w:tcPr>
          <w:p>
            <w:pPr>
              <w:spacing w:after="40"/>
            </w:pPr>
            <w:r>
              <w:rPr>
                <w:rFonts w:ascii="Times New Roman" w:hAnsi="Times New Roman"/>
                <w:sz w:val="18"/>
              </w:rPr>
              <w:t xml:space="preserve">The two attacks rank methods differently: supported. “More lenient”: not supported.</w:t>
            </w:r>
          </w:p>
        </w:tc>
        <w:tc>
          <w:tcPr>
            <w:tcW w:type="dxa" w:w="5112"/>
            <w:vAlign w:val="top"/>
          </w:tcPr>
          <w:p>
            <w:pPr>
              <w:spacing w:after="40"/>
            </w:pPr>
            <w:r>
              <w:rPr>
                <w:rFonts w:ascii="Times New Roman" w:hAnsi="Times New Roman"/>
                <w:sz w:val="18"/>
              </w:rPr>
              <w:t xml:space="preserve">τ +0.21 within conditions, −0.30 at mem-med. Verdicts 20 vs 10 (McNemar p = 0.099); on the gap scale the population attack is slightly stricter (+0.17).</w:t>
            </w:r>
          </w:p>
        </w:tc>
      </w:tr>
      <w:tr>
        <w:trPr>
          <w:cantSplit/>
        </w:trPr>
        <w:tc>
          <w:tcPr>
            <w:tcW w:type="dxa" w:w="792"/>
            <w:vAlign w:val="top"/>
            <w:shd w:fill="F5F7F9"/>
          </w:tcPr>
          <w:p>
            <w:pPr>
              <w:spacing w:after="40"/>
            </w:pPr>
            <w:r>
              <w:rPr>
                <w:rFonts w:ascii="Times New Roman" w:hAnsi="Times New Roman"/>
                <w:sz w:val="18"/>
              </w:rPr>
              <w:t xml:space="preserve">H3</w:t>
            </w:r>
          </w:p>
        </w:tc>
        <w:tc>
          <w:tcPr>
            <w:tcW w:type="dxa" w:w="3456"/>
            <w:vAlign w:val="top"/>
            <w:shd w:fill="F5F7F9"/>
          </w:tcPr>
          <w:p>
            <w:pPr>
              <w:spacing w:after="40"/>
            </w:pPr>
            <w:r>
              <w:rPr>
                <w:rFonts w:ascii="Times New Roman" w:hAnsi="Times New Roman"/>
                <w:sz w:val="18"/>
              </w:rPr>
              <w:t xml:space="preserve">Supported, and not by method identity.</w:t>
            </w:r>
          </w:p>
        </w:tc>
        <w:tc>
          <w:tcPr>
            <w:tcW w:type="dxa" w:w="5112"/>
            <w:vAlign w:val="top"/>
            <w:shd w:fill="F5F7F9"/>
          </w:tcPr>
          <w:p>
            <w:pPr>
              <w:spacing w:after="40"/>
            </w:pPr>
            <w:r>
              <w:rPr>
                <w:rFonts w:ascii="Times New Roman" w:hAnsi="Times New Roman"/>
                <w:sz w:val="18"/>
              </w:rPr>
              <w:t xml:space="preserve">Within-condition τ +0.64 between representation-to-original and relearning (signed scale); slope +0.49 [0.42, 0.57] controlling for method and condition.</w:t>
            </w:r>
          </w:p>
        </w:tc>
      </w:tr>
      <w:tr>
        <w:trPr>
          <w:cantSplit/>
        </w:trPr>
        <w:tc>
          <w:tcPr>
            <w:tcW w:type="dxa" w:w="792"/>
            <w:vAlign w:val="top"/>
          </w:tcPr>
          <w:p>
            <w:pPr>
              <w:spacing w:after="40"/>
            </w:pPr>
            <w:r>
              <w:rPr>
                <w:rFonts w:ascii="Times New Roman" w:hAnsi="Times New Roman"/>
                <w:sz w:val="18"/>
              </w:rPr>
              <w:t xml:space="preserve">H4</w:t>
            </w:r>
          </w:p>
        </w:tc>
        <w:tc>
          <w:tcPr>
            <w:tcW w:type="dxa" w:w="3456"/>
            <w:vAlign w:val="top"/>
          </w:tcPr>
          <w:p>
            <w:pPr>
              <w:spacing w:after="40"/>
            </w:pPr>
            <w:r>
              <w:rPr>
                <w:rFonts w:ascii="Times New Roman" w:hAnsi="Times New Roman"/>
                <w:sz w:val="18"/>
              </w:rPr>
              <w:t xml:space="preserve">Not supported.</w:t>
            </w:r>
          </w:p>
        </w:tc>
        <w:tc>
          <w:tcPr>
            <w:tcW w:type="dxa" w:w="5112"/>
            <w:vAlign w:val="top"/>
          </w:tcPr>
          <w:p>
            <w:pPr>
              <w:spacing w:after="40"/>
            </w:pPr>
            <w:r>
              <w:rPr>
                <w:rFonts w:ascii="Times New Roman" w:hAnsi="Times New Roman"/>
                <w:sz w:val="18"/>
              </w:rPr>
              <w:t xml:space="preserve">Methods differ most at mem-low (behavior) and mem-med (RMIA, representation); audit families agree most at the two high-memorization conditions.</w:t>
            </w:r>
          </w:p>
        </w:tc>
      </w:tr>
      <w:tr>
        <w:trPr>
          <w:cantSplit/>
        </w:trPr>
        <w:tc>
          <w:tcPr>
            <w:tcW w:type="dxa" w:w="792"/>
            <w:vAlign w:val="top"/>
            <w:shd w:fill="F5F7F9"/>
          </w:tcPr>
          <w:p>
            <w:pPr>
              <w:spacing w:after="40"/>
            </w:pPr>
            <w:r>
              <w:rPr>
                <w:rFonts w:ascii="Times New Roman" w:hAnsi="Times New Roman"/>
                <w:sz w:val="18"/>
              </w:rPr>
              <w:t xml:space="preserve">H5</w:t>
            </w:r>
          </w:p>
        </w:tc>
        <w:tc>
          <w:tcPr>
            <w:tcW w:type="dxa" w:w="3456"/>
            <w:vAlign w:val="top"/>
            <w:shd w:fill="F5F7F9"/>
          </w:tcPr>
          <w:p>
            <w:pPr>
              <w:spacing w:after="40"/>
            </w:pPr>
            <w:r>
              <w:rPr>
                <w:rFonts w:ascii="Times New Roman" w:hAnsi="Times New Roman"/>
                <w:sz w:val="18"/>
              </w:rPr>
              <w:t xml:space="preserve">Supported.</w:t>
            </w:r>
          </w:p>
        </w:tc>
        <w:tc>
          <w:tcPr>
            <w:tcW w:type="dxa" w:w="5112"/>
            <w:vAlign w:val="top"/>
            <w:shd w:fill="F5F7F9"/>
          </w:tcPr>
          <w:p>
            <w:pPr>
              <w:spacing w:after="40"/>
            </w:pPr>
            <w:r>
              <w:rPr>
                <w:rFonts w:ascii="Times New Roman" w:hAnsi="Times New Roman"/>
                <w:sz w:val="18"/>
              </w:rPr>
              <w:t xml:space="preserve">All three retrain-free families flag genuine retrains by their own rules on non-random forget sets.</w:t>
            </w:r>
          </w:p>
        </w:tc>
      </w:tr>
    </w:tbl>
    <w:p>
      <w:pPr>
        <w:spacing w:after="20"/>
      </w:pPr>
    </w:p>
    <w:p>
      <w:pPr>
        <w:spacing w:after="120"/>
      </w:pPr>
      <w:r>
        <w:rPr>
          <w:i w:val="0"/>
        </w:rPr>
        <w:t xml:space="preserve">H3 was tested with cka_to_original, approved on 1 October 2026 for the purpose, on a signed scale chosen after its first run because the hypothesis has a direction; the absolute version also supports it (τ +0.52). Analyses added after seeing data are labelled exploratory in docs/RESULTS.md.</w:t>
      </w:r>
    </w:p>
    <w:p>
      <w:pPr>
        <w:pStyle w:val="Heading1"/>
        <w:keepNext/>
      </w:pPr>
      <w:r>
        <w:t>9. Scope and Out-of-Scope Boundaries</w:t>
      </w:r>
    </w:p>
    <w:p>
      <w:pPr>
        <w:pStyle w:val="Heading2"/>
        <w:keepNext/>
      </w:pPr>
      <w:r>
        <w:t>9.1 In Scope</w:t>
      </w:r>
    </w:p>
    <w:p>
      <w:pPr>
        <w:pStyle w:val="ListBullet"/>
        <w:spacing w:after="60"/>
        <w:ind w:left="346"/>
      </w:pPr>
      <w:r>
        <w:t>CIFAR-10 as the primary benchmark and ResNet-18 as the primary architecture.</w:t>
      </w:r>
    </w:p>
    <w:p>
      <w:pPr>
        <w:pStyle w:val="ListBullet"/>
        <w:spacing w:after="60"/>
        <w:ind w:left="346"/>
      </w:pPr>
      <w:r>
        <w:t>Approximate post-hoc machine-unlearning methods with different mechanisms.</w:t>
      </w:r>
    </w:p>
    <w:p>
      <w:pPr>
        <w:pStyle w:val="ListBullet"/>
        <w:spacing w:after="60"/>
        <w:ind w:left="346"/>
      </w:pPr>
      <w:r>
        <w:t>Full retraining as a practical oracle/reference for the selected small-scale experiments.</w:t>
      </w:r>
    </w:p>
    <w:p>
      <w:pPr>
        <w:pStyle w:val="ListBullet"/>
        <w:spacing w:after="60"/>
        <w:ind w:left="346"/>
      </w:pPr>
      <w:r>
        <w:t xml:space="preserve">Behavioral, privacy, representation-level and relearning audits, plus a retrain-free independence audit (SDE) as a secondary comparison.</w:t>
      </w:r>
    </w:p>
    <w:p>
      <w:pPr>
        <w:pStyle w:val="ListBullet"/>
        <w:spacing w:after="60"/>
        <w:ind w:left="346"/>
      </w:pPr>
      <w:r>
        <w:t>Two orthogonal forget-set factors: a deletion-size axis and a memorization-difficulty axis at fixed size, plus a canary condition providing ground truth by construction.</w:t>
      </w:r>
    </w:p>
    <w:p>
      <w:pPr>
        <w:pStyle w:val="ListBullet"/>
        <w:spacing w:after="60"/>
        <w:ind w:left="346"/>
      </w:pPr>
      <w:r>
        <w:t>Multi-seed experiments, uncertainty reporting and rank/disagreement analysis.</w:t>
      </w:r>
    </w:p>
    <w:p>
      <w:pPr>
        <w:pStyle w:val="ListBullet"/>
        <w:spacing w:after="60"/>
        <w:ind w:left="346"/>
      </w:pPr>
      <w:r>
        <w:t xml:space="preserve">Calibration of each audit family for validity, using held-out retrained oracles and the canary condition, in addition to comparing audits with one another.</w:t>
      </w:r>
    </w:p>
    <w:p>
      <w:pPr>
        <w:pStyle w:val="ListBullet"/>
        <w:spacing w:after="60"/>
        <w:ind w:left="346"/>
      </w:pPr>
      <w:r>
        <w:t xml:space="preserve">An ensemble of independently retrained models treated as a reference distribution, rather than a single retrained model treated as ground truth.</w:t>
      </w:r>
    </w:p>
    <w:p>
      <w:pPr>
        <w:pStyle w:val="ListBullet"/>
        <w:spacing w:after="60"/>
        <w:ind w:left="346"/>
      </w:pPr>
      <w:r>
        <w:t xml:space="preserve">A reproducible codebase plus a Streamlit demonstration dashboard, kept as a visualization layer over the completed experiments.</w:t>
      </w:r>
    </w:p>
    <w:p>
      <w:pPr>
        <w:pStyle w:val="Heading2"/>
        <w:keepNext/>
      </w:pPr>
      <w:r>
        <w:t>9.2 Explicitly Out of Scope</w:t>
      </w:r>
    </w:p>
    <w:p>
      <w:pPr>
        <w:pStyle w:val="ListBullet"/>
        <w:spacing w:after="60"/>
        <w:ind w:left="346"/>
      </w:pPr>
      <w:r>
        <w:t>Formal proof that every trace of a sample has been removed from arbitrary neural-network weights.</w:t>
      </w:r>
    </w:p>
    <w:p>
      <w:pPr>
        <w:pStyle w:val="ListBullet"/>
        <w:spacing w:after="60"/>
        <w:ind w:left="346"/>
      </w:pPr>
      <w:r>
        <w:t>Certified unlearning for arbitrary deep networks.</w:t>
      </w:r>
    </w:p>
    <w:p>
      <w:pPr>
        <w:pStyle w:val="ListBullet"/>
        <w:spacing w:after="60"/>
        <w:ind w:left="346"/>
      </w:pPr>
      <w:r>
        <w:t>Training a large language model from scratch.</w:t>
      </w:r>
    </w:p>
    <w:p>
      <w:pPr>
        <w:pStyle w:val="ListBullet"/>
        <w:spacing w:after="60"/>
        <w:ind w:left="346"/>
      </w:pPr>
      <w:r>
        <w:t>Cryptographic proof-of-unlearning or trusted-hardware attestation.</w:t>
      </w:r>
    </w:p>
    <w:p>
      <w:pPr>
        <w:pStyle w:val="ListBullet"/>
        <w:spacing w:after="60"/>
        <w:ind w:left="346"/>
      </w:pPr>
      <w:r>
        <w:t>Legal certification of GDPR compliance.</w:t>
      </w:r>
    </w:p>
    <w:p>
      <w:pPr>
        <w:pStyle w:val="ListBullet"/>
        <w:spacing w:after="60"/>
        <w:ind w:left="346"/>
      </w:pPr>
      <w:r>
        <w:t>Benchmarking large numbers of architectures or datasets at the cost of audit depth.</w:t>
      </w:r>
    </w:p>
    <w:p>
      <w:pPr>
        <w:pStyle w:val="ListBullet"/>
        <w:spacing w:after="60"/>
        <w:ind w:left="346"/>
      </w:pPr>
      <w:r>
        <w:t>Claiming that a passing membership-inference attack alone proves successful deletion.</w:t>
      </w:r>
    </w:p>
    <w:p>
      <w:pPr>
        <w:pStyle w:val="Heading1"/>
        <w:keepNext/>
      </w:pPr>
      <w:r>
        <w:t>10. Experimental Architecture</w:t>
      </w:r>
    </w:p>
    <w:p>
      <w:pPr>
        <w:spacing w:after="120"/>
      </w:pPr>
      <w:r>
        <w:rPr>
          <w:i w:val="0"/>
        </w:rPr>
        <w:t>Every primary experiment contains three model states: an original model M0 trained on all data, an unlearned model Mu produced by an approximate unlearning algorithm, and a retrained oracle Mr trained from scratch without the forget set. The audit stage compares Mu to both M0 and Mr. This three-way structure prevents the project from treating a single degraded output as evidence of successful forgetting.</w:t>
      </w:r>
    </w:p>
    <w:p>
      <w:pPr>
        <w:jc w:val="center"/>
      </w:pPr>
      <w:r>
        <w:drawing>
          <wp:inline xmlns:a="http://schemas.openxmlformats.org/drawingml/2006/main" xmlns:pic="http://schemas.openxmlformats.org/drawingml/2006/picture">
            <wp:extent cx="5989320" cy="3388389"/>
            <wp:docPr id="1" name="Picture 1"/>
            <wp:cNvGraphicFramePr>
              <a:graphicFrameLocks noChangeAspect="1"/>
            </wp:cNvGraphicFramePr>
            <a:graphic>
              <a:graphicData uri="http://schemas.openxmlformats.org/drawingml/2006/picture">
                <pic:pic>
                  <pic:nvPicPr>
                    <pic:cNvPr id="0" name="forgetcheck_architecture.png"/>
                    <pic:cNvPicPr/>
                  </pic:nvPicPr>
                  <pic:blipFill>
                    <a:blip r:embed="rId11"/>
                    <a:stretch>
                      <a:fillRect/>
                    </a:stretch>
                  </pic:blipFill>
                  <pic:spPr>
                    <a:xfrm>
                      <a:off x="0" y="0"/>
                      <a:ext cx="5989320" cy="3388389"/>
                    </a:xfrm>
                    <a:prstGeom prst="rect"/>
                  </pic:spPr>
                </pic:pic>
              </a:graphicData>
            </a:graphic>
          </wp:inline>
        </w:drawing>
      </w:r>
    </w:p>
    <w:p>
      <w:pPr>
        <w:jc w:val="center"/>
      </w:pPr>
      <w:r>
        <w:rPr>
          <w:i/>
          <w:sz w:val="19"/>
        </w:rPr>
        <w:t>Figure 1. Core ForgetCheck experimental architecture.</w:t>
      </w:r>
    </w:p>
    <w:p>
      <w:pPr>
        <w:spacing w:after="120"/>
      </w:pPr>
      <w:r>
        <w:rPr>
          <w:i w:val="0"/>
        </w:rPr>
        <w:t>The retrained model is not a competitor that approximate methods need to “beat.” It represents the counterfactual behavior we would obtain if the forget set had never participated in training. Approximate methods are evaluated by how closely they approach this behavior while requiring less computational effort.</w:t>
      </w:r>
    </w:p>
    <w:p>
      <w:pPr>
        <w:pStyle w:val="Heading1"/>
        <w:keepNext/>
      </w:pPr>
      <w:r>
        <w:t>11. Dataset and Model Decisions</w:t>
      </w:r>
    </w:p>
    <w:p>
      <w:pPr>
        <w:pStyle w:val="Heading2"/>
        <w:keepNext/>
      </w:pPr>
      <w:r>
        <w:t>11.1 Primary Dataset: CIFAR-10</w:t>
      </w:r>
    </w:p>
    <w:p>
      <w:pPr>
        <w:spacing w:after="120"/>
      </w:pPr>
      <w:r>
        <w:rPr>
          <w:i w:val="0"/>
        </w:rPr>
        <w:t>CIFAR-10 is the primary benchmark because it is standard, small enough to support repeated retraining, widely supported by PyTorch/torchvision, used in the NeurIPS Machine Unlearning Competition starter code [17], and compatible with publicly released memorization scores from RUM [8]. These properties are unusually valuable for a project whose main scientific requirement is repeated, controlled comparison against retraining.</w:t>
      </w:r>
    </w:p>
    <w:p>
      <w:pPr>
        <w:pStyle w:val="ListBullet"/>
        <w:spacing w:after="60"/>
        <w:ind w:left="346"/>
      </w:pPr>
      <w:r>
        <w:rPr>
          <w:b/>
        </w:rPr>
        <w:t xml:space="preserve">Dataset size: </w:t>
      </w:r>
      <w:r>
        <w:t>60,000 color images in 10 classes; 50,000 standard training images and 10,000 test images.</w:t>
      </w:r>
    </w:p>
    <w:p>
      <w:pPr>
        <w:pStyle w:val="ListBullet"/>
        <w:spacing w:after="60"/>
        <w:ind w:left="346"/>
      </w:pPr>
      <w:r>
        <w:rPr>
          <w:b/>
        </w:rPr>
        <w:t xml:space="preserve">Role in project: </w:t>
      </w:r>
      <w:r>
        <w:t>Primary dataset for all core experiments.</w:t>
      </w:r>
    </w:p>
    <w:p>
      <w:pPr>
        <w:pStyle w:val="ListBullet"/>
        <w:spacing w:after="60"/>
        <w:ind w:left="346"/>
      </w:pPr>
      <w:r>
        <w:rPr>
          <w:b/>
        </w:rPr>
        <w:t xml:space="preserve">Reason for choice: </w:t>
      </w:r>
      <w:r>
        <w:t>Strong reproducibility, manageable compute and existing unlearning infrastructure.</w:t>
      </w:r>
    </w:p>
    <w:p>
      <w:pPr>
        <w:pStyle w:val="ListBullet"/>
        <w:spacing w:after="60"/>
        <w:ind w:left="346"/>
      </w:pPr>
      <w:r>
        <w:rPr>
          <w:b/>
        </w:rPr>
        <w:t xml:space="preserve">Data source: </w:t>
      </w:r>
      <w:r>
        <w:t>torchvision.datasets.CIFAR10 or the official CIFAR distribution.</w:t>
      </w:r>
    </w:p>
    <w:p>
      <w:pPr>
        <w:pStyle w:val="Heading2"/>
        <w:keepNext/>
      </w:pPr>
      <w:r>
        <w:t>11.2 Secondary Dataset: CIFAR-100</w:t>
      </w:r>
    </w:p>
    <w:p>
      <w:pPr>
        <w:spacing w:after="120"/>
      </w:pPr>
      <w:r>
        <w:rPr>
          <w:i w:val="0"/>
        </w:rPr>
        <w:t xml:space="preserve">CIFAR-100 was optional secondary validation and was not run: the CIFAR-10 study, with its calibration and canary work, used the available time. It remains future work.</w:t>
      </w:r>
    </w:p>
    <w:p>
      <w:pPr>
        <w:pStyle w:val="Heading2"/>
        <w:keepNext/>
      </w:pPr>
      <w:r>
        <w:t>11.3 Synthetic Data Policy</w:t>
      </w:r>
    </w:p>
    <w:p>
      <w:pPr>
        <w:spacing w:after="120"/>
      </w:pPr>
      <w:r>
        <w:rPr>
          <w:i w:val="0"/>
        </w:rPr>
        <w:t>Synthetic and constructed data is academically acceptable when it serves a controlled research purpose. TOFU is an important precedent, deliberately constructing fictitious author profiles to make LLM unlearning ground truth precise [9]. v2.0 adopts the same principle in a form suited to vision: a small canary set of deliberately mislabeled training examples. Canaries cannot be fitted by generalisation, only by memorisation, so a model retrained without them provably carries no canary-label association. This makes the canary condition the only setting in the study where the correct audit verdict is known in advance, which is what allows audits to be scored for accuracy in Section 15.5 rather than only compared with one another. The optional user-level simulation described in v1.0 remains optional and secondary; the LLM extension is withdrawn.</w:t>
      </w:r>
    </w:p>
    <w:p>
      <w:pPr>
        <w:pStyle w:val="Heading2"/>
        <w:keepNext/>
      </w:pPr>
      <w:r>
        <w:t>11.4 Primary Model: ResNet-18</w:t>
      </w:r>
    </w:p>
    <w:p>
      <w:pPr>
        <w:spacing w:after="120"/>
      </w:pPr>
      <w:r>
        <w:rPr>
          <w:i w:val="0"/>
        </w:rPr>
        <w:t>ResNet-18 is the primary model because it is well understood, computationally manageable, sufficiently deep for layer-wise representation analysis and easy to instrument for intermediate activations. The project should use one architecture first; architecture comparison is not the central research question.</w:t>
      </w:r>
    </w:p>
    <w:p>
      <w:pPr>
        <w:spacing w:after="120"/>
      </w:pPr>
      <w:r>
        <w:rPr>
          <w:b/>
          <w:i w:val="0"/>
        </w:rPr>
        <w:t xml:space="preserve">As built: </w:t>
      </w:r>
      <w:r>
        <w:rPr>
          <w:i w:val="0"/>
        </w:rPr>
        <w:t xml:space="preserve">the CIFAR variant of ResNet-18 (3×3 stride-1 first convolution, no max-pool), trained for 30 epochs with SGD (learning rate 0.1, Nesterov momentum 0.9, weight decay 5×10⁻⁴), batch size 256, a cosine schedule with one warm-up epoch, and mixed precision. The same recipe trains every original model, retrain and attack reference model, because any difference would turn every retrain-referenced comparison into a comparison of recipes. The clean original models reach 93.5% test accuracy (sd 0.17 points over five seeds).</w:t>
      </w:r>
    </w:p>
    <w:p>
      <w:pPr>
        <w:pStyle w:val="Heading1"/>
        <w:keepNext/>
      </w:pPr>
      <w:r>
        <w:t>12. Unlearning Methods</w:t>
      </w:r>
    </w:p>
    <w:p>
      <w:pPr>
        <w:spacing w:after="120"/>
      </w:pPr>
      <w:r>
        <w:rPr>
          <w:i w:val="0"/>
        </w:rPr>
        <w:t xml:space="preserve">Five approximate methods and one destructive control provide mechanistic diversity without turning the semester into a reproduction exercise. All six are implemented behind one interface with one shared training loop, so that runtime and utility are comparable by construction. Their settings were frozen after the pilot (8 September 2026) and are hashed into every checkpoint, so a changed method can never silently reuse an old result.</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2016"/>
            <w:shd w:fill="17324D"/>
            <w:vAlign w:val="center"/>
          </w:tcPr>
          <w:p>
            <w:pPr>
              <w:keepNext/>
            </w:pPr>
            <w:r>
              <w:rPr>
                <w:rFonts w:ascii="Times New Roman" w:hAnsi="Times New Roman"/>
                <w:b/>
                <w:color w:val="FFFFFF"/>
                <w:sz w:val="18"/>
              </w:rPr>
              <w:t>Method</w:t>
            </w:r>
          </w:p>
        </w:tc>
        <w:tc>
          <w:tcPr>
            <w:tcW w:type="dxa" w:w="3600"/>
            <w:shd w:fill="17324D"/>
            <w:vAlign w:val="center"/>
          </w:tcPr>
          <w:p>
            <w:pPr>
              <w:keepNext/>
            </w:pPr>
            <w:r>
              <w:rPr>
                <w:rFonts w:ascii="Times New Roman" w:hAnsi="Times New Roman"/>
                <w:b/>
                <w:color w:val="FFFFFF"/>
                <w:sz w:val="18"/>
              </w:rPr>
              <w:t>Mechanism</w:t>
            </w:r>
          </w:p>
        </w:tc>
        <w:tc>
          <w:tcPr>
            <w:tcW w:type="dxa" w:w="3744"/>
            <w:shd w:fill="17324D"/>
            <w:vAlign w:val="center"/>
          </w:tcPr>
          <w:p>
            <w:pPr>
              <w:keepNext/>
            </w:pPr>
            <w:r>
              <w:rPr>
                <w:rFonts w:ascii="Times New Roman" w:hAnsi="Times New Roman"/>
                <w:b/>
                <w:color w:val="FFFFFF"/>
                <w:sz w:val="18"/>
              </w:rPr>
              <w:t>Why Included</w:t>
            </w:r>
          </w:p>
        </w:tc>
      </w:tr>
      <w:tr>
        <w:trPr>
          <w:cantSplit/>
        </w:trPr>
        <w:tc>
          <w:tcPr>
            <w:tcW w:type="dxa" w:w="2016"/>
            <w:vAlign w:val="top"/>
          </w:tcPr>
          <w:p>
            <w:pPr>
              <w:spacing w:after="40"/>
            </w:pPr>
            <w:r>
              <w:rPr>
                <w:rFonts w:ascii="Times New Roman" w:hAnsi="Times New Roman"/>
                <w:sz w:val="18"/>
              </w:rPr>
              <w:t>Fine-tuning</w:t>
            </w:r>
          </w:p>
        </w:tc>
        <w:tc>
          <w:tcPr>
            <w:tcW w:type="dxa" w:w="3600"/>
            <w:vAlign w:val="top"/>
          </w:tcPr>
          <w:p>
            <w:pPr>
              <w:spacing w:after="40"/>
            </w:pPr>
            <w:r>
              <w:rPr>
                <w:rFonts w:ascii="Times New Roman" w:hAnsi="Times New Roman"/>
                <w:sz w:val="18"/>
              </w:rPr>
              <w:t>Continue training M0 on the retain set R only.</w:t>
            </w:r>
          </w:p>
        </w:tc>
        <w:tc>
          <w:tcPr>
            <w:tcW w:type="dxa" w:w="3744"/>
            <w:vAlign w:val="top"/>
          </w:tcPr>
          <w:p>
            <w:pPr>
              <w:spacing w:after="40"/>
            </w:pPr>
            <w:r>
              <w:rPr>
                <w:rFonts w:ascii="Times New Roman" w:hAnsi="Times New Roman"/>
                <w:sz w:val="18"/>
              </w:rPr>
              <w:t>Very simple practical baseline. Tests whether exposure to retained data alone is sufficient to move the model toward retraining.</w:t>
            </w:r>
          </w:p>
        </w:tc>
      </w:tr>
      <w:tr>
        <w:trPr>
          <w:cantSplit/>
        </w:trPr>
        <w:tc>
          <w:tcPr>
            <w:tcW w:type="dxa" w:w="2016"/>
            <w:vAlign w:val="top"/>
            <w:shd w:fill="F5F7F9"/>
          </w:tcPr>
          <w:p>
            <w:pPr>
              <w:spacing w:after="40"/>
            </w:pPr>
            <w:r>
              <w:rPr>
                <w:rFonts w:ascii="Times New Roman" w:hAnsi="Times New Roman"/>
                <w:sz w:val="18"/>
              </w:rPr>
              <w:t>NegGrad+ (gradient ascent with retain regularization)</w:t>
            </w:r>
          </w:p>
        </w:tc>
        <w:tc>
          <w:tcPr>
            <w:tcW w:type="dxa" w:w="3600"/>
            <w:vAlign w:val="top"/>
            <w:shd w:fill="F5F7F9"/>
          </w:tcPr>
          <w:p>
            <w:pPr>
              <w:spacing w:after="40"/>
            </w:pPr>
            <w:r>
              <w:rPr>
                <w:rFonts w:ascii="Times New Roman" w:hAnsi="Times New Roman"/>
                <w:sz w:val="18"/>
              </w:rPr>
              <w:t>Ascend the loss on the forget set while simultaneously descending it on the retain set.</w:t>
            </w:r>
          </w:p>
        </w:tc>
        <w:tc>
          <w:tcPr>
            <w:tcW w:type="dxa" w:w="3744"/>
            <w:vAlign w:val="top"/>
            <w:shd w:fill="F5F7F9"/>
          </w:tcPr>
          <w:p>
            <w:pPr>
              <w:spacing w:after="40"/>
            </w:pPr>
            <w:r>
              <w:rPr>
                <w:rFonts w:ascii="Times New Roman" w:hAnsi="Times New Roman"/>
                <w:sz w:val="18"/>
              </w:rPr>
              <w:t>The standard strong gradient-ascent baseline in current vision unlearning work, and a consistent top performer on CIFAR-10 / ResNet-18. Primary representative of its family.</w:t>
            </w:r>
          </w:p>
        </w:tc>
      </w:tr>
      <w:tr>
        <w:trPr>
          <w:cantSplit/>
        </w:trPr>
        <w:tc>
          <w:tcPr>
            <w:tcW w:type="dxa" w:w="2016"/>
            <w:vAlign w:val="top"/>
          </w:tcPr>
          <w:p>
            <w:pPr>
              <w:spacing w:after="40"/>
            </w:pPr>
            <w:r>
              <w:rPr>
                <w:rFonts w:ascii="Times New Roman" w:hAnsi="Times New Roman"/>
                <w:sz w:val="18"/>
              </w:rPr>
              <w:t>SCRUB [4]</w:t>
            </w:r>
          </w:p>
        </w:tc>
        <w:tc>
          <w:tcPr>
            <w:tcW w:type="dxa" w:w="3600"/>
            <w:vAlign w:val="top"/>
          </w:tcPr>
          <w:p>
            <w:pPr>
              <w:spacing w:after="40"/>
            </w:pPr>
            <w:r>
              <w:rPr>
                <w:rFonts w:ascii="Times New Roman" w:hAnsi="Times New Roman"/>
                <w:sz w:val="18"/>
              </w:rPr>
              <w:t>Teacher/student style unlearning that preserves behavior on retained data while disrupting forgotten behavior.</w:t>
            </w:r>
          </w:p>
        </w:tc>
        <w:tc>
          <w:tcPr>
            <w:tcW w:type="dxa" w:w="3744"/>
            <w:vAlign w:val="top"/>
          </w:tcPr>
          <w:p>
            <w:pPr>
              <w:spacing w:after="40"/>
            </w:pPr>
            <w:r>
              <w:rPr>
                <w:rFonts w:ascii="Times New Roman" w:hAnsi="Times New Roman"/>
                <w:sz w:val="18"/>
              </w:rPr>
              <w:t>Strong published baseline with public code and MIA-oriented evaluation.</w:t>
            </w:r>
          </w:p>
        </w:tc>
      </w:tr>
      <w:tr>
        <w:trPr>
          <w:cantSplit/>
        </w:trPr>
        <w:tc>
          <w:tcPr>
            <w:tcW w:type="dxa" w:w="2016"/>
            <w:vAlign w:val="top"/>
            <w:shd w:fill="F5F7F9"/>
          </w:tcPr>
          <w:p>
            <w:pPr>
              <w:spacing w:after="40"/>
            </w:pPr>
            <w:r>
              <w:rPr>
                <w:rFonts w:ascii="Times New Roman" w:hAnsi="Times New Roman"/>
                <w:sz w:val="18"/>
              </w:rPr>
              <w:t>NegGrad (plain gradient ascent) — destructive control</w:t>
            </w:r>
          </w:p>
        </w:tc>
        <w:tc>
          <w:tcPr>
            <w:tcW w:type="dxa" w:w="3600"/>
            <w:vAlign w:val="top"/>
            <w:shd w:fill="F5F7F9"/>
          </w:tcPr>
          <w:p>
            <w:pPr>
              <w:spacing w:after="40"/>
            </w:pPr>
            <w:r>
              <w:rPr>
                <w:rFonts w:ascii="Times New Roman" w:hAnsi="Times New Roman"/>
                <w:sz w:val="18"/>
              </w:rPr>
              <w:t>Ascend the loss on the forget set only, with no retain-set regularization.</w:t>
            </w:r>
          </w:p>
        </w:tc>
        <w:tc>
          <w:tcPr>
            <w:tcW w:type="dxa" w:w="3744"/>
            <w:vAlign w:val="top"/>
            <w:shd w:fill="F5F7F9"/>
          </w:tcPr>
          <w:p>
            <w:pPr>
              <w:spacing w:after="40"/>
            </w:pPr>
            <w:r>
              <w:rPr>
                <w:rFonts w:ascii="Times New Roman" w:hAnsi="Times New Roman"/>
                <w:sz w:val="18"/>
              </w:rPr>
              <w:t>Deliberately included as a control, not a competitor. It is expected to degrade forget-set performance while damaging the model generally, and is the cleanest demonstration that "looks forgotten" can mean "damaged" — the failure mode Audit Layer 1 exists to detect.</w:t>
            </w:r>
          </w:p>
        </w:tc>
      </w:tr>
      <w:tr>
        <w:trPr>
          <w:cantSplit/>
        </w:trPr>
        <w:tc>
          <w:tcPr>
            <w:tcW w:type="dxa" w:w="2016"/>
            <w:vAlign w:val="top"/>
            <w:shd w:fill="F5F7F9"/>
          </w:tcPr>
          <w:p>
            <w:pPr>
              <w:spacing w:after="40"/>
            </w:pPr>
            <w:r>
              <w:rPr>
                <w:rFonts w:ascii="Times New Roman" w:hAnsi="Times New Roman"/>
                <w:sz w:val="18"/>
              </w:rPr>
              <w:t>SalUn (saliency-based unlearning)</w:t>
            </w:r>
          </w:p>
        </w:tc>
        <w:tc>
          <w:tcPr>
            <w:tcW w:type="dxa" w:w="3600"/>
            <w:vAlign w:val="top"/>
            <w:shd w:fill="F5F7F9"/>
          </w:tcPr>
          <w:p>
            <w:pPr>
              <w:spacing w:after="40"/>
            </w:pPr>
            <w:r>
              <w:rPr>
                <w:rFonts w:ascii="Times New Roman" w:hAnsi="Times New Roman"/>
                <w:sz w:val="18"/>
              </w:rPr>
              <w:t>Compute a weight-saliency mask from forget-set gradients and apply the unlearning update only through the masked parameters.</w:t>
            </w:r>
          </w:p>
        </w:tc>
        <w:tc>
          <w:tcPr>
            <w:tcW w:type="dxa" w:w="3744"/>
            <w:vAlign w:val="top"/>
            <w:shd w:fill="F5F7F9"/>
          </w:tcPr>
          <w:p>
            <w:pPr>
              <w:spacing w:after="40"/>
            </w:pPr>
            <w:r>
              <w:rPr>
                <w:rFonts w:ascii="Times New Roman" w:hAnsi="Times New Roman"/>
                <w:sz w:val="18"/>
              </w:rPr>
              <w:t>Mechanistically distinct from both fine-tuning and gradient ascent, works at instance level, and is a standard baseline in the RUM and vision-transformer benchmarks.</w:t>
            </w:r>
          </w:p>
        </w:tc>
      </w:tr>
      <w:tr>
        <w:trPr>
          <w:cantSplit/>
        </w:trPr>
        <w:tc>
          <w:tcPr>
            <w:tcW w:type="dxa" w:w="2016"/>
            <w:vAlign w:val="top"/>
            <w:shd w:fill="F5F7F9"/>
          </w:tcPr>
          <w:p>
            <w:pPr>
              <w:spacing w:after="40"/>
            </w:pPr>
            <w:r>
              <w:rPr>
                <w:rFonts w:ascii="Times New Roman" w:hAnsi="Times New Roman"/>
                <w:sz w:val="18"/>
              </w:rPr>
              <w:t>L1-sparse unlearning</w:t>
            </w:r>
          </w:p>
        </w:tc>
        <w:tc>
          <w:tcPr>
            <w:tcW w:type="dxa" w:w="3600"/>
            <w:vAlign w:val="top"/>
            <w:shd w:fill="F5F7F9"/>
          </w:tcPr>
          <w:p>
            <w:pPr>
              <w:spacing w:after="40"/>
            </w:pPr>
            <w:r>
              <w:rPr>
                <w:rFonts w:ascii="Times New Roman" w:hAnsi="Times New Roman"/>
                <w:sz w:val="18"/>
              </w:rPr>
              <w:t>Fine-tune on the retain set under an L1 penalty that sparsifies the network during unlearning.</w:t>
            </w:r>
          </w:p>
        </w:tc>
        <w:tc>
          <w:tcPr>
            <w:tcW w:type="dxa" w:w="3744"/>
            <w:vAlign w:val="top"/>
            <w:shd w:fill="F5F7F9"/>
          </w:tcPr>
          <w:p>
            <w:pPr>
              <w:spacing w:after="40"/>
            </w:pPr>
            <w:r>
              <w:rPr>
                <w:rFonts w:ascii="Times New Roman" w:hAnsi="Times New Roman"/>
                <w:sz w:val="18"/>
              </w:rPr>
              <w:t>Represents the model-sparsity route to unlearning [5]. Cheap, well-established at instance level, and brings the ranked method count to six — which the agreement statistics require.</w:t>
            </w:r>
          </w:p>
        </w:tc>
      </w:tr>
    </w:tbl>
    <w:p>
      <w:pPr>
        <w:spacing w:after="20"/>
      </w:pPr>
    </w:p>
    <w:p>
      <w:pPr>
        <w:spacing w:after="120"/>
      </w:pPr>
      <w:r>
        <w:rPr>
          <w:i w:val="0"/>
        </w:rPr>
        <w:t xml:space="preserve">Selective Synaptic Dampening [6] was a core method in v1.0 and has been withdrawn from the core set. Its mechanism selects parameters whose Fisher importance is disproportionately high for the forget set relative to the retain set. A randomly drawn forget set is, by construction, distributed identically to the retain set, so that importance ratio is approximately uniform, no parameters are selected, and the dampening step approximates a no-op. This is a mismatch between mechanism and task rather than a tuning problem, and it is reported empirically: SSD fails to forget at all tested forget fractions under random forgetting while performing at or above the state of the art on class and sub-class unlearning [24]. SSD was implemented but not run; the optional class-unlearning side condition was not pursued. The Incompetent Teacher approach [3] was not added.</w:t>
      </w:r>
    </w:p>
    <w:p>
      <w:pPr>
        <w:pStyle w:val="Heading2"/>
        <w:keepNext/>
      </w:pPr>
      <w:r>
        <w:t xml:space="preserve">12.1 Settings as Built, and Deliberate Departures</w:t>
      </w:r>
    </w:p>
    <w:tbl>
      <w:tblPr>
        <w:tblStyle w:val="TableGrid"/>
        <w:tblW w:type="auto" w:w="0"/>
        <w:jc w:val="center"/>
        <w:tblLook w:firstColumn="1" w:firstRow="1" w:lastColumn="0" w:lastRow="0" w:noHBand="0" w:noVBand="1" w:val="04A0"/>
      </w:tblPr>
      <w:tblGrid>
        <w:gridCol w:w="1728"/>
        <w:gridCol w:w="3312"/>
        <w:gridCol w:w="4320"/>
      </w:tblGrid>
      <w:tr>
        <w:trPr>
          <w:tblHeader w:val="true"/>
          <w:cantSplit/>
        </w:trPr>
        <w:tc>
          <w:tcPr>
            <w:tcW w:type="dxa" w:w="1728"/>
            <w:shd w:fill="17324D"/>
            <w:vAlign w:val="center"/>
          </w:tcPr>
          <w:p>
            <w:pPr>
              <w:keepNext/>
            </w:pPr>
            <w:r>
              <w:rPr>
                <w:rFonts w:ascii="Times New Roman" w:hAnsi="Times New Roman"/>
                <w:b/>
                <w:color w:val="FFFFFF"/>
                <w:sz w:val="18"/>
              </w:rPr>
              <w:t xml:space="preserve">Method</w:t>
            </w:r>
          </w:p>
        </w:tc>
        <w:tc>
          <w:tcPr>
            <w:tcW w:type="dxa" w:w="3312"/>
            <w:shd w:fill="17324D"/>
            <w:vAlign w:val="center"/>
          </w:tcPr>
          <w:p>
            <w:pPr>
              <w:keepNext/>
            </w:pPr>
            <w:r>
              <w:rPr>
                <w:rFonts w:ascii="Times New Roman" w:hAnsi="Times New Roman"/>
                <w:b/>
                <w:color w:val="FFFFFF"/>
                <w:sz w:val="18"/>
              </w:rPr>
              <w:t xml:space="preserve">Final settings</w:t>
            </w:r>
          </w:p>
        </w:tc>
        <w:tc>
          <w:tcPr>
            <w:tcW w:type="dxa" w:w="4320"/>
            <w:shd w:fill="17324D"/>
            <w:vAlign w:val="center"/>
          </w:tcPr>
          <w:p>
            <w:pPr>
              <w:keepNext/>
            </w:pPr>
            <w:r>
              <w:rPr>
                <w:rFonts w:ascii="Times New Roman" w:hAnsi="Times New Roman"/>
                <w:b/>
                <w:color w:val="FFFFFF"/>
                <w:sz w:val="18"/>
              </w:rPr>
              <w:t xml:space="preserve">Departure from the published method, and why</w:t>
            </w:r>
          </w:p>
        </w:tc>
      </w:tr>
      <w:tr>
        <w:trPr>
          <w:cantSplit/>
        </w:trPr>
        <w:tc>
          <w:tcPr>
            <w:tcW w:type="dxa" w:w="1728"/>
            <w:vAlign w:val="top"/>
          </w:tcPr>
          <w:p>
            <w:pPr>
              <w:spacing w:after="40"/>
            </w:pPr>
            <w:r>
              <w:rPr>
                <w:rFonts w:ascii="Times New Roman" w:hAnsi="Times New Roman"/>
                <w:sz w:val="18"/>
              </w:rPr>
              <w:t xml:space="preserve">Fine-tuning</w:t>
            </w:r>
          </w:p>
        </w:tc>
        <w:tc>
          <w:tcPr>
            <w:tcW w:type="dxa" w:w="3312"/>
            <w:vAlign w:val="top"/>
          </w:tcPr>
          <w:p>
            <w:pPr>
              <w:spacing w:after="40"/>
            </w:pPr>
            <w:r>
              <w:rPr>
                <w:rFonts w:ascii="Times New Roman" w:hAnsi="Times New Roman"/>
                <w:sz w:val="18"/>
              </w:rPr>
              <w:t xml:space="preserve">5 epochs on R; SGD, learning rate 0.01, momentum 0.9, weight decay 5×10⁻⁴.</w:t>
            </w:r>
          </w:p>
        </w:tc>
        <w:tc>
          <w:tcPr>
            <w:tcW w:type="dxa" w:w="4320"/>
            <w:vAlign w:val="top"/>
          </w:tcPr>
          <w:p>
            <w:pPr>
              <w:spacing w:after="40"/>
            </w:pPr>
            <w:r>
              <w:rPr>
                <w:rFonts w:ascii="Times New Roman" w:hAnsi="Times New Roman"/>
                <w:sz w:val="18"/>
              </w:rPr>
              <w:t xml:space="preserve">None.</w:t>
            </w:r>
          </w:p>
        </w:tc>
      </w:tr>
      <w:tr>
        <w:trPr>
          <w:cantSplit/>
        </w:trPr>
        <w:tc>
          <w:tcPr>
            <w:tcW w:type="dxa" w:w="1728"/>
            <w:vAlign w:val="top"/>
            <w:shd w:fill="F5F7F9"/>
          </w:tcPr>
          <w:p>
            <w:pPr>
              <w:spacing w:after="40"/>
            </w:pPr>
            <w:r>
              <w:rPr>
                <w:rFonts w:ascii="Times New Roman" w:hAnsi="Times New Roman"/>
                <w:sz w:val="18"/>
              </w:rPr>
              <w:t xml:space="preserve">NegGrad+</w:t>
            </w:r>
          </w:p>
        </w:tc>
        <w:tc>
          <w:tcPr>
            <w:tcW w:type="dxa" w:w="3312"/>
            <w:vAlign w:val="top"/>
            <w:shd w:fill="F5F7F9"/>
          </w:tcPr>
          <w:p>
            <w:pPr>
              <w:spacing w:after="40"/>
            </w:pPr>
            <w:r>
              <w:rPr>
                <w:rFonts w:ascii="Times New Roman" w:hAnsi="Times New Roman"/>
                <w:sz w:val="18"/>
              </w:rPr>
              <w:t xml:space="preserve">5 epochs; learning rate 0.01; retain weight α = 0.95.</w:t>
            </w:r>
          </w:p>
        </w:tc>
        <w:tc>
          <w:tcPr>
            <w:tcW w:type="dxa" w:w="4320"/>
            <w:vAlign w:val="top"/>
            <w:shd w:fill="F5F7F9"/>
          </w:tcPr>
          <w:p>
            <w:pPr>
              <w:spacing w:after="40"/>
            </w:pPr>
            <w:r>
              <w:rPr>
                <w:rFonts w:ascii="Times New Roman" w:hAnsi="Times New Roman"/>
                <w:sz w:val="18"/>
              </w:rPr>
              <w:t xml:space="preserve">Forget term capped at chance-level loss, max(0, ln 10 − CE). The published loss rewards ascent without bound and collapsed the pilot model (test accuracy 0.33). The cap has the same gradient while the forget set is still known and stops where the model would start becoming confidently wrong; an infinite cap recovers the published loss.</w:t>
            </w:r>
          </w:p>
        </w:tc>
      </w:tr>
      <w:tr>
        <w:trPr>
          <w:cantSplit/>
        </w:trPr>
        <w:tc>
          <w:tcPr>
            <w:tcW w:type="dxa" w:w="1728"/>
            <w:vAlign w:val="top"/>
          </w:tcPr>
          <w:p>
            <w:pPr>
              <w:spacing w:after="40"/>
            </w:pPr>
            <w:r>
              <w:rPr>
                <w:rFonts w:ascii="Times New Roman" w:hAnsi="Times New Roman"/>
                <w:sz w:val="18"/>
              </w:rPr>
              <w:t xml:space="preserve">SCRUB</w:t>
            </w:r>
          </w:p>
        </w:tc>
        <w:tc>
          <w:tcPr>
            <w:tcW w:type="dxa" w:w="3312"/>
            <w:vAlign w:val="top"/>
          </w:tcPr>
          <w:p>
            <w:pPr>
              <w:spacing w:after="40"/>
            </w:pPr>
            <w:r>
              <w:rPr>
                <w:rFonts w:ascii="Times New Roman" w:hAnsi="Times New Roman"/>
                <w:sz w:val="18"/>
              </w:rPr>
              <w:t xml:space="preserve">5 epochs, 2 with ascent; learning rate 0.005; temperature 4.</w:t>
            </w:r>
          </w:p>
        </w:tc>
        <w:tc>
          <w:tcPr>
            <w:tcW w:type="dxa" w:w="4320"/>
            <w:vAlign w:val="top"/>
          </w:tcPr>
          <w:p>
            <w:pPr>
              <w:spacing w:after="40"/>
            </w:pPr>
            <w:r>
              <w:rPr>
                <w:rFonts w:ascii="Times New Roman" w:hAnsi="Times New Roman"/>
                <w:sz w:val="18"/>
              </w:rPr>
              <w:t xml:space="preserve">Ascent capped at 24 steps in total, which is exactly the published schedule at 3,000-example forget sets. Uncapped, the budget grew with forget-set size and diverged at 5,000 (retain accuracy 0.55–0.83).</w:t>
            </w:r>
          </w:p>
        </w:tc>
      </w:tr>
      <w:tr>
        <w:trPr>
          <w:cantSplit/>
        </w:trPr>
        <w:tc>
          <w:tcPr>
            <w:tcW w:type="dxa" w:w="1728"/>
            <w:vAlign w:val="top"/>
            <w:shd w:fill="F5F7F9"/>
          </w:tcPr>
          <w:p>
            <w:pPr>
              <w:spacing w:after="40"/>
            </w:pPr>
            <w:r>
              <w:rPr>
                <w:rFonts w:ascii="Times New Roman" w:hAnsi="Times New Roman"/>
                <w:sz w:val="18"/>
              </w:rPr>
              <w:t xml:space="preserve">NegGrad (control)</w:t>
            </w:r>
          </w:p>
        </w:tc>
        <w:tc>
          <w:tcPr>
            <w:tcW w:type="dxa" w:w="3312"/>
            <w:vAlign w:val="top"/>
            <w:shd w:fill="F5F7F9"/>
          </w:tcPr>
          <w:p>
            <w:pPr>
              <w:spacing w:after="40"/>
            </w:pPr>
            <w:r>
              <w:rPr>
                <w:rFonts w:ascii="Times New Roman" w:hAnsi="Times New Roman"/>
                <w:sz w:val="18"/>
              </w:rPr>
              <w:t xml:space="preserve">60 steps of ascent on F; learning rate 0.01; no retain term.</w:t>
            </w:r>
          </w:p>
        </w:tc>
        <w:tc>
          <w:tcPr>
            <w:tcW w:type="dxa" w:w="4320"/>
            <w:vAlign w:val="top"/>
            <w:shd w:fill="F5F7F9"/>
          </w:tcPr>
          <w:p>
            <w:pPr>
              <w:spacing w:after="40"/>
            </w:pPr>
            <w:r>
              <w:rPr>
                <w:rFonts w:ascii="Times New Roman" w:hAnsi="Times New Roman"/>
                <w:sz w:val="18"/>
              </w:rPr>
              <w:t xml:space="preserve">Budget in steps rather than epochs, so it is equally destructive at every forget-set size (in epochs it was a no-op at 500 examples). It collapses every model to a constant predictor (about 10% accuracy), by design.</w:t>
            </w:r>
          </w:p>
        </w:tc>
      </w:tr>
      <w:tr>
        <w:trPr>
          <w:cantSplit/>
        </w:trPr>
        <w:tc>
          <w:tcPr>
            <w:tcW w:type="dxa" w:w="1728"/>
            <w:vAlign w:val="top"/>
          </w:tcPr>
          <w:p>
            <w:pPr>
              <w:spacing w:after="40"/>
            </w:pPr>
            <w:r>
              <w:rPr>
                <w:rFonts w:ascii="Times New Roman" w:hAnsi="Times New Roman"/>
                <w:sz w:val="18"/>
              </w:rPr>
              <w:t xml:space="preserve">SalUn</w:t>
            </w:r>
          </w:p>
        </w:tc>
        <w:tc>
          <w:tcPr>
            <w:tcW w:type="dxa" w:w="3312"/>
            <w:vAlign w:val="top"/>
          </w:tcPr>
          <w:p>
            <w:pPr>
              <w:spacing w:after="40"/>
            </w:pPr>
            <w:r>
              <w:rPr>
                <w:rFonts w:ascii="Times New Roman" w:hAnsi="Times New Roman"/>
                <w:sz w:val="18"/>
              </w:rPr>
              <w:t xml:space="preserve">Saliency mask over 50% of weights from forget-set gradients; random-label fine-tuning of F through the mask plus a full retain pass each epoch; 5 epochs; learning rate 0.01.</w:t>
            </w:r>
          </w:p>
        </w:tc>
        <w:tc>
          <w:tcPr>
            <w:tcW w:type="dxa" w:w="4320"/>
            <w:vAlign w:val="top"/>
          </w:tcPr>
          <w:p>
            <w:pPr>
              <w:spacing w:after="40"/>
            </w:pPr>
            <w:r>
              <w:rPr>
                <w:rFonts w:ascii="Times New Roman" w:hAnsi="Times New Roman"/>
                <w:sz w:val="18"/>
              </w:rPr>
              <w:t xml:space="preserve">None. An early implementation paired one retain batch with each forget batch, under-sampling R by up to 97×; it was corrected to the authors' code before the final runs.</w:t>
            </w:r>
          </w:p>
        </w:tc>
      </w:tr>
      <w:tr>
        <w:trPr>
          <w:cantSplit/>
        </w:trPr>
        <w:tc>
          <w:tcPr>
            <w:tcW w:type="dxa" w:w="1728"/>
            <w:vAlign w:val="top"/>
            <w:shd w:fill="F5F7F9"/>
          </w:tcPr>
          <w:p>
            <w:pPr>
              <w:spacing w:after="40"/>
            </w:pPr>
            <w:r>
              <w:rPr>
                <w:rFonts w:ascii="Times New Roman" w:hAnsi="Times New Roman"/>
                <w:sz w:val="18"/>
              </w:rPr>
              <w:t xml:space="preserve">L1-sparse</w:t>
            </w:r>
          </w:p>
        </w:tc>
        <w:tc>
          <w:tcPr>
            <w:tcW w:type="dxa" w:w="3312"/>
            <w:vAlign w:val="top"/>
            <w:shd w:fill="F5F7F9"/>
          </w:tcPr>
          <w:p>
            <w:pPr>
              <w:spacing w:after="40"/>
            </w:pPr>
            <w:r>
              <w:rPr>
                <w:rFonts w:ascii="Times New Roman" w:hAnsi="Times New Roman"/>
                <w:sz w:val="18"/>
              </w:rPr>
              <w:t xml:space="preserve">5 epochs on R with an L1 penalty, λ = 5×10⁻⁵; learning rate 0.01.</w:t>
            </w:r>
          </w:p>
        </w:tc>
        <w:tc>
          <w:tcPr>
            <w:tcW w:type="dxa" w:w="4320"/>
            <w:vAlign w:val="top"/>
            <w:shd w:fill="F5F7F9"/>
          </w:tcPr>
          <w:p>
            <w:pPr>
              <w:spacing w:after="40"/>
            </w:pPr>
            <w:r>
              <w:rPr>
                <w:rFonts w:ascii="Times New Roman" w:hAnsi="Times New Roman"/>
                <w:sz w:val="18"/>
              </w:rPr>
              <w:t xml:space="preserve">None.</w:t>
            </w:r>
          </w:p>
        </w:tc>
      </w:tr>
    </w:tbl>
    <w:p>
      <w:pPr>
        <w:spacing w:after="20"/>
      </w:pPr>
    </w:p>
    <w:p>
      <w:pPr>
        <w:spacing w:after="120"/>
      </w:pPr>
      <w:r>
        <w:rPr>
          <w:i w:val="0"/>
        </w:rPr>
        <w:t xml:space="preserve">A confound was found and removed in the pilot: methods that counted their budget in passes over the forget set received ten times more updates at 5,000 examples than at 500, so any size effect would partly have been a compute effect. All ascent budgets are fixed in steps, and every one of the 240 final models comes from the final implementation of its method.</w:t>
      </w:r>
    </w:p>
    <w:p>
      <w:pPr>
        <w:pStyle w:val="Heading1"/>
        <w:keepNext/>
      </w:pPr>
      <w:r>
        <w:t>13. Forget-Set Design</w:t>
      </w:r>
    </w:p>
    <w:p>
      <w:pPr>
        <w:spacing w:after="120"/>
      </w:pPr>
      <w:r>
        <w:rPr>
          <w:i w:val="0"/>
        </w:rPr>
        <w:t>Forget-set design is a deliberate independent variable. Recent research shows that randomly chosen examples can be insufficiently discriminative and that the characteristics of the deleted samples change unlearning difficulty [7], [8].</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1944"/>
            <w:shd w:fill="17324D"/>
            <w:vAlign w:val="center"/>
          </w:tcPr>
          <w:p>
            <w:pPr>
              <w:keepNext/>
            </w:pPr>
            <w:r>
              <w:rPr>
                <w:rFonts w:ascii="Times New Roman" w:hAnsi="Times New Roman"/>
                <w:b/>
                <w:color w:val="FFFFFF"/>
                <w:sz w:val="18"/>
              </w:rPr>
              <w:t>Condition</w:t>
            </w:r>
          </w:p>
        </w:tc>
        <w:tc>
          <w:tcPr>
            <w:tcW w:type="dxa" w:w="3888"/>
            <w:shd w:fill="17324D"/>
            <w:vAlign w:val="center"/>
          </w:tcPr>
          <w:p>
            <w:pPr>
              <w:keepNext/>
            </w:pPr>
            <w:r>
              <w:rPr>
                <w:rFonts w:ascii="Times New Roman" w:hAnsi="Times New Roman"/>
                <w:b/>
                <w:color w:val="FFFFFF"/>
                <w:sz w:val="18"/>
              </w:rPr>
              <w:t>Definition</w:t>
            </w:r>
          </w:p>
        </w:tc>
        <w:tc>
          <w:tcPr>
            <w:tcW w:type="dxa" w:w="3528"/>
            <w:shd w:fill="17324D"/>
            <w:vAlign w:val="center"/>
          </w:tcPr>
          <w:p>
            <w:pPr>
              <w:keepNext/>
            </w:pPr>
            <w:r>
              <w:rPr>
                <w:rFonts w:ascii="Times New Roman" w:hAnsi="Times New Roman"/>
                <w:b/>
                <w:color w:val="FFFFFF"/>
                <w:sz w:val="18"/>
              </w:rPr>
              <w:t>Purpose</w:t>
            </w:r>
          </w:p>
        </w:tc>
      </w:tr>
      <w:tr>
        <w:trPr>
          <w:cantSplit/>
        </w:trPr>
        <w:tc>
          <w:tcPr>
            <w:tcW w:type="dxa" w:w="1944"/>
            <w:vAlign w:val="top"/>
          </w:tcPr>
          <w:p>
            <w:pPr>
              <w:spacing w:after="40"/>
            </w:pPr>
            <w:r>
              <w:rPr>
                <w:rFonts w:ascii="Times New Roman" w:hAnsi="Times New Roman"/>
                <w:sz w:val="18"/>
              </w:rPr>
              <w:t xml:space="preserve">Size axis — Random 1% (rand-500)</w:t>
            </w:r>
          </w:p>
        </w:tc>
        <w:tc>
          <w:tcPr>
            <w:tcW w:type="dxa" w:w="3888"/>
            <w:vAlign w:val="top"/>
          </w:tcPr>
          <w:p>
            <w:pPr>
              <w:spacing w:after="40"/>
            </w:pPr>
            <w:r>
              <w:rPr>
                <w:rFonts w:ascii="Times New Roman" w:hAnsi="Times New Roman"/>
                <w:sz w:val="18"/>
              </w:rPr>
              <w:t xml:space="preserve">500 examples drawn uniformly at random.</w:t>
            </w:r>
          </w:p>
        </w:tc>
        <w:tc>
          <w:tcPr>
            <w:tcW w:type="dxa" w:w="3528"/>
            <w:vAlign w:val="top"/>
          </w:tcPr>
          <w:p>
            <w:pPr>
              <w:spacing w:after="40"/>
            </w:pPr>
            <w:r>
              <w:rPr>
                <w:rFonts w:ascii="Times New Roman" w:hAnsi="Times New Roman"/>
                <w:sz w:val="18"/>
              </w:rPr>
              <w:t xml:space="preserve">Deletion-size scaling check. A random CIFAR-10 subset is a mixture, not an easy case: about a quarter of CIFAR-10 has memorization above 0.5, so random sets carry real but diluted signal. (v2.0 called them overwhelmingly low-memorization; the measured scores show otherwise.)</w:t>
            </w:r>
          </w:p>
        </w:tc>
      </w:tr>
      <w:tr>
        <w:trPr>
          <w:cantSplit/>
        </w:trPr>
        <w:tc>
          <w:tcPr>
            <w:tcW w:type="dxa" w:w="1944"/>
            <w:vAlign w:val="top"/>
            <w:shd w:fill="F5F7F9"/>
          </w:tcPr>
          <w:p>
            <w:pPr>
              <w:spacing w:after="40"/>
            </w:pPr>
            <w:r>
              <w:rPr>
                <w:rFonts w:ascii="Times New Roman" w:hAnsi="Times New Roman"/>
                <w:sz w:val="18"/>
              </w:rPr>
              <w:t xml:space="preserve">Size axis — Random 5% (rand-2500)</w:t>
            </w:r>
          </w:p>
        </w:tc>
        <w:tc>
          <w:tcPr>
            <w:tcW w:type="dxa" w:w="3888"/>
            <w:vAlign w:val="top"/>
            <w:shd w:fill="F5F7F9"/>
          </w:tcPr>
          <w:p>
            <w:pPr>
              <w:spacing w:after="40"/>
            </w:pPr>
            <w:r>
              <w:rPr>
                <w:rFonts w:ascii="Times New Roman" w:hAnsi="Times New Roman"/>
                <w:sz w:val="18"/>
              </w:rPr>
              <w:t xml:space="preserve">2,500 examples drawn uniformly at random.</w:t>
            </w:r>
          </w:p>
        </w:tc>
        <w:tc>
          <w:tcPr>
            <w:tcW w:type="dxa" w:w="3528"/>
            <w:vAlign w:val="top"/>
            <w:shd w:fill="F5F7F9"/>
          </w:tcPr>
          <w:p>
            <w:pPr>
              <w:spacing w:after="40"/>
            </w:pPr>
            <w:r>
              <w:rPr>
                <w:rFonts w:ascii="Times New Roman" w:hAnsi="Times New Roman"/>
                <w:sz w:val="18"/>
              </w:rPr>
              <w:t>Scaling check and the point of comparison with the difficulty axis at matched size.</w:t>
            </w:r>
          </w:p>
        </w:tc>
      </w:tr>
      <w:tr>
        <w:trPr>
          <w:cantSplit/>
        </w:trPr>
        <w:tc>
          <w:tcPr>
            <w:tcW w:type="dxa" w:w="1944"/>
            <w:vAlign w:val="top"/>
          </w:tcPr>
          <w:p>
            <w:pPr>
              <w:spacing w:after="40"/>
            </w:pPr>
            <w:r>
              <w:rPr>
                <w:rFonts w:ascii="Times New Roman" w:hAnsi="Times New Roman"/>
                <w:sz w:val="18"/>
              </w:rPr>
              <w:t xml:space="preserve">Size axis — Random 10% (rand-5000)</w:t>
            </w:r>
          </w:p>
        </w:tc>
        <w:tc>
          <w:tcPr>
            <w:tcW w:type="dxa" w:w="3888"/>
            <w:vAlign w:val="top"/>
          </w:tcPr>
          <w:p>
            <w:pPr>
              <w:spacing w:after="40"/>
            </w:pPr>
            <w:r>
              <w:rPr>
                <w:rFonts w:ascii="Times New Roman" w:hAnsi="Times New Roman"/>
                <w:sz w:val="18"/>
              </w:rPr>
              <w:t xml:space="preserve">5,000 examples drawn uniformly at random.</w:t>
            </w:r>
          </w:p>
        </w:tc>
        <w:tc>
          <w:tcPr>
            <w:tcW w:type="dxa" w:w="3528"/>
            <w:vAlign w:val="top"/>
          </w:tcPr>
          <w:p>
            <w:pPr>
              <w:spacing w:after="40"/>
            </w:pPr>
            <w:r>
              <w:rPr>
                <w:rFonts w:ascii="Times New Roman" w:hAnsi="Times New Roman"/>
                <w:sz w:val="18"/>
              </w:rPr>
              <w:t>Scaling check. Note that the gap between influential and random forget sets narrows as forget-set size grows [7], so this is expected to be the least discriminative size, not the most.</w:t>
            </w:r>
          </w:p>
        </w:tc>
      </w:tr>
      <w:tr>
        <w:trPr>
          <w:cantSplit/>
        </w:trPr>
        <w:tc>
          <w:tcPr>
            <w:tcW w:type="dxa" w:w="1944"/>
            <w:vAlign w:val="top"/>
            <w:shd w:fill="F5F7F9"/>
          </w:tcPr>
          <w:p>
            <w:pPr>
              <w:spacing w:after="40"/>
            </w:pPr>
            <w:r>
              <w:rPr>
                <w:rFonts w:ascii="Times New Roman" w:hAnsi="Times New Roman"/>
                <w:sz w:val="18"/>
              </w:rPr>
              <w:t xml:space="preserve">Bridge — Random 3,000 (rand-3000)</w:t>
            </w:r>
          </w:p>
        </w:tc>
        <w:tc>
          <w:tcPr>
            <w:tcW w:type="dxa" w:w="3888"/>
            <w:vAlign w:val="top"/>
            <w:shd w:fill="F5F7F9"/>
          </w:tcPr>
          <w:p>
            <w:pPr>
              <w:spacing w:after="40"/>
            </w:pPr>
            <w:r>
              <w:rPr>
                <w:rFonts w:ascii="Times New Roman" w:hAnsi="Times New Roman"/>
                <w:sz w:val="18"/>
              </w:rPr>
              <w:t xml:space="preserve">3,000 examples drawn uniformly at random: the size of every memorization stratum.</w:t>
            </w:r>
          </w:p>
        </w:tc>
        <w:tc>
          <w:tcPr>
            <w:tcW w:type="dxa" w:w="3528"/>
            <w:vAlign w:val="top"/>
            <w:shd w:fill="F5F7F9"/>
          </w:tcPr>
          <w:p>
            <w:pPr>
              <w:spacing w:after="40"/>
            </w:pPr>
            <w:r>
              <w:rPr>
                <w:rFonts w:ascii="Times New Roman" w:hAnsi="Times New Roman"/>
                <w:sz w:val="18"/>
              </w:rPr>
              <w:t xml:space="preserve">Links the two axes: the random comparison point at matched size, and the reference condition of the confirmatory models.</w:t>
            </w:r>
          </w:p>
        </w:tc>
      </w:tr>
      <w:tr>
        <w:trPr>
          <w:cantSplit/>
        </w:trPr>
        <w:tc>
          <w:tcPr>
            <w:tcW w:type="dxa" w:w="1944"/>
            <w:vAlign w:val="top"/>
          </w:tcPr>
          <w:p>
            <w:pPr>
              <w:spacing w:after="40"/>
            </w:pPr>
            <w:r>
              <w:rPr>
                <w:rFonts w:ascii="Times New Roman" w:hAnsi="Times New Roman"/>
                <w:sz w:val="18"/>
              </w:rPr>
              <w:t xml:space="preserve">Difficulty axis — High memorization (mem-high-3000)</w:t>
            </w:r>
          </w:p>
        </w:tc>
        <w:tc>
          <w:tcPr>
            <w:tcW w:type="dxa" w:w="3888"/>
            <w:vAlign w:val="top"/>
          </w:tcPr>
          <w:p>
            <w:pPr>
              <w:spacing w:after="40"/>
            </w:pPr>
            <w:r>
              <w:rPr>
                <w:rFonts w:ascii="Times New Roman" w:hAnsi="Times New Roman"/>
                <w:sz w:val="18"/>
              </w:rPr>
              <w:t xml:space="preserve">The 3,000 highest-memorization examples, by the released CIFAR-10 memorization scores [8], [37] (mean score 0.97).</w:t>
            </w:r>
          </w:p>
        </w:tc>
        <w:tc>
          <w:tcPr>
            <w:tcW w:type="dxa" w:w="3528"/>
            <w:vAlign w:val="top"/>
          </w:tcPr>
          <w:p>
            <w:pPr>
              <w:spacing w:after="40"/>
            </w:pPr>
            <w:r>
              <w:rPr>
                <w:rFonts w:ascii="Times New Roman" w:hAnsi="Times New Roman"/>
                <w:sz w:val="18"/>
              </w:rPr>
              <w:t>Primary condition. Hard deletion requests are where original and retrained models genuinely differ, and therefore where audits have something to disagree about.</w:t>
            </w:r>
          </w:p>
        </w:tc>
      </w:tr>
      <w:tr>
        <w:trPr>
          <w:cantSplit/>
        </w:trPr>
        <w:tc>
          <w:tcPr>
            <w:tcW w:type="dxa" w:w="1944"/>
            <w:vAlign w:val="top"/>
            <w:shd w:fill="F5F7F9"/>
          </w:tcPr>
          <w:p>
            <w:pPr>
              <w:spacing w:after="40"/>
            </w:pPr>
            <w:r>
              <w:rPr>
                <w:rFonts w:ascii="Times New Roman" w:hAnsi="Times New Roman"/>
                <w:sz w:val="18"/>
              </w:rPr>
              <w:t xml:space="preserve">Difficulty axis — Medium memorization (mem-med-3000)</w:t>
            </w:r>
          </w:p>
        </w:tc>
        <w:tc>
          <w:tcPr>
            <w:tcW w:type="dxa" w:w="3888"/>
            <w:vAlign w:val="top"/>
            <w:shd w:fill="F5F7F9"/>
          </w:tcPr>
          <w:p>
            <w:pPr>
              <w:spacing w:after="40"/>
            </w:pPr>
            <w:r>
              <w:rPr>
                <w:rFonts w:ascii="Times New Roman" w:hAnsi="Times New Roman"/>
                <w:sz w:val="18"/>
              </w:rPr>
              <w:t xml:space="preserve">The 3,000 examples nearest 0.5 on the memorization scale, as RUM defines the medium stratum (mean 0.50); not the middle of the ranking, which on this bottom-heavy distribution sits near zero.</w:t>
            </w:r>
          </w:p>
        </w:tc>
        <w:tc>
          <w:tcPr>
            <w:tcW w:type="dxa" w:w="3528"/>
            <w:vAlign w:val="top"/>
            <w:shd w:fill="F5F7F9"/>
          </w:tcPr>
          <w:p>
            <w:pPr>
              <w:spacing w:after="40"/>
            </w:pPr>
            <w:r>
              <w:rPr>
                <w:rFonts w:ascii="Times New Roman" w:hAnsi="Times New Roman"/>
                <w:sz w:val="18"/>
              </w:rPr>
              <w:t>Interpolates the difficulty axis so that any trend in disagreement can be observed rather than inferred from two endpoints.</w:t>
            </w:r>
          </w:p>
        </w:tc>
      </w:tr>
      <w:tr>
        <w:trPr>
          <w:cantSplit/>
        </w:trPr>
        <w:tc>
          <w:tcPr>
            <w:tcW w:type="dxa" w:w="1944"/>
            <w:vAlign w:val="top"/>
          </w:tcPr>
          <w:p>
            <w:pPr>
              <w:spacing w:after="40"/>
            </w:pPr>
            <w:r>
              <w:rPr>
                <w:rFonts w:ascii="Times New Roman" w:hAnsi="Times New Roman"/>
                <w:sz w:val="18"/>
              </w:rPr>
              <w:t xml:space="preserve">Difficulty axis — Low memorization (mem-low-3000) — negative control</w:t>
            </w:r>
          </w:p>
        </w:tc>
        <w:tc>
          <w:tcPr>
            <w:tcW w:type="dxa" w:w="3888"/>
            <w:vAlign w:val="top"/>
          </w:tcPr>
          <w:p>
            <w:pPr>
              <w:spacing w:after="40"/>
            </w:pPr>
            <w:r>
              <w:rPr>
                <w:rFonts w:ascii="Times New Roman" w:hAnsi="Times New Roman"/>
                <w:sz w:val="18"/>
              </w:rPr>
              <w:t xml:space="preserve">The 3,000 lowest-memorization examples; every one scores exactly 0.</w:t>
            </w:r>
          </w:p>
        </w:tc>
        <w:tc>
          <w:tcPr>
            <w:tcW w:type="dxa" w:w="3528"/>
            <w:vAlign w:val="top"/>
          </w:tcPr>
          <w:p>
            <w:pPr>
              <w:spacing w:after="40"/>
            </w:pPr>
            <w:r>
              <w:rPr>
                <w:rFonts w:ascii="Times New Roman" w:hAnsi="Times New Roman"/>
                <w:sz w:val="18"/>
              </w:rPr>
              <w:t>Designed negative control. Theory predicts almost no difference between the original and retrained models here [19], so a correctly functioning audit battery should report no detectable signal. An audit that reports strong forgetting evidence in this condition is misbehaving.</w:t>
            </w:r>
          </w:p>
        </w:tc>
      </w:tr>
      <w:tr>
        <w:trPr>
          <w:cantSplit/>
        </w:trPr>
        <w:tc>
          <w:tcPr>
            <w:tcW w:type="dxa" w:w="1944"/>
            <w:vAlign w:val="top"/>
            <w:shd w:fill="F5F7F9"/>
          </w:tcPr>
          <w:p>
            <w:pPr>
              <w:spacing w:after="40"/>
            </w:pPr>
            <w:r>
              <w:rPr>
                <w:rFonts w:ascii="Times New Roman" w:hAnsi="Times New Roman"/>
                <w:sz w:val="18"/>
              </w:rPr>
              <w:t xml:space="preserve">Canary condition — ground truth by construction (canary-500)</w:t>
            </w:r>
          </w:p>
        </w:tc>
        <w:tc>
          <w:tcPr>
            <w:tcW w:type="dxa" w:w="3888"/>
            <w:vAlign w:val="top"/>
            <w:shd w:fill="F5F7F9"/>
          </w:tcPr>
          <w:p>
            <w:pPr>
              <w:spacing w:after="40"/>
            </w:pPr>
            <w:r>
              <w:rPr>
                <w:rFonts w:ascii="Times New Roman" w:hAnsi="Times New Roman"/>
                <w:sz w:val="18"/>
              </w:rPr>
              <w:t xml:space="preserve">500 randomly chosen training images whose label is replaced by (true label + 1 + index mod 9) mod 10 before the original model trains; the retrains are trained without them. The forget set is exactly those canaries.</w:t>
            </w:r>
          </w:p>
        </w:tc>
        <w:tc>
          <w:tcPr>
            <w:tcW w:type="dxa" w:w="3528"/>
            <w:vAlign w:val="top"/>
            <w:shd w:fill="F5F7F9"/>
          </w:tcPr>
          <w:p>
            <w:pPr>
              <w:spacing w:after="40"/>
            </w:pPr>
            <w:r>
              <w:rPr>
                <w:rFonts w:ascii="Times New Roman" w:hAnsi="Times New Roman"/>
                <w:sz w:val="18"/>
              </w:rPr>
              <w:t>Canaries can only be fitted by memorization, so a model retrained without them provably carries no canary-label association. Any residual canary behavior in an unlearned model is therefore unambiguously residual influence, which allows each audit to be scored for accuracy against a known answer rather than only compared with other audits.</w:t>
            </w:r>
            <w:r>
              <w:rPr>
                <w:rFonts w:ascii="Times New Roman" w:hAnsi="Times New Roman"/>
                <w:sz w:val="18"/>
              </w:rPr>
              <w:t xml:space="preserve"> Residual memory is measured as canary_top_wrong: among the nine wrong labels, how often the planted one is the model's favourite — about 1 in 9 for a model with no memory, 0.71 for the original.</w:t>
            </w:r>
          </w:p>
        </w:tc>
      </w:tr>
    </w:tbl>
    <w:p>
      <w:pPr>
        <w:spacing w:after="20"/>
      </w:pPr>
    </w:p>
    <w:p>
      <w:pPr>
        <w:spacing w:after="120"/>
      </w:pPr>
      <w:r>
        <w:rPr>
          <w:i w:val="0"/>
        </w:rPr>
        <w:t>The size axis and the difficulty axis are separate experimental factors and must not be collapsed back into a single list of conditions. The difficulty axis is primary because it is tied directly to the research gap; the size axis answers the scalability question and should not carry primary conclusions. Optional structured or user-level deletion may be added later, but must not displace either axis. If the schedule slips, the order of sacrifice is: secondary dataset first, then the 1% and 10% size conditions, then the canary condition — never the difficulty axis and never the oracle ensemble.</w:t>
      </w:r>
      <w:r>
        <w:rPr>
          <w:i w:val="0"/>
        </w:rPr>
        <w:t xml:space="preserve"> In the event nothing was sacrificed: all eight conditions were run at five seeds.</w:t>
      </w:r>
    </w:p>
    <w:p>
      <w:pPr>
        <w:spacing w:after="120"/>
      </w:pPr>
      <w:r>
        <w:rPr>
          <w:b/>
          <w:i w:val="0"/>
        </w:rPr>
        <w:t xml:space="preserve">As built. </w:t>
      </w:r>
      <w:r>
        <w:rPr>
          <w:i w:val="0"/>
        </w:rPr>
        <w:t xml:space="preserve">Forget sets are deterministic, hashed index arrays that regenerate byte-identically on any machine. The size axis is nested (rand-500 ⊂ rand-2500 ⊂ rand-3000 ⊂ rand-5000), so a difference between sizes is due to size rather than to which images were drawn, at the cost of the size conditions not being independent samples. Each kind of forget set draws from its own random stream, so the canaries and rand-500 overlap only by chance (3 of 500).</w:t>
      </w:r>
    </w:p>
    <w:p>
      <w:pPr>
        <w:pStyle w:val="Heading1"/>
        <w:keepNext/>
      </w:pPr>
      <w:r>
        <w:t>14. ForgetCheck Audit Architecture</w:t>
      </w:r>
    </w:p>
    <w:p>
      <w:pPr>
        <w:spacing w:after="120"/>
      </w:pPr>
      <w:r>
        <w:rPr>
          <w:i w:val="0"/>
        </w:rPr>
        <w:t>ForgetCheck is deliberately layered. Each audit tests a different failure mode. A deeper audit is not treated as magic proof; it provides an additional, partially independent view. The central outcome is whether these views agree.</w:t>
      </w:r>
      <w:r>
        <w:rPr>
          <w:i w:val="0"/>
        </w:rPr>
        <w:t xml:space="preserve"> Six audits were run on every model: retained utility and output behavior, two membership-inference attacks, representation, relearning, and a secondary retrain-free independence audit (14.9).</w:t>
      </w:r>
    </w:p>
    <w:p>
      <w:pPr>
        <w:jc w:val="center"/>
      </w:pPr>
      <w:r>
        <w:drawing>
          <wp:inline xmlns:a="http://schemas.openxmlformats.org/drawingml/2006/main" xmlns:pic="http://schemas.openxmlformats.org/drawingml/2006/picture">
            <wp:extent cx="5394960" cy="5273663"/>
            <wp:docPr id="2" name="Picture 2"/>
            <wp:cNvGraphicFramePr>
              <a:graphicFrameLocks noChangeAspect="1"/>
            </wp:cNvGraphicFramePr>
            <a:graphic>
              <a:graphicData uri="http://schemas.openxmlformats.org/drawingml/2006/picture">
                <pic:pic>
                  <pic:nvPicPr>
                    <pic:cNvPr id="0" name="forgetcheck_audit_ladder.png"/>
                    <pic:cNvPicPr/>
                  </pic:nvPicPr>
                  <pic:blipFill>
                    <a:blip r:embed="rId12"/>
                    <a:stretch>
                      <a:fillRect/>
                    </a:stretch>
                  </pic:blipFill>
                  <pic:spPr>
                    <a:xfrm>
                      <a:off x="0" y="0"/>
                      <a:ext cx="5394960" cy="5273663"/>
                    </a:xfrm>
                    <a:prstGeom prst="rect"/>
                  </pic:spPr>
                </pic:pic>
              </a:graphicData>
            </a:graphic>
          </wp:inline>
        </w:drawing>
      </w:r>
    </w:p>
    <w:p>
      <w:pPr>
        <w:jc w:val="center"/>
      </w:pPr>
      <w:r>
        <w:rPr>
          <w:i/>
          <w:sz w:val="19"/>
        </w:rPr>
        <w:t>Figure 2. Audit ladder used by ForgetCheck.</w:t>
      </w:r>
    </w:p>
    <w:p>
      <w:pPr>
        <w:pStyle w:val="Heading2"/>
        <w:keepNext/>
      </w:pPr>
      <w:r>
        <w:t>14.1 Audit Layer 1 — Retained Utility</w:t>
      </w:r>
    </w:p>
    <w:p>
      <w:pPr>
        <w:spacing w:after="120"/>
      </w:pPr>
      <w:r>
        <w:rPr>
          <w:i w:val="0"/>
        </w:rPr>
        <w:t>The first check asks whether the unlearning method simply damaged the model. A method that destroys normal capability can easily appear to have forgotten the target data. Retained utility therefore acts as a safety condition on every other forgetting claim.</w:t>
      </w:r>
    </w:p>
    <w:p>
      <w:pPr>
        <w:pStyle w:val="ListBullet"/>
        <w:spacing w:after="60"/>
        <w:ind w:left="346"/>
      </w:pPr>
      <w:r>
        <w:t>Test-set accuracy</w:t>
      </w:r>
    </w:p>
    <w:p>
      <w:pPr>
        <w:pStyle w:val="ListBullet"/>
        <w:spacing w:after="60"/>
        <w:ind w:left="346"/>
      </w:pPr>
      <w:r>
        <w:t>Retain-set accuracy</w:t>
      </w:r>
    </w:p>
    <w:p>
      <w:pPr>
        <w:pStyle w:val="ListBullet"/>
        <w:spacing w:after="60"/>
        <w:ind w:left="346"/>
      </w:pPr>
      <w:r>
        <w:t>Macro-F1</w:t>
      </w:r>
    </w:p>
    <w:p>
      <w:pPr>
        <w:pStyle w:val="ListBullet"/>
        <w:spacing w:after="60"/>
        <w:ind w:left="346"/>
      </w:pPr>
      <w:r>
        <w:t>Cross-entropy loss</w:t>
      </w:r>
    </w:p>
    <w:p>
      <w:pPr>
        <w:pStyle w:val="ListBullet"/>
        <w:spacing w:after="60"/>
        <w:ind w:left="346"/>
      </w:pPr>
      <w:r>
        <w:t>Optional confidence/calibration diagnostics</w:t>
      </w:r>
    </w:p>
    <w:tbl>
      <w:tblPr>
        <w:tblStyle w:val="TableGrid"/>
        <w:tblW w:type="auto" w:w="0"/>
        <w:jc w:val="center"/>
        <w:tblLook w:firstColumn="1" w:firstRow="1" w:lastColumn="0" w:lastRow="0" w:noHBand="0" w:noVBand="1" w:val="04A0"/>
      </w:tblPr>
      <w:tblGrid>
        <w:gridCol w:w="9242"/>
      </w:tblGrid>
      <w:tr>
        <w:trPr>
          <w:cantSplit/>
        </w:trPr>
        <w:tc>
          <w:tcPr>
            <w:tcW w:type="dxa" w:w="9242"/>
            <w:shd w:fill="FDE9D9"/>
          </w:tcPr>
          <w:p>
            <w:pPr>
              <w:spacing w:after="60"/>
            </w:pPr>
            <w:r>
              <w:rPr>
                <w:b/>
                <w:color w:val="17324D"/>
                <w:sz w:val="23"/>
              </w:rPr>
              <w:t>Interpretation</w:t>
            </w:r>
          </w:p>
          <w:p>
            <w:pPr>
              <w:spacing w:after="20"/>
            </w:pPr>
            <w:r>
              <w:rPr>
                <w:sz w:val="21"/>
              </w:rPr>
              <w:t>A method with excellent forget-set degradation but severe retained/test degradation is not “strong unlearning”; it is potentially catastrophic model damage.</w:t>
            </w:r>
          </w:p>
        </w:tc>
      </w:tr>
    </w:tbl>
    <w:p>
      <w:pPr>
        <w:spacing w:after="20"/>
      </w:pPr>
    </w:p>
    <w:p>
      <w:pPr>
        <w:spacing w:after="120"/>
      </w:pPr>
      <w:r>
        <w:rPr>
          <w:b/>
          <w:i w:val="0"/>
        </w:rPr>
        <w:t xml:space="preserve">As built: </w:t>
      </w:r>
      <w:r>
        <w:rPr>
          <w:i w:val="0"/>
        </w:rPr>
        <w:t xml:space="preserve">test accuracy is the guard. A model more than 5 points below the retrains' mean test accuracy is treated as damaged, and any audit's flag on it is read as damage rather than as retained influence (Section 15.5). The destroyed NegGrad control loses 83–86 points; healthy methods lose at most 3.8 points outside the low-memorization stratum, where gradient ascent on the easiest examples costs up to 7.8.</w:t>
      </w:r>
    </w:p>
    <w:p>
      <w:pPr>
        <w:pStyle w:val="Heading2"/>
        <w:keepNext/>
      </w:pPr>
      <w:r>
        <w:t>14.2 Audit Layer 1B — Forget-Set Behavior</w:t>
      </w:r>
    </w:p>
    <w:p>
      <w:pPr>
        <w:spacing w:after="120"/>
      </w:pPr>
      <w:r>
        <w:rPr>
          <w:i w:val="0"/>
        </w:rPr>
        <w:t>Measure the behavior of M0, Mu and Mr on F. The key comparison is Mu versus Mr, not simply whether Mu becomes wrong. For each sample, store predicted class, loss, confidence and full output distribution. This allows later separation of “changed output” from “retraining-consistent output.”</w:t>
      </w:r>
    </w:p>
    <w:p>
      <w:pPr>
        <w:pStyle w:val="Heading2"/>
        <w:keepNext/>
      </w:pPr>
      <w:r>
        <w:t>14.3 Audit Layer 1C — Output-Distribution Similarity</w:t>
      </w:r>
    </w:p>
    <w:p>
      <w:pPr>
        <w:spacing w:after="120"/>
      </w:pPr>
      <w:r>
        <w:rPr>
          <w:i w:val="0"/>
        </w:rPr>
        <w:t>For the same inputs, compare the probability or logit distributions produced by M0, Mu and Mr. Useful metrics include Jensen-Shannon divergence, prediction agreement and logit-space distance. KL divergence can be used carefully when numerical stability and support assumptions are satisfied.</w:t>
      </w:r>
    </w:p>
    <w:p>
      <w:pPr>
        <w:spacing w:after="120"/>
      </w:pPr>
      <w:r>
        <w:rPr>
          <w:i w:val="0"/>
        </w:rPr>
        <w:t>The directional intuition is that Mu should move away from M0 and toward Mr on the aspects affected by deletion. Recent relative-distribution auditing research further motivates comparing all three distributions rather than treating one retrained model as an absolute deterministic truth [14], [15].</w:t>
      </w:r>
    </w:p>
    <w:p>
      <w:pPr>
        <w:spacing w:after="120"/>
      </w:pPr>
      <w:r>
        <w:rPr>
          <w:b/>
          <w:i w:val="0"/>
        </w:rPr>
        <w:t xml:space="preserve">As built: </w:t>
      </w:r>
      <w:r>
        <w:rPr>
          <w:i w:val="0"/>
        </w:rPr>
        <w:t xml:space="preserve">Jensen–Shannon divergence to the reference retrains (js_to_oracle) is the primary behavioral metric, with prediction agreement and logit distance beside it. Divergence to the model's own original (js_to_original) is recorded as a direction check; calibrated, it proved among the most valid measures of residual memory on the canary.</w:t>
      </w:r>
    </w:p>
    <w:p>
      <w:pPr>
        <w:pStyle w:val="Heading2"/>
        <w:keepNext/>
      </w:pPr>
      <w:r>
        <w:t>14.4 Audit Layer 2 — Membership Inference</w:t>
      </w:r>
    </w:p>
    <w:p>
      <w:pPr>
        <w:spacing w:after="120"/>
      </w:pPr>
      <w:r>
        <w:rPr>
          <w:i w:val="0"/>
        </w:rPr>
        <w:t>Membership inference asks whether an attacker can distinguish former training members from non-members using model behavior. For forgotten samples, successful Untraining should make their membership characteristics resemble those of a model that never trained on them. Membership inference is a baseline audit rather than a novel contribution [4], [17]; what is not baseline is the choice of attack. Attacks divide into population attacks, which instantiate one attacker for all examples, and per-example attacks, which tailor a decision rule to each example. Population attacks systematically overestimate the privacy protection offered by unlearning, and per-example attacks can show privacy risk increasing after unlearning for a substantial fraction of examples [21]. Because this project ranks methods, a weak attack does not merely understate leakage — it produces a misleading ranking that propagates into every agreement statistic. Both attack strengths are therefore run, and the gap between them is reported as a result in its own right.</w:t>
      </w:r>
    </w:p>
    <w:p>
      <w:pPr>
        <w:pStyle w:val="ListBullet"/>
        <w:spacing w:after="60"/>
        <w:ind w:left="346"/>
      </w:pPr>
      <w:r>
        <w:t>ROC-AUC</w:t>
      </w:r>
    </w:p>
    <w:p>
      <w:pPr>
        <w:pStyle w:val="ListBullet"/>
        <w:spacing w:after="60"/>
        <w:ind w:left="346"/>
      </w:pPr>
      <w:r>
        <w:t>Attack accuracy</w:t>
      </w:r>
    </w:p>
    <w:p>
      <w:pPr>
        <w:pStyle w:val="ListBullet"/>
        <w:spacing w:after="60"/>
        <w:ind w:left="346"/>
      </w:pPr>
      <w:r>
        <w:t xml:space="preserve">TPR at 1% FPR (the operating point fixed after the pilot)</w:t>
      </w:r>
    </w:p>
    <w:p>
      <w:pPr>
        <w:pStyle w:val="ListBullet"/>
        <w:spacing w:after="60"/>
        <w:ind w:left="346"/>
      </w:pPr>
      <w:r>
        <w:t>Difference from retrained-oracle attack performance</w:t>
      </w:r>
    </w:p>
    <w:p>
      <w:pPr>
        <w:pStyle w:val="ListBullet"/>
        <w:spacing w:after="60"/>
        <w:ind w:left="346"/>
      </w:pPr>
      <w:r>
        <w:t xml:space="preserve">Attack A (population): a logistic attacker trained to separate forget examples from an equal number of test examples using loss, confidence and entropy, scored out-of-fold over five splits — the kind of attack the NeurIPS starter kit ships [17]. Included precisely because it is what the community commonly reports.</w:t>
      </w:r>
    </w:p>
    <w:p>
      <w:pPr>
        <w:pStyle w:val="ListBullet"/>
        <w:spacing w:after="60"/>
        <w:ind w:left="346"/>
      </w:pPr>
      <w:r>
        <w:t xml:space="preserve">Attack B (per-example): RMIA [27], chosen over full U-LiRA because it retains strong per-example power with only a handful of reference models, where earlier per-example attacks degrade toward random guessing. This is what makes a defensible strong attack affordable.</w:t>
      </w:r>
      <w:r>
        <w:t xml:space="preserve"> As run: 32 reference models, each trained on a random half of the training set; the offline estimator (a = 0.3, γ = 2) is used for members and non-members alike, so that the estimator itself cannot encode the member/non-member difference.</w:t>
      </w:r>
    </w:p>
    <w:p>
      <w:pPr>
        <w:pStyle w:val="ListBullet"/>
        <w:spacing w:after="60"/>
        <w:ind w:left="346"/>
      </w:pPr>
      <w:r>
        <w:t xml:space="preserve">Intra-family disagreement: rank correlation and verdict disagreement between Attack A and Attack B, reported alongside the between-family comparisons of Section 15.</w:t>
      </w:r>
    </w:p>
    <w:tbl>
      <w:tblPr>
        <w:tblStyle w:val="TableGrid"/>
        <w:tblW w:type="auto" w:w="0"/>
        <w:jc w:val="center"/>
        <w:tblLook w:firstColumn="1" w:firstRow="1" w:lastColumn="0" w:lastRow="0" w:noHBand="0" w:noVBand="1" w:val="04A0"/>
      </w:tblPr>
      <w:tblGrid>
        <w:gridCol w:w="9242"/>
      </w:tblGrid>
      <w:tr>
        <w:trPr>
          <w:cantSplit/>
        </w:trPr>
        <w:tc>
          <w:tcPr>
            <w:tcW w:type="dxa" w:w="9242"/>
            <w:shd w:fill="FFF4D6"/>
          </w:tcPr>
          <w:p>
            <w:pPr>
              <w:spacing w:after="60"/>
            </w:pPr>
            <w:r>
              <w:rPr>
                <w:b/>
                <w:color w:val="17324D"/>
                <w:sz w:val="23"/>
              </w:rPr>
              <w:t>Important limitation</w:t>
            </w:r>
          </w:p>
          <w:p>
            <w:pPr>
              <w:spacing w:after="20"/>
            </w:pPr>
            <w:r>
              <w:rPr>
                <w:sz w:val="21"/>
              </w:rPr>
              <w:t>A weak or failed membership-inference attack does not prove that the model erased the sample. It only shows that this attack, under this protocol, could not reliably exploit a membership signal — and a stronger attack may still succeed, which is why two attack strengths are run. Conversely, per-example attack scores can be gamed by degenerate strategies that flatten model outputs and destroy utility [25], so every privacy verdict must be read together with the retained-utility result from Audit Layer 1. Neither attack, alone or together, constitutes proof of deletion.</w:t>
            </w:r>
          </w:p>
        </w:tc>
      </w:tr>
    </w:tbl>
    <w:p>
      <w:pPr>
        <w:spacing w:after="20"/>
      </w:pPr>
    </w:p>
    <w:p>
      <w:pPr>
        <w:spacing w:after="120"/>
      </w:pPr>
      <w:r>
        <w:rPr>
          <w:b/>
          <w:i w:val="0"/>
        </w:rPr>
        <w:t xml:space="preserve">Native and calibrated verdicts. </w:t>
      </w:r>
      <w:r>
        <w:rPr>
          <w:i w:val="0"/>
        </w:rPr>
        <w:t xml:space="preserve">Each attack is read two ways: by its own rule (AUC significantly above 0.5; TPR above the nominal FPR) and against the band of genuine retrains (Section 15.5). The difference is the study's central validity result: a membership attack's correct value for a forgotten model is the retrains' value, which on atypical forget sets is far from 0.5 (0.84 at mem-high, 0.995 at the canary), because a trained attacker separates a forget set chosen by memorization or mislabeling from test data whether or not the model ever saw it.</w:t>
      </w:r>
    </w:p>
    <w:p>
      <w:pPr>
        <w:pStyle w:val="Heading2"/>
        <w:keepNext/>
      </w:pPr>
      <w:r>
        <w:t>14.5 Audit Layer 3 — Representation-Level Analysis</w:t>
      </w:r>
    </w:p>
    <w:p>
      <w:pPr>
        <w:spacing w:after="120"/>
      </w:pPr>
      <w:r>
        <w:rPr>
          <w:i w:val="0"/>
        </w:rPr>
        <w:t>Internal activations are collected from selected ResNet stages for the same probe examples across M0, Mu and Mr. The purpose is not to assert that representation similarity equals privacy leakage. Rather, it asks whether an unlearned model that looks retraining-like at the output level still remains internally much closer to the original model than to retraining. This layer requires two safeguards. First, CKA cannot be the sole instrument: CKA values can change substantially without a corresponding change in a model’s functional behavior, and CKA is demonstrably sensitive to outliers and to transformations that preserve linear separability [26]. A metric that moves independently of function is the wrong single instrument for a layer whose entire purpose is to detect what output metrics miss. Second, no representation number is interpretable without a scale, which the oracle ensemble of Section 16.1 supplies directly.</w:t>
      </w:r>
    </w:p>
    <w:p>
      <w:pPr>
        <w:pStyle w:val="ListBullet"/>
        <w:spacing w:after="60"/>
        <w:ind w:left="346"/>
      </w:pPr>
      <w:r>
        <w:rPr>
          <w:b/>
        </w:rPr>
        <w:t xml:space="preserve">Layer-wise CKA [36]: </w:t>
      </w:r>
      <w:r>
        <w:rPr/>
        <w:t xml:space="preserve">Centered Kernel Alignment provides a scale- and basis-robust way to compare representation geometry between models.</w:t>
      </w:r>
    </w:p>
    <w:p>
      <w:pPr>
        <w:pStyle w:val="ListBullet"/>
        <w:spacing w:after="60"/>
        <w:ind w:left="346"/>
      </w:pPr>
      <w:r>
        <w:rPr>
          <w:b/>
        </w:rPr>
        <w:t xml:space="preserve">Activation distance: </w:t>
      </w:r>
      <w:r>
        <w:rPr/>
        <w:t xml:space="preserve">computed, then retired from every verdict. Raw L2 compares neuron i of one network with neuron i of another, which only means something when the neurons correspond — as they do between an original model and the one retrain that shares its initialisation. That twin alone moved the score by 3.5–6.4 band half-widths, enough to flag every model at every condition.</w:t>
      </w:r>
    </w:p>
    <w:p>
      <w:pPr>
        <w:pStyle w:val="ListBullet"/>
        <w:spacing w:after="60"/>
        <w:ind w:left="346"/>
      </w:pPr>
      <w:r>
        <w:rPr>
          <w:b/>
        </w:rPr>
        <w:t xml:space="preserve">PCA visualization: </w:t>
      </w:r>
      <w:r>
        <w:t>Useful for presentation and exploratory analysis, but not a standalone proof.</w:t>
      </w:r>
    </w:p>
    <w:p>
      <w:pPr>
        <w:pStyle w:val="ListBullet"/>
        <w:spacing w:after="60"/>
        <w:ind w:left="346"/>
      </w:pPr>
      <w:r>
        <w:rPr>
          <w:b/>
        </w:rPr>
        <w:t xml:space="preserve">Probe-set separation: </w:t>
      </w:r>
      <w:r>
        <w:t>Analyze forget, retain and held-out test examples separately when interpreting representation changes.</w:t>
      </w:r>
    </w:p>
    <w:p>
      <w:pPr>
        <w:pStyle w:val="ListBullet"/>
        <w:spacing w:after="60"/>
        <w:ind w:left="346"/>
      </w:pPr>
      <w:r>
        <w:rPr>
          <w:b/>
        </w:rPr>
        <w:t xml:space="preserve">Second similarity measure (required): </w:t>
      </w:r>
      <w:r>
        <w:t xml:space="preserve">report at least one mechanistically different measure alongside linear CKA — RBF-CKA, orthogonal Procrustes distance, or distance correlation. A representation-level claim is made only where the two measures agree; where they disagree, that disagreement is itself reported. As built: RBF-CKA with a median bandwidth; it agrees with linear CKA (within-condition Kendall τ +0.84). Procrustes distance and distance correlation were not computed.</w:t>
      </w:r>
    </w:p>
    <w:p>
      <w:pPr>
        <w:pStyle w:val="ListBullet"/>
        <w:spacing w:after="60"/>
        <w:ind w:left="346"/>
      </w:pPr>
      <w:r>
        <w:rPr>
          <w:b/>
        </w:rPr>
        <w:t xml:space="preserve">Oracle-vs-oracle baseline (required): </w:t>
      </w:r>
      <w:r>
        <w:t xml:space="preserve">compute the same measures between pairs of independently retrained oracles. This establishes what "as similar as two retrainings" looks like numerically, so that a similarity value can be read as near-oracle or far-from-oracle rather than merely high or low.</w:t>
      </w:r>
    </w:p>
    <w:p>
      <w:pPr>
        <w:pStyle w:val="ListBullet"/>
        <w:spacing w:after="60"/>
        <w:ind w:left="346"/>
      </w:pPr>
      <w:r>
        <w:rPr>
          <w:b/>
        </w:rPr>
        <w:t xml:space="preserve">Representation to the original (cka_to_original): </w:t>
      </w:r>
      <w:r>
        <w:t xml:space="preserve">linear CKA between a model and its own original model, added on 1 October 2026 to test H3, whose subject is closeness to the original rather than distance from the retrains.</w:t>
      </w:r>
    </w:p>
    <w:p>
      <w:pPr>
        <w:spacing w:after="120"/>
      </w:pPr>
      <w:r>
        <w:rPr>
          <w:i w:val="0"/>
        </w:rPr>
        <w:t>Recent representation-level unlearning work uses tools such as PCA, CKA and Fisher information and demonstrates that task-level collapse can coexist with recoverable internal structure [13]. ForgetCheck therefore uses these tools as diagnostics rather than claiming to invent them.</w:t>
      </w:r>
    </w:p>
    <w:p>
      <w:pPr>
        <w:spacing w:after="120"/>
      </w:pPr>
      <w:r>
        <w:rPr>
          <w:b/>
          <w:i w:val="0"/>
        </w:rPr>
        <w:t xml:space="preserve">As built: </w:t>
      </w:r>
      <w:r>
        <w:rPr>
          <w:i w:val="0"/>
        </w:rPr>
        <w:t xml:space="preserve">global-average-pooled activations of layers 1–4 on a fixed 3,000-image probe (1,000 each of forget, retain and test images). Layer 4 is the headline layer: on the canary only late layers carry forget-set-specific structure, and layer-1 CKA catches none of the models that still remember.</w:t>
      </w:r>
    </w:p>
    <w:p>
      <w:pPr>
        <w:pStyle w:val="Heading2"/>
        <w:keepNext/>
      </w:pPr>
      <w:r>
        <w:t>14.6 Why Linear Probing Is Optional, Not Core</w:t>
      </w:r>
    </w:p>
    <w:p>
      <w:pPr>
        <w:spacing w:after="120"/>
      </w:pPr>
      <w:r>
        <w:rPr>
          <w:i w:val="0"/>
        </w:rPr>
        <w:t>A linear probe can be misleading for ordinary instance deletion. If one dog image is forgotten, it is perfectly legitimate for the network to retain a representation of the general “dog” concept. Therefore a probe that still decodes dog-versus-cat is not proof that the specific image remains memorized. Linear probes become more meaningful for class unlearning or synthetic user-specific attributes. They are an optional extension, not a mandatory core audit.</w:t>
      </w:r>
    </w:p>
    <w:p>
      <w:pPr>
        <w:pStyle w:val="Heading2"/>
        <w:keepNext/>
      </w:pPr>
      <w:r>
        <w:t>14.7 Audit Layer 4 — Relearning / Reversibility</w:t>
      </w:r>
    </w:p>
    <w:p>
      <w:pPr>
        <w:spacing w:after="120"/>
      </w:pPr>
      <w:r>
        <w:rPr>
          <w:i w:val="0"/>
        </w:rPr>
        <w:t xml:space="preserve">Relearning tests whether apparently forgotten behavior can be reacquired unusually quickly. Time-to-relearn is an established instrument in vision unlearning rather than a new metric; what this project contributes is elevating it to a fully ranked audit family and asking whether it agrees with the other three. Starting separately from Mu and Mr, models are fine-tuned under an identical controlled protocol using a small, specified reintroduction of forgotten information, with performance recorded at fixed steps, at steps 0, 1, 2, 5, 10, 25, 50 and 100. Two anchor arms are required, because a recovery curve is uninterpretable without a scale and because models entering relearning at different utility levels have different amounts of headroom — which would otherwise let "started closer" masquerade as "retained more structure".</w:t>
      </w:r>
    </w:p>
    <w:p>
      <w:pPr>
        <w:pStyle w:val="ListBullet"/>
        <w:spacing w:after="60"/>
        <w:ind w:left="346"/>
      </w:pPr>
      <w:r>
        <w:rPr>
          <w:b/>
        </w:rPr>
        <w:t xml:space="preserve">Steps-to-recovery (e.g., T80): </w:t>
      </w:r>
      <w:r>
        <w:t>Number of updates required to recover 80% of a defined original forget-set performance level.</w:t>
      </w:r>
    </w:p>
    <w:p>
      <w:pPr>
        <w:pStyle w:val="ListBullet"/>
        <w:spacing w:after="60"/>
        <w:ind w:left="346"/>
      </w:pPr>
      <w:r>
        <w:rPr>
          <w:b/>
        </w:rPr>
        <w:t xml:space="preserve">Area under the relearning curve: </w:t>
      </w:r>
      <w:r>
        <w:t>Summarizes how rapidly performance returns across the complete fine-tuning trajectory.</w:t>
      </w:r>
    </w:p>
    <w:p>
      <w:pPr>
        <w:pStyle w:val="ListBullet"/>
        <w:spacing w:after="60"/>
        <w:ind w:left="346"/>
      </w:pPr>
      <w:r>
        <w:rPr>
          <w:b/>
        </w:rPr>
        <w:t xml:space="preserve">Relative recovery: </w:t>
      </w:r>
      <w:r>
        <w:t>Compare Mu and Mr under identical data, optimizer and learning-rate settings.</w:t>
      </w:r>
    </w:p>
    <w:p>
      <w:pPr>
        <w:pStyle w:val="ListBullet"/>
        <w:spacing w:after="60"/>
        <w:ind w:left="346"/>
      </w:pPr>
      <w:r>
        <w:rPr>
          <w:b/>
        </w:rPr>
        <w:t xml:space="preserve">Utility check: </w:t>
      </w:r>
      <w:r>
        <w:t>Confirm that the relearning procedure does not simply create global model collapse or artificial imbalance.</w:t>
      </w:r>
    </w:p>
    <w:p>
      <w:pPr>
        <w:pStyle w:val="ListBullet"/>
        <w:spacing w:after="60"/>
        <w:ind w:left="346"/>
      </w:pPr>
      <w:r>
        <w:rPr>
          <w:b/>
        </w:rPr>
        <w:t xml:space="preserve">Upper anchor — M0: </w:t>
      </w:r>
      <w:r>
        <w:t xml:space="preserve">the model that never forgot, relearned under the identical protocol. Defines the fastest recovery physically available.</w:t>
      </w:r>
    </w:p>
    <w:p>
      <w:pPr>
        <w:pStyle w:val="ListBullet"/>
        <w:spacing w:after="60"/>
        <w:ind w:left="346"/>
      </w:pPr>
      <w:r>
        <w:rPr>
          <w:b/>
        </w:rPr>
        <w:t xml:space="preserve">Lower anchor — the paired retrain: </w:t>
      </w:r>
      <w:r>
        <w:t xml:space="preserve">relearned under the identical protocol; normalised recovery is 0 there and 1 at M0. A randomly initialised network relearns the same batches once per condition as a protocol check: it must relearn less than a retrain, which it does at 7 of 8 conditions; at the canary it matches the retrain, as expected, because a retrain's true-label prior works against the planted labels.</w:t>
      </w:r>
    </w:p>
    <w:p>
      <w:pPr>
        <w:pStyle w:val="ListBullet"/>
        <w:spacing w:after="60"/>
        <w:ind w:left="346"/>
      </w:pPr>
      <w:r>
        <w:rPr>
          <w:b/>
        </w:rPr>
        <w:t xml:space="preserve">Normalised recovery: </w:t>
      </w:r>
      <w:r>
        <w:t xml:space="preserve">report each model’s recovery on a scale between the two anchors, not in raw units, and report starting utility either matched across arms or carried as a covariate in the mixed-effects models of Section 16.2.</w:t>
      </w:r>
    </w:p>
    <w:p>
      <w:pPr>
        <w:spacing w:after="120"/>
      </w:pPr>
      <w:r>
        <w:rPr>
          <w:i w:val="0"/>
        </w:rPr>
        <w:t>If Mu recovers much faster than Mr under a controlled protocol, that is evidence consistent with residual recoverable structure. It is not by itself a formal proof of memorization. This caution mirrors current reversibility research [13].</w:t>
      </w:r>
    </w:p>
    <w:p>
      <w:pPr>
        <w:spacing w:after="120"/>
      </w:pPr>
      <w:r>
        <w:rPr>
          <w:b/>
          <w:i w:val="0"/>
        </w:rPr>
        <w:t xml:space="preserve">As run: </w:t>
      </w:r>
      <w:r>
        <w:rPr>
          <w:i w:val="0"/>
        </w:rPr>
        <w:t xml:space="preserve">500 forget examples are reintroduced (at the canary, with their planted labels) and each arm is fine-tuned for 100 steps with SGD (learning rate 0.01, momentum 0.9, batch 128). A recovery during which utility falls more than 5 points is voided, and normalised recovery is left undefined where the anchors differ by less than 2 points. One finding to carry into any use of this protocol: because the curve includes its starting point and only 500 of up to 5,000 forget examples are reintroduced, relearning AUC mostly repeats starting forget accuracy; it adds information only where accuracy is near its ceiling.</w:t>
      </w:r>
    </w:p>
    <w:p>
      <w:pPr>
        <w:pStyle w:val="Heading2"/>
        <w:keepNext/>
      </w:pPr>
      <w:r>
        <w:t>14.8 Audit Layer 4B — Stress Conditions</w:t>
      </w:r>
    </w:p>
    <w:p>
      <w:pPr>
        <w:pStyle w:val="ListBullet"/>
        <w:spacing w:after="60"/>
        <w:ind w:left="346"/>
      </w:pPr>
      <w:r>
        <w:t xml:space="preserve">Deletion-size stress: compare 500, 2,500, 3,000 and 5,000 random examples.</w:t>
      </w:r>
    </w:p>
    <w:p>
      <w:pPr>
        <w:pStyle w:val="ListBullet"/>
        <w:spacing w:after="60"/>
        <w:ind w:left="346"/>
      </w:pPr>
      <w:r>
        <w:t>Forget-difficulty stress: compare low, medium and high memorization strata at fixed forget-set size, with the low stratum serving as a designed negative control.</w:t>
      </w:r>
    </w:p>
    <w:p>
      <w:pPr>
        <w:pStyle w:val="ListBullet"/>
        <w:spacing w:after="60"/>
        <w:ind w:left="346"/>
      </w:pPr>
      <w:r>
        <w:t xml:space="preserve">Audit-validity stress: pass held-out retrained oracles and the canary condition through every audit, per Section 15.5.</w:t>
      </w:r>
    </w:p>
    <w:p>
      <w:pPr>
        <w:pStyle w:val="ListBullet"/>
        <w:spacing w:after="60"/>
        <w:ind w:left="346"/>
      </w:pPr>
      <w:r>
        <w:t>Optional sequential deletion: add only after core experiments; MUSE identifies successive removal as a relevant challenge [11].</w:t>
      </w:r>
      <w:r>
        <w:t xml:space="preserve"> Not run.</w:t>
      </w:r>
    </w:p>
    <w:p>
      <w:pPr>
        <w:pStyle w:val="Heading2"/>
        <w:keepNext/>
      </w:pPr>
      <w:r>
        <w:t xml:space="preserve">14.9 Audit Layer 5 — Subset Independence (SDE), Secondary</w:t>
      </w:r>
    </w:p>
    <w:p>
      <w:pPr>
        <w:spacing w:after="120"/>
      </w:pPr>
      <w:r>
        <w:rPr>
          <w:i w:val="0"/>
        </w:rPr>
        <w:t xml:space="preserve">Added on 15 September 2026 with the team's approval, after the novelty check resolved the ICLR 2026 paper behind it [35]. SDE is retrain-free: it splits a subset in half, measures the statistical dependence (HSIC) between the model's outputs on the two halves, and compares the result with in-training (retain) and out-of-training (test) references; training induces dependence, so a subset the model remembers should look in-training. It is run because it is exactly the kind of retrain-free verdict whose validity this project tests. One departure: the kernel bandwidth uses the median heuristic, because the paper's √dimension bandwidth collapses HSIC to numerical noise on 10-class softmax outputs. Its family is registered as unranked, so it is secondary throughout.</w:t>
      </w:r>
    </w:p>
    <w:p>
      <w:pPr>
        <w:pStyle w:val="Heading1"/>
        <w:keepNext/>
      </w:pPr>
      <w:r>
        <w:t>15. Cross-Audit Disagreement Analysis</w:t>
      </w:r>
    </w:p>
    <w:p>
      <w:pPr>
        <w:spacing w:after="120"/>
      </w:pPr>
      <w:r>
        <w:rPr>
          <w:i w:val="0"/>
        </w:rPr>
        <w:t>This section contains the project’s most distinctive analysis. Each unlearning method receives separate audit scores, but the paper is not merely a scoreboard. We ask whether method rankings and pass/fail conclusions remain stable across audit families.</w:t>
      </w:r>
    </w:p>
    <w:p>
      <w:pPr>
        <w:pStyle w:val="Heading2"/>
        <w:keepNext/>
      </w:pPr>
      <w:r>
        <w:t>15.1 Method Ranking</w:t>
      </w:r>
    </w:p>
    <w:p>
      <w:pPr>
        <w:spacing w:after="120"/>
      </w:pPr>
      <w:r>
        <w:rPr>
          <w:i w:val="0"/>
        </w:rPr>
        <w:t>For each experimental setting, rank the unlearning methods separately under behavioral similarity, membership privacy, representation similarity and relearning resistance. The direction of “better” must be defined before analysis and normalized relative to retraining where necessary.</w:t>
      </w:r>
    </w:p>
    <w:p>
      <w:pPr>
        <w:pStyle w:val="Heading2"/>
        <w:keepNext/>
      </w:pPr>
      <w:r>
        <w:t>15.2 Rank Correlation</w:t>
      </w:r>
    </w:p>
    <w:p>
      <w:pPr>
        <w:spacing w:after="120"/>
      </w:pPr>
      <w:r>
        <w:rPr>
          <w:i w:val="0"/>
        </w:rPr>
        <w:t xml:space="preserve">The unit of analysis is the model instance, not the method. Ranking the methods and correlating those ranks would be statistically inert: with n items there are n! orderings, and for small n the attainable p-values are severely restricted. With the four methods of v1.0 the minimum attainable two-sided p-value for Kendall’s tau is 0.0833, meaning that two audits ranking all four methods identically could still not be declared to agree at the 0.05 level; at five methods it is 0.0167, and at six 0.0028. Rank tables per setting are therefore retained as descriptive displays only. The inferential analysis instead correlates metric values across every (method x forget-condition x seed) model instance, giving 197 observations in this study rather than five, which is the approach taken by comparable published work [20]. Kendall’s tau and Spearman correlation are both reported over that instance-level population, with bootstrap confidence intervals. Pairwise comparisons include behavior vs privacy, behavior vs representation, privacy vs relearning, representation vs relearning, and — within the privacy family — population attack vs per-example attack.</w:t>
      </w:r>
      <w:r>
        <w:rPr>
          <w:i w:val="0"/>
        </w:rPr>
        <w:t xml:space="preserve"> Each correlation is reported pooled, per condition, and within conditions (the n-weighted mean of the per-condition values), because pooling across conditions can manufacture agreement when every audit merely shifts with the condition.</w:t>
      </w:r>
    </w:p>
    <w:p>
      <w:pPr>
        <w:pStyle w:val="Heading2"/>
        <w:keepNext/>
      </w:pPr>
      <w:r>
        <w:t>15.3 Pass/Fail Disagreement</w:t>
      </w:r>
    </w:p>
    <w:p>
      <w:pPr>
        <w:spacing w:after="120"/>
      </w:pPr>
      <w:r>
        <w:rPr>
          <w:i w:val="0"/>
        </w:rPr>
        <w:t>For selected metrics, define pass/fail bands relative to the stochastic retraining reference rather than arbitrary absolute thresholds. Then compute the percentage of model–setting combinations for which two audits give contradictory verdicts. Thresholds should be calibrated using the variation among independent retrained models wherever practical.</w:t>
      </w:r>
      <w:r>
        <w:rPr>
          <w:i w:val="0"/>
        </w:rPr>
        <w:t xml:space="preserve"> As run, this verdict statistic was saturated: behavior, representation and relearning flag every healthy model, so they cannot disagree, and the informative disagreement lies in the gaps of 15.4.</w:t>
      </w:r>
    </w:p>
    <w:p>
      <w:pPr>
        <w:pStyle w:val="Heading2"/>
        <w:keepNext/>
      </w:pPr>
      <w:r>
        <w:t>15.4 Normalized Oracle Gap</w:t>
      </w:r>
    </w:p>
    <w:p>
      <w:pPr>
        <w:spacing w:after="120"/>
      </w:pPr>
      <w:r>
        <w:rPr>
          <w:i w:val="0"/>
        </w:rPr>
        <w:t>For a scalar metric m, a convenient internal normalization is Gm = |m(Mu) − m(Mr)| / (|m(M0) − m(Mr)| + ε). G near 0 means the unlearned model is close to retraining on that metric; G near 1 means little progress relative to the original; values above 1 mean the model moved farther from retraining. This is a project-level analysis device, not a claimed new theoretical metric.</w:t>
      </w:r>
      <w:r>
        <w:rPr>
          <w:i w:val="0"/>
        </w:rPr>
        <w:t xml:space="preserve"> As built, G is summarised by medians, because its tail is long wherever the denominator is small, and modelled on the log scale, where the original model's gap becomes a constant absorbed by the condition term and each method coefficient is a ratio. Where direction matters (H3), a signed form is used, (m(Mu) − m(Mr)) / (m(M0) − m(Mr)), which is negative when a model sits on the far side of the retrains from the original.</w:t>
      </w:r>
    </w:p>
    <w:tbl>
      <w:tblPr>
        <w:tblStyle w:val="TableGrid"/>
        <w:tblW w:type="auto" w:w="0"/>
        <w:jc w:val="center"/>
        <w:tblLook w:firstColumn="1" w:firstRow="1" w:lastColumn="0" w:lastRow="0" w:noHBand="0" w:noVBand="1" w:val="04A0"/>
      </w:tblPr>
      <w:tblGrid>
        <w:gridCol w:w="9242"/>
      </w:tblGrid>
      <w:tr>
        <w:trPr>
          <w:cantSplit/>
        </w:trPr>
        <w:tc>
          <w:tcPr>
            <w:tcW w:type="dxa" w:w="9242"/>
            <w:shd w:fill="E7F2EC"/>
          </w:tcPr>
          <w:p>
            <w:pPr>
              <w:spacing w:after="60"/>
            </w:pPr>
            <w:r>
              <w:rPr>
                <w:b/>
                <w:color w:val="17324D"/>
                <w:sz w:val="23"/>
              </w:rPr>
              <w:t>Low-discriminability safeguard</w:t>
            </w:r>
          </w:p>
          <w:p>
            <w:pPr>
              <w:spacing w:after="20"/>
            </w:pPr>
            <w:r>
              <w:rPr>
                <w:sz w:val="21"/>
              </w:rPr>
              <w:t>If the original and retrained models already have nearly identical values for a metric, the denominator becomes too small and that metric cannot meaningfully distinguish unlearning. Mark the setting as low-discriminability instead of forcing a score. This is especially important for easy random forget sets [7].</w:t>
            </w:r>
            <w:r>
              <w:rPr>
                <w:sz w:val="21"/>
              </w:rPr>
              <w:t xml:space="preserve"> As built: a cell is marked when the original model lies within one retrain standard deviation of the retrain mean or, for proportion metrics, within 2 points of it, since the standard-deviation rule cannot see a ceiling.</w:t>
            </w:r>
          </w:p>
        </w:tc>
      </w:tr>
    </w:tbl>
    <w:p>
      <w:pPr>
        <w:spacing w:after="20"/>
      </w:pPr>
    </w:p>
    <w:p>
      <w:pPr>
        <w:pStyle w:val="Heading2"/>
        <w:keepNext/>
      </w:pPr>
      <w:r>
        <w:t xml:space="preserve">15.5 Audit Calibration and Validity</w:t>
      </w:r>
    </w:p>
    <w:p>
      <w:pPr>
        <w:spacing w:after="120"/>
      </w:pPr>
      <w:r>
        <w:rPr>
          <w:i w:val="0"/>
        </w:rPr>
        <w:t xml:space="preserve">Sections 15.1 to 15.4 measure whether audits agree. This section measures whether they are right, which is a different and stronger question. Two checks make it answerable, and both are run before any disagreement result is interpreted.</w:t>
      </w:r>
    </w:p>
    <w:p>
      <w:pPr>
        <w:spacing w:after="120"/>
      </w:pPr>
      <w:r>
        <w:rPr>
          <w:b/>
          <w:i w:val="0"/>
        </w:rPr>
        <w:t xml:space="preserve">Oracle false-positive rate. </w:t>
      </w:r>
      <w:r>
        <w:rPr>
          <w:i w:val="0"/>
        </w:rPr>
        <w:t xml:space="preserve">Every retrain is passed through every audit as though it were a candidate unlearned model and compared with a band built from the other retrains (leave-one-out), so each audit's false-positive rate rests on all 52 retrains: 17 at the primary condition, 5 elsewhere. The pre-registered split at the primary condition (nine band-forming retrains, three held out) is reported as a check. A genuine retrain is, by definition, perfectly untrained on the forget set, so any “not forgotten” verdict for it is a false positive. This is not a formality: recent work found a proposed certification criterion that its own retraining reference passed in only one case out of forty-five [28].</w:t>
      </w:r>
    </w:p>
    <w:p>
      <w:pPr>
        <w:spacing w:after="120"/>
      </w:pPr>
      <w:r>
        <w:rPr>
          <w:b/>
          <w:i w:val="0"/>
        </w:rPr>
        <w:t xml:space="preserve">Bands, native verdicts and power. </w:t>
      </w:r>
      <w:r>
        <w:rPr>
          <w:i w:val="0"/>
        </w:rPr>
        <w:t xml:space="preserve">The band for each metric and condition is a 95.45% prediction interval, mean ± t·s·√(1 + 1/n), which holds its nominal rate with as few as four retrains where a literal mean ± 2 sd does not; it is one-sided for metrics with a direction and two-sided for “closer to the oracle”. Each audit is read two ways, by its own decision rule (the native verdict) and against the band (the calibrated verdict). The original model is passed through the same audits at every condition as the positive control, so each audit also reports its power.</w:t>
      </w:r>
    </w:p>
    <w:p>
      <w:pPr>
        <w:spacing w:after="120"/>
      </w:pPr>
      <w:r>
        <w:rPr>
          <w:b/>
          <w:i w:val="0"/>
        </w:rPr>
        <w:t xml:space="preserve">Canary accuracy. </w:t>
      </w:r>
      <w:r>
        <w:rPr>
          <w:i w:val="0"/>
        </w:rPr>
        <w:t xml:space="preserve">In the canary condition of Section 13, residual influence is known by construction: a model retrained without the mislabeled canaries provably carries no canary-label association, so any residual canary behavior is unambiguously residual influence. Each audit's verdict is therefore scored against a known answer, as balanced accuracy over the original models and healthy unlearned models (positives) and the retrains and destroyed controls (negatives). The ground truth is canary_top_wrong; the registered canary_acc and canary_prob mis-score a destroyed model, which hits the planted label one time in ten by chance.</w:t>
      </w:r>
    </w:p>
    <w:p>
      <w:pPr>
        <w:spacing w:after="120"/>
      </w:pPr>
      <w:r>
        <w:rPr>
          <w:b/>
          <w:i w:val="0"/>
        </w:rPr>
        <w:t xml:space="preserve">Utility guard. </w:t>
      </w:r>
      <w:r>
        <w:rPr>
          <w:i w:val="0"/>
        </w:rPr>
        <w:t xml:space="preserve">A distance from the retrains says “not a retrain”, which is as true of a broken model as of one that remembers. A model more than 5 points below the retrains' test accuracy is therefore treated as damaged, and a flag on it is read as damage. On the canary this guard is what lifts most retrain-referenced audits from a balanced accuracy of 0.75 to 1.00.</w:t>
      </w:r>
    </w:p>
    <w:p>
      <w:pPr>
        <w:spacing w:after="120"/>
      </w:pPr>
      <w:r>
        <w:rPr>
          <w:b/>
          <w:i w:val="0"/>
        </w:rPr>
        <w:t xml:space="preserve">Reporting rule. </w:t>
      </w:r>
      <w:r>
        <w:rPr>
          <w:i w:val="0"/>
        </w:rPr>
        <w:t xml:space="preserve">An audit family that shows a high oracle false-positive rate or poor canary accuracy is reported as unreliable in that setting, and its contribution to the disagreement analysis is interpreted accordingly. Disagreement between a validated audit and an unreliable one is not evidence that the question is hard; it is evidence about the unreliable audit.</w:t>
      </w:r>
    </w:p>
    <w:p>
      <w:pPr>
        <w:spacing w:after="120"/>
      </w:pPr>
      <w:r>
        <w:rPr>
          <w:b/>
          <w:i w:val="0"/>
        </w:rPr>
        <w:t xml:space="preserve">Outcome (Section 8.4). </w:t>
      </w:r>
      <w:r>
        <w:rPr>
          <w:i w:val="0"/>
        </w:rPr>
        <w:t xml:space="preserve">Every audit's own rule fails somewhere on realistic forget sets, while calibrated verdicts hold a false-positive rate of 2.4% at the five-retrain conditions and 4.2% at the primary condition, against a nominal 2.3–4.6%.</w:t>
      </w:r>
    </w:p>
    <w:p>
      <w:pPr>
        <w:pStyle w:val="Heading1"/>
        <w:keepNext/>
      </w:pPr>
      <w:r>
        <w:t>16. Experimental Matrix and Statistical Methodology</w:t>
      </w:r>
    </w:p>
    <w:p>
      <w:pPr>
        <w:pStyle w:val="Heading2"/>
        <w:keepNext/>
      </w:pPr>
      <w:r>
        <w:t>16.1 Core Matrix</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736"/>
            <w:shd w:fill="17324D"/>
            <w:vAlign w:val="center"/>
          </w:tcPr>
          <w:p>
            <w:pPr>
              <w:keepNext/>
            </w:pPr>
            <w:r>
              <w:rPr>
                <w:rFonts w:ascii="Times New Roman" w:hAnsi="Times New Roman"/>
                <w:b/>
                <w:color w:val="FFFFFF"/>
                <w:sz w:val="19"/>
              </w:rPr>
              <w:t>Factor</w:t>
            </w:r>
          </w:p>
        </w:tc>
        <w:tc>
          <w:tcPr>
            <w:tcW w:type="dxa" w:w="6480"/>
            <w:shd w:fill="17324D"/>
            <w:vAlign w:val="center"/>
          </w:tcPr>
          <w:p>
            <w:pPr>
              <w:keepNext/>
            </w:pPr>
            <w:r>
              <w:rPr>
                <w:rFonts w:ascii="Times New Roman" w:hAnsi="Times New Roman"/>
                <w:b/>
                <w:color w:val="FFFFFF"/>
                <w:sz w:val="19"/>
              </w:rPr>
              <w:t>Core Values</w:t>
            </w:r>
          </w:p>
        </w:tc>
      </w:tr>
      <w:tr>
        <w:trPr>
          <w:cantSplit/>
        </w:trPr>
        <w:tc>
          <w:tcPr>
            <w:tcW w:type="dxa" w:w="2736"/>
            <w:vAlign w:val="top"/>
          </w:tcPr>
          <w:p>
            <w:pPr>
              <w:spacing w:after="40"/>
            </w:pPr>
            <w:r>
              <w:rPr>
                <w:rFonts w:ascii="Times New Roman" w:hAnsi="Times New Roman"/>
                <w:sz w:val="19"/>
              </w:rPr>
              <w:t>Dataset</w:t>
            </w:r>
          </w:p>
        </w:tc>
        <w:tc>
          <w:tcPr>
            <w:tcW w:type="dxa" w:w="6480"/>
            <w:vAlign w:val="top"/>
          </w:tcPr>
          <w:p>
            <w:pPr>
              <w:spacing w:after="40"/>
            </w:pPr>
            <w:r>
              <w:rPr>
                <w:rFonts w:ascii="Times New Roman" w:hAnsi="Times New Roman"/>
                <w:sz w:val="19"/>
              </w:rPr>
              <w:t>CIFAR-10</w:t>
            </w:r>
          </w:p>
        </w:tc>
      </w:tr>
      <w:tr>
        <w:trPr>
          <w:cantSplit/>
        </w:trPr>
        <w:tc>
          <w:tcPr>
            <w:tcW w:type="dxa" w:w="2736"/>
            <w:vAlign w:val="top"/>
            <w:shd w:fill="F5F7F9"/>
          </w:tcPr>
          <w:p>
            <w:pPr>
              <w:spacing w:after="40"/>
            </w:pPr>
            <w:r>
              <w:rPr>
                <w:rFonts w:ascii="Times New Roman" w:hAnsi="Times New Roman"/>
                <w:sz w:val="19"/>
              </w:rPr>
              <w:t>Architecture</w:t>
            </w:r>
          </w:p>
        </w:tc>
        <w:tc>
          <w:tcPr>
            <w:tcW w:type="dxa" w:w="6480"/>
            <w:vAlign w:val="top"/>
            <w:shd w:fill="F5F7F9"/>
          </w:tcPr>
          <w:p>
            <w:pPr>
              <w:spacing w:after="40"/>
            </w:pPr>
            <w:r>
              <w:rPr>
                <w:rFonts w:ascii="Times New Roman" w:hAnsi="Times New Roman"/>
                <w:sz w:val="19"/>
              </w:rPr>
              <w:t>ResNet-18</w:t>
            </w:r>
          </w:p>
        </w:tc>
      </w:tr>
      <w:tr>
        <w:trPr>
          <w:cantSplit/>
        </w:trPr>
        <w:tc>
          <w:tcPr>
            <w:tcW w:type="dxa" w:w="2736"/>
            <w:vAlign w:val="top"/>
          </w:tcPr>
          <w:p>
            <w:pPr>
              <w:spacing w:after="40"/>
            </w:pPr>
            <w:r>
              <w:rPr>
                <w:rFonts w:ascii="Times New Roman" w:hAnsi="Times New Roman"/>
                <w:sz w:val="19"/>
              </w:rPr>
              <w:t>Unlearning methods</w:t>
            </w:r>
          </w:p>
        </w:tc>
        <w:tc>
          <w:tcPr>
            <w:tcW w:type="dxa" w:w="6480"/>
            <w:vAlign w:val="top"/>
          </w:tcPr>
          <w:p>
            <w:pPr>
              <w:spacing w:after="40"/>
            </w:pPr>
            <w:r>
              <w:rPr>
                <w:rFonts w:ascii="Times New Roman" w:hAnsi="Times New Roman"/>
                <w:sz w:val="19"/>
              </w:rPr>
              <w:t xml:space="preserve">Fine-tuning; NegGrad+; SCRUB; SalUn; L1-sparse (five ranked methods); NegGrad (destructive control, excluded from the agreement analysis as damaged)</w:t>
            </w:r>
          </w:p>
        </w:tc>
      </w:tr>
      <w:tr>
        <w:trPr>
          <w:cantSplit/>
        </w:trPr>
        <w:tc>
          <w:tcPr>
            <w:tcW w:type="dxa" w:w="2736"/>
            <w:vAlign w:val="top"/>
            <w:shd w:fill="F5F7F9"/>
          </w:tcPr>
          <w:p>
            <w:pPr>
              <w:spacing w:after="40"/>
            </w:pPr>
            <w:r>
              <w:rPr>
                <w:rFonts w:ascii="Times New Roman" w:hAnsi="Times New Roman"/>
                <w:sz w:val="19"/>
              </w:rPr>
              <w:t>Forget settings</w:t>
            </w:r>
          </w:p>
        </w:tc>
        <w:tc>
          <w:tcPr>
            <w:tcW w:type="dxa" w:w="6480"/>
            <w:vAlign w:val="top"/>
            <w:shd w:fill="F5F7F9"/>
          </w:tcPr>
          <w:p>
            <w:pPr>
              <w:spacing w:after="40"/>
            </w:pPr>
            <w:r>
              <w:rPr>
                <w:rFonts w:ascii="Times New Roman" w:hAnsi="Times New Roman"/>
                <w:sz w:val="19"/>
              </w:rPr>
              <w:t xml:space="preserve">Size axis: random 500, 2,500 and 5,000 (1%, 5%, 10%), plus random 3,000 as the bridge. Difficulty axis at 3,000: low, medium, high memorization. Canary condition (500).</w:t>
            </w:r>
          </w:p>
        </w:tc>
      </w:tr>
      <w:tr>
        <w:trPr>
          <w:cantSplit/>
        </w:trPr>
        <w:tc>
          <w:tcPr>
            <w:tcW w:type="dxa" w:w="2736"/>
            <w:vAlign w:val="top"/>
          </w:tcPr>
          <w:p>
            <w:pPr>
              <w:spacing w:after="40"/>
            </w:pPr>
            <w:r>
              <w:rPr>
                <w:rFonts w:ascii="Times New Roman" w:hAnsi="Times New Roman"/>
                <w:sz w:val="19"/>
              </w:rPr>
              <w:t>Random seeds</w:t>
            </w:r>
          </w:p>
        </w:tc>
        <w:tc>
          <w:tcPr>
            <w:tcW w:type="dxa" w:w="6480"/>
            <w:vAlign w:val="top"/>
          </w:tcPr>
          <w:p>
            <w:pPr>
              <w:spacing w:after="40"/>
            </w:pPr>
            <w:r>
              <w:rPr>
                <w:rFonts w:ascii="Times New Roman" w:hAnsi="Times New Roman"/>
                <w:sz w:val="19"/>
              </w:rPr>
              <w:t>Five (exceeds the minimum of three; chosen because compute is abundant and the seed random effect is estimated from these points)</w:t>
            </w:r>
          </w:p>
        </w:tc>
      </w:tr>
      <w:tr>
        <w:trPr>
          <w:cantSplit/>
        </w:trPr>
        <w:tc>
          <w:tcPr>
            <w:tcW w:type="dxa" w:w="2736"/>
            <w:vAlign w:val="top"/>
            <w:shd w:fill="F5F7F9"/>
          </w:tcPr>
          <w:p>
            <w:pPr>
              <w:spacing w:after="40"/>
            </w:pPr>
            <w:r>
              <w:rPr>
                <w:rFonts w:ascii="Times New Roman" w:hAnsi="Times New Roman"/>
                <w:sz w:val="19"/>
              </w:rPr>
              <w:t>Reference models</w:t>
            </w:r>
          </w:p>
        </w:tc>
        <w:tc>
          <w:tcPr>
            <w:tcW w:type="dxa" w:w="6480"/>
            <w:vAlign w:val="top"/>
            <w:shd w:fill="F5F7F9"/>
          </w:tcPr>
          <w:p>
            <w:pPr>
              <w:spacing w:after="40"/>
            </w:pPr>
            <w:r>
              <w:rPr>
                <w:rFonts w:ascii="Times New Roman" w:hAnsi="Times New Roman"/>
                <w:sz w:val="19"/>
              </w:rPr>
              <w:t xml:space="preserve">Original model; five paired retrains for every condition; twelve independent retrains at the primary condition, three of them pre-registered as held out; every retrain enters every validity rate by leave-one-out</w:t>
            </w:r>
          </w:p>
        </w:tc>
      </w:tr>
      <w:tr>
        <w:trPr>
          <w:cantSplit/>
        </w:trPr>
        <w:tc>
          <w:tcPr>
            <w:tcW w:type="dxa" w:w="2736"/>
            <w:vAlign w:val="top"/>
          </w:tcPr>
          <w:p>
            <w:pPr>
              <w:spacing w:after="40"/>
            </w:pPr>
            <w:r>
              <w:rPr>
                <w:rFonts w:ascii="Times New Roman" w:hAnsi="Times New Roman"/>
                <w:sz w:val="19"/>
              </w:rPr>
              <w:t>Primary audits</w:t>
            </w:r>
          </w:p>
        </w:tc>
        <w:tc>
          <w:tcPr>
            <w:tcW w:type="dxa" w:w="6480"/>
            <w:vAlign w:val="top"/>
          </w:tcPr>
          <w:p>
            <w:pPr>
              <w:spacing w:after="40"/>
            </w:pPr>
            <w:r>
              <w:rPr>
                <w:rFonts w:ascii="Times New Roman" w:hAnsi="Times New Roman"/>
                <w:sz w:val="19"/>
              </w:rPr>
              <w:t xml:space="preserve">Behavior, MIA privacy at two attack strengths, representation, relearning — plus a secondary independence audit (SDE) and audit validity (Section 15.5)</w:t>
            </w:r>
          </w:p>
        </w:tc>
      </w:tr>
      <w:tr>
        <w:trPr>
          <w:cantSplit/>
        </w:trPr>
        <w:tc>
          <w:tcPr>
            <w:tcW w:type="dxa" w:w="2736"/>
            <w:vAlign w:val="top"/>
            <w:shd w:fill="F5F7F9"/>
          </w:tcPr>
          <w:p>
            <w:pPr>
              <w:spacing w:after="40"/>
            </w:pPr>
            <w:r>
              <w:rPr>
                <w:rFonts w:ascii="Times New Roman" w:hAnsi="Times New Roman"/>
                <w:sz w:val="19"/>
              </w:rPr>
              <w:t>Primary agreement statistic</w:t>
            </w:r>
          </w:p>
        </w:tc>
        <w:tc>
          <w:tcPr>
            <w:tcW w:type="dxa" w:w="6480"/>
            <w:vAlign w:val="top"/>
            <w:shd w:fill="F5F7F9"/>
          </w:tcPr>
          <w:p>
            <w:pPr>
              <w:spacing w:after="40"/>
            </w:pPr>
            <w:r>
              <w:rPr>
                <w:rFonts w:ascii="Times New Roman" w:hAnsi="Times New Roman"/>
                <w:sz w:val="19"/>
              </w:rPr>
              <w:t>Instance-level metric correlation (Kendall tau and Spearman with bootstrap CIs) plus disagreement rate; linear mixed-effects models for confirmatory tests</w:t>
            </w:r>
          </w:p>
        </w:tc>
      </w:tr>
      <w:tr>
        <w:trPr>
          <w:cantSplit/>
        </w:trPr>
        <w:tc>
          <w:tcPr>
            <w:tcW w:type="dxa" w:w="2736"/>
            <w:vAlign w:val="top"/>
            <w:shd w:fill="F5F7F9"/>
          </w:tcPr>
          <w:p>
            <w:pPr>
              <w:spacing w:after="40"/>
            </w:pPr>
            <w:r>
              <w:rPr>
                <w:rFonts w:ascii="Times New Roman" w:hAnsi="Times New Roman"/>
                <w:sz w:val="19"/>
              </w:rPr>
              <w:t>Compute platform</w:t>
            </w:r>
          </w:p>
        </w:tc>
        <w:tc>
          <w:tcPr>
            <w:tcW w:type="dxa" w:w="6480"/>
            <w:vAlign w:val="top"/>
            <w:shd w:fill="F5F7F9"/>
          </w:tcPr>
          <w:p>
            <w:pPr>
              <w:spacing w:after="40"/>
            </w:pPr>
            <w:r>
              <w:rPr>
                <w:rFonts w:ascii="Times New Roman" w:hAnsi="Times New Roman"/>
                <w:sz w:val="19"/>
              </w:rPr>
              <w:t xml:space="preserve">Kaggle GPU (T4 / P100, three accounts) for training and GPU audits; calibration and analysis on CPU, on Kaggle or locally</w:t>
            </w:r>
          </w:p>
        </w:tc>
      </w:tr>
      <w:tr>
        <w:trPr>
          <w:cantSplit/>
        </w:trPr>
        <w:tc>
          <w:tcPr>
            <w:tcW w:type="dxa" w:w="2736"/>
            <w:vAlign w:val="top"/>
            <w:shd w:fill="F5F7F9"/>
          </w:tcPr>
          <w:p>
            <w:pPr>
              <w:spacing w:after="40"/>
            </w:pPr>
            <w:r>
              <w:rPr>
                <w:rFonts w:ascii="Times New Roman" w:hAnsi="Times New Roman"/>
                <w:sz w:val="19"/>
              </w:rPr>
              <w:t>Privacy reference models</w:t>
            </w:r>
          </w:p>
        </w:tc>
        <w:tc>
          <w:tcPr>
            <w:tcW w:type="dxa" w:w="6480"/>
            <w:vAlign w:val="top"/>
            <w:shd w:fill="F5F7F9"/>
          </w:tcPr>
          <w:p>
            <w:pPr>
              <w:spacing w:after="40"/>
            </w:pPr>
            <w:r>
              <w:rPr>
                <w:rFonts w:ascii="Times New Roman" w:hAnsi="Times New Roman"/>
                <w:sz w:val="19"/>
              </w:rPr>
              <w:t>Thirty-two shadow models at 50% subsampling, shared across all forget conditions</w:t>
            </w:r>
          </w:p>
        </w:tc>
      </w:tr>
      <w:tr>
        <w:trPr>
          <w:cantSplit/>
        </w:trPr>
        <w:tc>
          <w:tcPr>
            <w:tcW w:type="dxa" w:w="2736"/>
            <w:vAlign w:val="top"/>
            <w:shd w:fill="F5F7F9"/>
          </w:tcPr>
          <w:p>
            <w:pPr>
              <w:spacing w:after="40"/>
            </w:pPr>
            <w:r>
              <w:rPr>
                <w:rFonts w:ascii="Times New Roman" w:hAnsi="Times New Roman"/>
                <w:sz w:val="19"/>
              </w:rPr>
              <w:t>Primary forget condition</w:t>
            </w:r>
          </w:p>
        </w:tc>
        <w:tc>
          <w:tcPr>
            <w:tcW w:type="dxa" w:w="6480"/>
            <w:vAlign w:val="top"/>
            <w:shd w:fill="F5F7F9"/>
          </w:tcPr>
          <w:p>
            <w:pPr>
              <w:spacing w:after="40"/>
            </w:pPr>
            <w:r>
              <w:rPr>
                <w:rFonts w:ascii="Times New Roman" w:hAnsi="Times New Roman"/>
                <w:sz w:val="19"/>
              </w:rPr>
              <w:t>High-memorization stratum at fixed size (n = 3000); the oracle ensemble and validity analysis are anchored there</w:t>
            </w:r>
          </w:p>
        </w:tc>
      </w:tr>
    </w:tbl>
    <w:p>
      <w:pPr>
        <w:spacing w:after="20"/>
      </w:pPr>
    </w:p>
    <w:p>
      <w:pPr>
        <w:spacing w:after="120"/>
      </w:pPr>
      <w:r>
        <w:rPr>
          <w:i w:val="0"/>
        </w:rPr>
        <w:t xml:space="preserve">Six methods across the size and difficulty axes and five seeds produce on the order of two hundred and forty approximate-unlearning runs, in addition to original training, the retrained oracle ensemble, thirty-two membership-inference reference models, relearning runs and their anchor arms — roughly seven hundred runs in total. This is a substantially larger matrix than v1.0, and it is affordable: training runs on cloud GPU sessions where the team’s available quota exceeds the requirement by an order of magnitude. The additional budget is deliberately spent on depth rather than breadth — more seeds, more oracles and more privacy reference models — because the contribution is a calibration claim, and calibration precision scales with the number of reference models rather than with the number of methods. A single-seed pilot must be run through the entire pipeline — including all four audits, the calibration checks of Section 15.5 and the disagreement analysis, not merely training — before the full matrix is launched, so that a design fault surfaces while it is still cheap to fix.</w:t>
      </w:r>
      <w:r>
        <w:rPr>
          <w:i w:val="0"/>
        </w:rPr>
        <w:t xml:space="preserve"> As run: 62 trainings for the original models and retrains (about 8 GPU-hours), 32 attack reference models (about 4), 240 unlearning runs (about 12.6), and six audits over the 240 unlearned models plus 92 calibration candidates (52 retrains and 40 original-model runs).</w:t>
      </w:r>
    </w:p>
    <w:p>
      <w:pPr>
        <w:pStyle w:val="Heading2"/>
        <w:keepNext/>
      </w:pPr>
      <w:r>
        <w:t>16.2 Statistical Reporting</w:t>
      </w:r>
    </w:p>
    <w:p>
      <w:pPr>
        <w:pStyle w:val="ListBullet"/>
        <w:spacing w:after="60"/>
        <w:ind w:left="346"/>
      </w:pPr>
      <w:r>
        <w:t>Report mean and standard deviation for every main metric across seeds.</w:t>
      </w:r>
    </w:p>
    <w:p>
      <w:pPr>
        <w:pStyle w:val="ListBullet"/>
        <w:spacing w:after="60"/>
        <w:ind w:left="346"/>
      </w:pPr>
      <w:r>
        <w:t>Use bootstrap confidence intervals where they materially aid interpretation.</w:t>
      </w:r>
    </w:p>
    <w:p>
      <w:pPr>
        <w:pStyle w:val="ListBullet"/>
        <w:spacing w:after="60"/>
        <w:ind w:left="346"/>
      </w:pPr>
      <w:r>
        <w:t>Prefer effect sizes and consistency over unnecessary large numbers of significance tests.</w:t>
      </w:r>
    </w:p>
    <w:p>
      <w:pPr>
        <w:pStyle w:val="ListBullet"/>
        <w:spacing w:after="60"/>
        <w:ind w:left="346"/>
      </w:pPr>
      <w:r>
        <w:t>Treat stochastic retraining variation as part of the reference distribution rather than a nuisance to hide.</w:t>
      </w:r>
    </w:p>
    <w:p>
      <w:pPr>
        <w:pStyle w:val="ListBullet"/>
        <w:spacing w:after="60"/>
        <w:ind w:left="346"/>
      </w:pPr>
      <w:r>
        <w:t>For paired comparisons, ensure the same forget set and seed logic are respected.</w:t>
      </w:r>
    </w:p>
    <w:p>
      <w:pPr>
        <w:pStyle w:val="ListBullet"/>
        <w:spacing w:after="60"/>
        <w:ind w:left="346"/>
      </w:pPr>
      <w:r>
        <w:t xml:space="preserve">Use linear mixed-effects models for confirmatory tests, of the form metric ~ method + forget-condition + (1 | seed), so that the repeated-measures structure of the design is modelled rather than ignored. This follows established practice in comparable representation-level unlearning work [22].</w:t>
      </w:r>
    </w:p>
    <w:p>
      <w:pPr>
        <w:pStyle w:val="ListBullet"/>
        <w:spacing w:after="60"/>
        <w:ind w:left="346"/>
      </w:pPr>
      <w:r>
        <w:t xml:space="preserve">Define all pass/fail thresholds in units of the oracle ensemble’s standard deviation for the metric in question, never as absolute values. A threshold that a genuine retrained model fails is a broken threshold, not a strict one.</w:t>
      </w:r>
    </w:p>
    <w:p>
      <w:pPr>
        <w:pStyle w:val="ListBullet"/>
        <w:spacing w:after="60"/>
        <w:ind w:left="346"/>
      </w:pPr>
      <w:r>
        <w:t xml:space="preserve">Report the number of model instances entering each correlation, and never report a rank correlation over the six methods as though it carried inferential weight.</w:t>
      </w:r>
    </w:p>
    <w:p>
      <w:pPr>
        <w:pStyle w:val="ListBullet"/>
        <w:spacing w:after="60"/>
        <w:ind w:left="346"/>
      </w:pPr>
      <w:r>
        <w:t xml:space="preserve">As run: bootstrap intervals resample models (10,000 resamples, seed 300); the confirmatory models are fitted on log G, with fine-tuning and rand-3000 as references, and each fit keeps the best of three optimizers.</w:t>
      </w:r>
    </w:p>
    <w:p>
      <w:pPr>
        <w:pStyle w:val="ListBullet"/>
        <w:spacing w:after="60"/>
        <w:ind w:left="346"/>
      </w:pPr>
      <w:r>
        <w:t xml:space="preserve">Analyses added after seeing data are labelled exploratory: the signed gap, the share of models beyond the original, canary validity by degree, RQ4 on the gap scale, McNemar's test for H2b, agreement by condition and H3's controlled model.</w:t>
      </w:r>
    </w:p>
    <w:p>
      <w:pPr>
        <w:pStyle w:val="ListBullet"/>
        <w:spacing w:after="60"/>
        <w:ind w:left="346"/>
      </w:pPr>
      <w:r>
        <w:t xml:space="preserve">Per condition there are 25 models (five methods × five seeds), so per-condition correlations largely order methods; their bootstrap ignores that a method's five seeds share an original model, which the mixed models do account for.</w:t>
      </w:r>
    </w:p>
    <w:p>
      <w:pPr>
        <w:pStyle w:val="Heading2"/>
        <w:keepNext/>
      </w:pPr>
      <w:r>
        <w:t>16.3 Canonical Evaluation Metrics</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304"/>
            <w:shd w:fill="17324D"/>
            <w:vAlign w:val="center"/>
          </w:tcPr>
          <w:p>
            <w:pPr>
              <w:keepNext/>
            </w:pPr>
            <w:r>
              <w:rPr>
                <w:rFonts w:ascii="Times New Roman" w:hAnsi="Times New Roman"/>
                <w:b/>
                <w:color w:val="FFFFFF"/>
                <w:sz w:val="19"/>
              </w:rPr>
              <w:t>Dimension</w:t>
            </w:r>
          </w:p>
        </w:tc>
        <w:tc>
          <w:tcPr>
            <w:tcW w:type="dxa" w:w="6912"/>
            <w:shd w:fill="17324D"/>
            <w:vAlign w:val="center"/>
          </w:tcPr>
          <w:p>
            <w:pPr>
              <w:keepNext/>
            </w:pPr>
            <w:r>
              <w:rPr>
                <w:rFonts w:ascii="Times New Roman" w:hAnsi="Times New Roman"/>
                <w:b/>
                <w:color w:val="FFFFFF"/>
                <w:sz w:val="19"/>
              </w:rPr>
              <w:t>Primary Metrics</w:t>
            </w:r>
          </w:p>
        </w:tc>
      </w:tr>
      <w:tr>
        <w:trPr>
          <w:cantSplit/>
        </w:trPr>
        <w:tc>
          <w:tcPr>
            <w:tcW w:type="dxa" w:w="2304"/>
            <w:vAlign w:val="top"/>
          </w:tcPr>
          <w:p>
            <w:pPr>
              <w:spacing w:after="40"/>
            </w:pPr>
            <w:r>
              <w:rPr>
                <w:rFonts w:ascii="Times New Roman" w:hAnsi="Times New Roman"/>
                <w:sz w:val="19"/>
              </w:rPr>
              <w:t>Retain utility</w:t>
            </w:r>
          </w:p>
        </w:tc>
        <w:tc>
          <w:tcPr>
            <w:tcW w:type="dxa" w:w="6912"/>
            <w:vAlign w:val="top"/>
          </w:tcPr>
          <w:p>
            <w:pPr>
              <w:spacing w:after="40"/>
            </w:pPr>
            <w:r>
              <w:rPr>
                <w:rFonts w:ascii="Times New Roman" w:hAnsi="Times New Roman"/>
                <w:sz w:val="19"/>
              </w:rPr>
              <w:t>Accuracy; Macro-F1; cross-entropy loss</w:t>
            </w:r>
          </w:p>
        </w:tc>
      </w:tr>
      <w:tr>
        <w:trPr>
          <w:cantSplit/>
        </w:trPr>
        <w:tc>
          <w:tcPr>
            <w:tcW w:type="dxa" w:w="2304"/>
            <w:vAlign w:val="top"/>
            <w:shd w:fill="F5F7F9"/>
          </w:tcPr>
          <w:p>
            <w:pPr>
              <w:spacing w:after="40"/>
            </w:pPr>
            <w:r>
              <w:rPr>
                <w:rFonts w:ascii="Times New Roman" w:hAnsi="Times New Roman"/>
                <w:sz w:val="19"/>
              </w:rPr>
              <w:t>Forget behavior</w:t>
            </w:r>
          </w:p>
        </w:tc>
        <w:tc>
          <w:tcPr>
            <w:tcW w:type="dxa" w:w="6912"/>
            <w:vAlign w:val="top"/>
            <w:shd w:fill="F5F7F9"/>
          </w:tcPr>
          <w:p>
            <w:pPr>
              <w:spacing w:after="40"/>
            </w:pPr>
            <w:r>
              <w:rPr>
                <w:rFonts w:ascii="Times New Roman" w:hAnsi="Times New Roman"/>
                <w:sz w:val="19"/>
              </w:rPr>
              <w:t>Forget-set loss/accuracy relative to retraining</w:t>
            </w:r>
          </w:p>
        </w:tc>
      </w:tr>
      <w:tr>
        <w:trPr>
          <w:cantSplit/>
        </w:trPr>
        <w:tc>
          <w:tcPr>
            <w:tcW w:type="dxa" w:w="2304"/>
            <w:vAlign w:val="top"/>
          </w:tcPr>
          <w:p>
            <w:pPr>
              <w:spacing w:after="40"/>
            </w:pPr>
            <w:r>
              <w:rPr>
                <w:rFonts w:ascii="Times New Roman" w:hAnsi="Times New Roman"/>
                <w:sz w:val="19"/>
              </w:rPr>
              <w:t>Oracle similarity</w:t>
            </w:r>
          </w:p>
        </w:tc>
        <w:tc>
          <w:tcPr>
            <w:tcW w:type="dxa" w:w="6912"/>
            <w:vAlign w:val="top"/>
          </w:tcPr>
          <w:p>
            <w:pPr>
              <w:spacing w:after="40"/>
            </w:pPr>
            <w:r>
              <w:rPr>
                <w:rFonts w:ascii="Times New Roman" w:hAnsi="Times New Roman"/>
                <w:sz w:val="19"/>
              </w:rPr>
              <w:t>Jensen-Shannon divergence; prediction agreement; logit distance</w:t>
            </w:r>
          </w:p>
        </w:tc>
      </w:tr>
      <w:tr>
        <w:trPr>
          <w:cantSplit/>
        </w:trPr>
        <w:tc>
          <w:tcPr>
            <w:tcW w:type="dxa" w:w="2304"/>
            <w:vAlign w:val="top"/>
            <w:shd w:fill="F5F7F9"/>
          </w:tcPr>
          <w:p>
            <w:pPr>
              <w:spacing w:after="40"/>
            </w:pPr>
            <w:r>
              <w:rPr>
                <w:rFonts w:ascii="Times New Roman" w:hAnsi="Times New Roman"/>
                <w:sz w:val="19"/>
              </w:rPr>
              <w:t>Privacy</w:t>
            </w:r>
          </w:p>
        </w:tc>
        <w:tc>
          <w:tcPr>
            <w:tcW w:type="dxa" w:w="6912"/>
            <w:vAlign w:val="top"/>
            <w:shd w:fill="F5F7F9"/>
          </w:tcPr>
          <w:p>
            <w:pPr>
              <w:spacing w:after="40"/>
            </w:pPr>
            <w:r>
              <w:rPr>
                <w:rFonts w:ascii="Times New Roman" w:hAnsi="Times New Roman"/>
                <w:sz w:val="19"/>
              </w:rPr>
              <w:t xml:space="preserve">MIA ROC-AUC, attack accuracy and TPR at 1% FPR under both a population attack and a per-example attack (RMIA); gap between the two attack strengths</w:t>
            </w:r>
          </w:p>
        </w:tc>
      </w:tr>
      <w:tr>
        <w:trPr>
          <w:cantSplit/>
        </w:trPr>
        <w:tc>
          <w:tcPr>
            <w:tcW w:type="dxa" w:w="2304"/>
            <w:vAlign w:val="top"/>
          </w:tcPr>
          <w:p>
            <w:pPr>
              <w:spacing w:after="40"/>
            </w:pPr>
            <w:r>
              <w:rPr>
                <w:rFonts w:ascii="Times New Roman" w:hAnsi="Times New Roman"/>
                <w:sz w:val="19"/>
              </w:rPr>
              <w:t>Representation</w:t>
            </w:r>
          </w:p>
        </w:tc>
        <w:tc>
          <w:tcPr>
            <w:tcW w:type="dxa" w:w="6912"/>
            <w:vAlign w:val="top"/>
          </w:tcPr>
          <w:p>
            <w:pPr>
              <w:spacing w:after="40"/>
            </w:pPr>
            <w:r>
              <w:rPr>
                <w:rFonts w:ascii="Times New Roman" w:hAnsi="Times New Roman"/>
                <w:sz w:val="19"/>
              </w:rPr>
              <w:t xml:space="preserve">Layer-wise linear CKA plus RBF-CKA; CKA to the original model (for H3); oracle-vs-oracle baseline. Raw activation distance retired from verdicts</w:t>
            </w:r>
          </w:p>
        </w:tc>
      </w:tr>
      <w:tr>
        <w:trPr>
          <w:cantSplit/>
        </w:trPr>
        <w:tc>
          <w:tcPr>
            <w:tcW w:type="dxa" w:w="2304"/>
            <w:vAlign w:val="top"/>
            <w:shd w:fill="F5F7F9"/>
          </w:tcPr>
          <w:p>
            <w:pPr>
              <w:spacing w:after="40"/>
            </w:pPr>
            <w:r>
              <w:rPr>
                <w:rFonts w:ascii="Times New Roman" w:hAnsi="Times New Roman"/>
                <w:sz w:val="19"/>
              </w:rPr>
              <w:t>Reversibility</w:t>
            </w:r>
          </w:p>
        </w:tc>
        <w:tc>
          <w:tcPr>
            <w:tcW w:type="dxa" w:w="6912"/>
            <w:vAlign w:val="top"/>
            <w:shd w:fill="F5F7F9"/>
          </w:tcPr>
          <w:p>
            <w:pPr>
              <w:spacing w:after="40"/>
            </w:pPr>
            <w:r>
              <w:rPr>
                <w:rFonts w:ascii="Times New Roman" w:hAnsi="Times New Roman"/>
                <w:sz w:val="19"/>
              </w:rPr>
              <w:t xml:space="preserve">Relearning AUC and T80 under a fixed protocol; recovery normalised between the paired retrain (0) and M0 (1); random-init floor as a protocol check</w:t>
            </w:r>
          </w:p>
        </w:tc>
      </w:tr>
      <w:tr>
        <w:trPr>
          <w:cantSplit/>
        </w:trPr>
        <w:tc>
          <w:tcPr>
            <w:tcW w:type="dxa" w:w="2304"/>
            <w:vAlign w:val="top"/>
          </w:tcPr>
          <w:p>
            <w:pPr>
              <w:spacing w:after="40"/>
            </w:pPr>
            <w:r>
              <w:rPr>
                <w:rFonts w:ascii="Times New Roman" w:hAnsi="Times New Roman"/>
                <w:sz w:val="19"/>
              </w:rPr>
              <w:t>Efficiency</w:t>
            </w:r>
          </w:p>
        </w:tc>
        <w:tc>
          <w:tcPr>
            <w:tcW w:type="dxa" w:w="6912"/>
            <w:vAlign w:val="top"/>
          </w:tcPr>
          <w:p>
            <w:pPr>
              <w:spacing w:after="40"/>
            </w:pPr>
            <w:r>
              <w:rPr>
                <w:rFonts w:ascii="Times New Roman" w:hAnsi="Times New Roman"/>
                <w:sz w:val="19"/>
              </w:rPr>
              <w:t xml:space="preserve">Wall-clock time recorded per run; not analysed (the run-time records were lost with the Stage 3–5 record shards, and GPU speed differed by about 20% between accounts)</w:t>
            </w:r>
          </w:p>
        </w:tc>
      </w:tr>
      <w:tr>
        <w:trPr>
          <w:cantSplit/>
        </w:trPr>
        <w:tc>
          <w:tcPr>
            <w:tcW w:type="dxa" w:w="2304"/>
            <w:vAlign w:val="top"/>
            <w:shd w:fill="F5F7F9"/>
          </w:tcPr>
          <w:p>
            <w:pPr>
              <w:spacing w:after="40"/>
            </w:pPr>
            <w:r>
              <w:rPr>
                <w:rFonts w:ascii="Times New Roman" w:hAnsi="Times New Roman"/>
                <w:sz w:val="19"/>
              </w:rPr>
              <w:t>Audit agreement</w:t>
            </w:r>
          </w:p>
        </w:tc>
        <w:tc>
          <w:tcPr>
            <w:tcW w:type="dxa" w:w="6912"/>
            <w:vAlign w:val="top"/>
            <w:shd w:fill="F5F7F9"/>
          </w:tcPr>
          <w:p>
            <w:pPr>
              <w:spacing w:after="40"/>
            </w:pPr>
            <w:r>
              <w:rPr>
                <w:rFonts w:ascii="Times New Roman" w:hAnsi="Times New Roman"/>
                <w:sz w:val="19"/>
              </w:rPr>
              <w:t>Instance-level Kendall tau and Spearman with bootstrap confidence intervals; pairwise disagreement rate; between-family and within-family (attack A vs attack B)</w:t>
            </w:r>
          </w:p>
        </w:tc>
      </w:tr>
      <w:tr>
        <w:trPr>
          <w:cantSplit/>
        </w:trPr>
        <w:tc>
          <w:tcPr>
            <w:tcW w:type="dxa" w:w="2304"/>
            <w:vAlign w:val="top"/>
          </w:tcPr>
          <w:p>
            <w:pPr>
              <w:spacing w:after="40"/>
            </w:pPr>
            <w:r>
              <w:rPr>
                <w:rFonts w:ascii="Times New Roman" w:hAnsi="Times New Roman"/>
                <w:sz w:val="19"/>
              </w:rPr>
              <w:t>Scalability</w:t>
            </w:r>
          </w:p>
        </w:tc>
        <w:tc>
          <w:tcPr>
            <w:tcW w:type="dxa" w:w="6912"/>
            <w:vAlign w:val="top"/>
          </w:tcPr>
          <w:p>
            <w:pPr>
              <w:spacing w:after="40"/>
            </w:pPr>
            <w:r>
              <w:rPr>
                <w:rFonts w:ascii="Times New Roman" w:hAnsi="Times New Roman"/>
                <w:sz w:val="19"/>
              </w:rPr>
              <w:t xml:space="preserve">Change across 500, 2,500, 3,000 and 5,000 random examples</w:t>
            </w:r>
          </w:p>
        </w:tc>
      </w:tr>
      <w:tr>
        <w:trPr>
          <w:cantSplit/>
        </w:trPr>
        <w:tc>
          <w:tcPr>
            <w:tcW w:type="dxa" w:w="2304"/>
            <w:vAlign w:val="top"/>
            <w:shd w:fill="F5F7F9"/>
          </w:tcPr>
          <w:p>
            <w:pPr>
              <w:spacing w:after="40"/>
            </w:pPr>
            <w:r>
              <w:rPr>
                <w:rFonts w:ascii="Times New Roman" w:hAnsi="Times New Roman"/>
                <w:sz w:val="19"/>
              </w:rPr>
              <w:t>Difficulty</w:t>
            </w:r>
          </w:p>
        </w:tc>
        <w:tc>
          <w:tcPr>
            <w:tcW w:type="dxa" w:w="6912"/>
            <w:vAlign w:val="top"/>
            <w:shd w:fill="F5F7F9"/>
          </w:tcPr>
          <w:p>
            <w:pPr>
              <w:spacing w:after="40"/>
            </w:pPr>
            <w:r>
              <w:rPr>
                <w:rFonts w:ascii="Times New Roman" w:hAnsi="Times New Roman"/>
                <w:sz w:val="19"/>
              </w:rPr>
              <w:t>Low vs medium vs high memorization at fixed forget-set size; random forget set as an additional comparison point</w:t>
            </w:r>
          </w:p>
        </w:tc>
      </w:tr>
      <w:tr>
        <w:trPr>
          <w:cantSplit/>
        </w:trPr>
        <w:tc>
          <w:tcPr>
            <w:tcW w:type="dxa" w:w="2304"/>
            <w:vAlign w:val="top"/>
            <w:shd w:fill="F5F7F9"/>
          </w:tcPr>
          <w:p>
            <w:pPr>
              <w:spacing w:after="40"/>
            </w:pPr>
            <w:r>
              <w:rPr>
                <w:rFonts w:ascii="Times New Roman" w:hAnsi="Times New Roman"/>
                <w:sz w:val="19"/>
              </w:rPr>
              <w:t>Audit validity</w:t>
            </w:r>
          </w:p>
        </w:tc>
        <w:tc>
          <w:tcPr>
            <w:tcW w:type="dxa" w:w="6912"/>
            <w:vAlign w:val="top"/>
            <w:shd w:fill="F5F7F9"/>
          </w:tcPr>
          <w:p>
            <w:pPr>
              <w:spacing w:after="40"/>
            </w:pPr>
            <w:r>
              <w:rPr>
                <w:rFonts w:ascii="Times New Roman" w:hAnsi="Times New Roman"/>
                <w:sz w:val="19"/>
              </w:rPr>
              <w:t xml:space="preserve">Native and calibrated false-positive rate over all retrains (leave-one-out); power on the original model; canary balanced accuracy (canary_top_wrong ground truth, with the utility guard); canary validity by degree</w:t>
            </w:r>
          </w:p>
        </w:tc>
      </w:tr>
    </w:tbl>
    <w:p>
      <w:pPr>
        <w:spacing w:after="20"/>
      </w:pPr>
    </w:p>
    <w:p>
      <w:pPr>
        <w:pStyle w:val="Heading1"/>
        <w:keepNext/>
      </w:pPr>
      <w:r>
        <w:t>17. Implementation Plan and Repository Structure</w:t>
      </w:r>
    </w:p>
    <w:p>
      <w:pPr>
        <w:pStyle w:val="Heading2"/>
        <w:keepNext/>
      </w:pPr>
      <w:r>
        <w:t>17.1 Technology Stack</w:t>
      </w:r>
    </w:p>
    <w:p>
      <w:pPr>
        <w:spacing w:after="120"/>
      </w:pPr>
      <w:r>
        <w:rPr>
          <w:i w:val="0"/>
        </w:rPr>
        <w:t xml:space="preserve">Implementation is governed by a separate engineering specification, docs/IMPLEMENTATION_PLAN.md, which fixes run identifiers, the result-record schema, the metric registry, the execution order and a per-stage acceptance gate. That document is binding on implementation detail; this one remains binding on scientific claims.</w:t>
      </w:r>
    </w:p>
    <w:p>
      <w:pPr>
        <w:spacing w:after="120"/>
      </w:pPr>
      <w:r>
        <w:rPr>
          <w:i w:val="0"/>
        </w:rPr>
        <w:t xml:space="preserve">Compute is not a constraint on this project, but session persistence is. Training runs on ephemeral cloud notebook sessions, so the pipeline must be built around checkpoint artefacts rather than long-lived sessions: every training run writes its checkpoint and a structured result record to persistent storage, and every audit reads from checkpoints rather than from a model held in memory. The logging requirements of Section 18 are therefore load-bearing infrastructure and must be built in week 3, not retrofitted later.</w:t>
      </w:r>
      <w:r>
        <w:rPr>
          <w:i w:val="0"/>
        </w:rPr>
        <w:t xml:space="preserve"> As built, it was the first thing built (Stage 1, 26 August 2026), before any model was trained.</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520"/>
            <w:shd w:fill="17324D"/>
            <w:vAlign w:val="center"/>
          </w:tcPr>
          <w:p>
            <w:pPr>
              <w:keepNext/>
            </w:pPr>
            <w:r>
              <w:rPr>
                <w:rFonts w:ascii="Times New Roman" w:hAnsi="Times New Roman"/>
                <w:b/>
                <w:color w:val="FFFFFF"/>
                <w:sz w:val="19"/>
              </w:rPr>
              <w:t>Area</w:t>
            </w:r>
          </w:p>
        </w:tc>
        <w:tc>
          <w:tcPr>
            <w:tcW w:type="dxa" w:w="6696"/>
            <w:shd w:fill="17324D"/>
            <w:vAlign w:val="center"/>
          </w:tcPr>
          <w:p>
            <w:pPr>
              <w:keepNext/>
            </w:pPr>
            <w:r>
              <w:rPr>
                <w:rFonts w:ascii="Times New Roman" w:hAnsi="Times New Roman"/>
                <w:b/>
                <w:color w:val="FFFFFF"/>
                <w:sz w:val="19"/>
              </w:rPr>
              <w:t xml:space="preserve">Tools (as built)</w:t>
            </w:r>
          </w:p>
        </w:tc>
      </w:tr>
      <w:tr>
        <w:trPr>
          <w:cantSplit/>
        </w:trPr>
        <w:tc>
          <w:tcPr>
            <w:tcW w:type="dxa" w:w="2520"/>
            <w:vAlign w:val="top"/>
          </w:tcPr>
          <w:p>
            <w:pPr>
              <w:spacing w:after="40"/>
            </w:pPr>
            <w:r>
              <w:rPr>
                <w:rFonts w:ascii="Times New Roman" w:hAnsi="Times New Roman"/>
                <w:sz w:val="19"/>
              </w:rPr>
              <w:t>Core ML</w:t>
            </w:r>
          </w:p>
        </w:tc>
        <w:tc>
          <w:tcPr>
            <w:tcW w:type="dxa" w:w="6696"/>
            <w:vAlign w:val="top"/>
          </w:tcPr>
          <w:p>
            <w:pPr>
              <w:spacing w:after="40"/>
            </w:pPr>
            <w:r>
              <w:rPr>
                <w:rFonts w:ascii="Times New Roman" w:hAnsi="Times New Roman"/>
                <w:sz w:val="19"/>
              </w:rPr>
              <w:t>Python, PyTorch, torchvision</w:t>
            </w:r>
          </w:p>
        </w:tc>
      </w:tr>
      <w:tr>
        <w:trPr>
          <w:cantSplit/>
        </w:trPr>
        <w:tc>
          <w:tcPr>
            <w:tcW w:type="dxa" w:w="2520"/>
            <w:vAlign w:val="top"/>
            <w:shd w:fill="F5F7F9"/>
          </w:tcPr>
          <w:p>
            <w:pPr>
              <w:spacing w:after="40"/>
            </w:pPr>
            <w:r>
              <w:rPr>
                <w:rFonts w:ascii="Times New Roman" w:hAnsi="Times New Roman"/>
                <w:sz w:val="19"/>
              </w:rPr>
              <w:t>Data/metrics</w:t>
            </w:r>
          </w:p>
        </w:tc>
        <w:tc>
          <w:tcPr>
            <w:tcW w:type="dxa" w:w="6696"/>
            <w:vAlign w:val="top"/>
            <w:shd w:fill="F5F7F9"/>
          </w:tcPr>
          <w:p>
            <w:pPr>
              <w:spacing w:after="40"/>
            </w:pPr>
            <w:r>
              <w:rPr>
                <w:rFonts w:ascii="Times New Roman" w:hAnsi="Times New Roman"/>
                <w:sz w:val="19"/>
              </w:rPr>
              <w:t xml:space="preserve">NumPy, pandas, PyArrow, scikit-learn, SciPy; statsmodels for the mixed-effects models</w:t>
            </w:r>
          </w:p>
        </w:tc>
      </w:tr>
      <w:tr>
        <w:trPr>
          <w:cantSplit/>
        </w:trPr>
        <w:tc>
          <w:tcPr>
            <w:tcW w:type="dxa" w:w="2520"/>
            <w:vAlign w:val="top"/>
          </w:tcPr>
          <w:p>
            <w:pPr>
              <w:spacing w:after="40"/>
            </w:pPr>
            <w:r>
              <w:rPr>
                <w:rFonts w:ascii="Times New Roman" w:hAnsi="Times New Roman"/>
                <w:sz w:val="19"/>
              </w:rPr>
              <w:t>Visualization</w:t>
            </w:r>
          </w:p>
        </w:tc>
        <w:tc>
          <w:tcPr>
            <w:tcW w:type="dxa" w:w="6696"/>
            <w:vAlign w:val="top"/>
          </w:tcPr>
          <w:p>
            <w:pPr>
              <w:spacing w:after="40"/>
            </w:pPr>
            <w:r>
              <w:rPr>
                <w:rFonts w:ascii="Times New Roman" w:hAnsi="Times New Roman"/>
                <w:sz w:val="19"/>
              </w:rPr>
              <w:t xml:space="preserve">Matplotlib, every figure generated from the result tables; Seaborn reserved for the dashboard</w:t>
            </w:r>
          </w:p>
        </w:tc>
      </w:tr>
      <w:tr>
        <w:trPr>
          <w:cantSplit/>
        </w:trPr>
        <w:tc>
          <w:tcPr>
            <w:tcW w:type="dxa" w:w="2520"/>
            <w:vAlign w:val="top"/>
            <w:shd w:fill="F5F7F9"/>
          </w:tcPr>
          <w:p>
            <w:pPr>
              <w:spacing w:after="40"/>
            </w:pPr>
            <w:r>
              <w:rPr>
                <w:rFonts w:ascii="Times New Roman" w:hAnsi="Times New Roman"/>
                <w:sz w:val="19"/>
              </w:rPr>
              <w:t>Experiment tracking</w:t>
            </w:r>
          </w:p>
        </w:tc>
        <w:tc>
          <w:tcPr>
            <w:tcW w:type="dxa" w:w="6696"/>
            <w:vAlign w:val="top"/>
            <w:shd w:fill="F5F7F9"/>
          </w:tcPr>
          <w:p>
            <w:pPr>
              <w:spacing w:after="40"/>
            </w:pPr>
            <w:r>
              <w:rPr>
                <w:rFonts w:ascii="Times New Roman" w:hAnsi="Times New Roman"/>
                <w:sz w:val="19"/>
              </w:rPr>
              <w:t xml:space="preserve">One structured record per measurement, written as Parquet shards and checked against the metric registry when written; each carries its commit, environment and checkpoint hashes (Section 18). Shards move between sessions as Kaggle dataset versions. No MLflow or Weights &amp; Biases</w:t>
            </w:r>
          </w:p>
        </w:tc>
      </w:tr>
      <w:tr>
        <w:trPr>
          <w:cantSplit/>
        </w:trPr>
        <w:tc>
          <w:tcPr>
            <w:tcW w:type="dxa" w:w="2520"/>
            <w:vAlign w:val="top"/>
          </w:tcPr>
          <w:p>
            <w:pPr>
              <w:spacing w:after="40"/>
            </w:pPr>
            <w:r>
              <w:rPr>
                <w:rFonts w:ascii="Times New Roman" w:hAnsi="Times New Roman"/>
                <w:sz w:val="19"/>
              </w:rPr>
              <w:t>Unlearning resources</w:t>
            </w:r>
          </w:p>
        </w:tc>
        <w:tc>
          <w:tcPr>
            <w:tcW w:type="dxa" w:w="6696"/>
            <w:vAlign w:val="top"/>
          </w:tcPr>
          <w:p>
            <w:pPr>
              <w:spacing w:after="40"/>
            </w:pPr>
            <w:r>
              <w:rPr>
                <w:rFonts w:ascii="Times New Roman" w:hAnsi="Times New Roman"/>
                <w:sz w:val="19"/>
              </w:rPr>
              <w:t xml:space="preserve">The project's own package (src/forgetcheck/unlearn): one interface and one shared training loop for all six methods, so that methods differ only in their objective; SalUn checked against its official implementation. The RUM release supplies the CIFAR-10 memorization scores; the NeurIPS starter kit is the model for the population attack</w:t>
            </w:r>
          </w:p>
        </w:tc>
      </w:tr>
      <w:tr>
        <w:trPr>
          <w:cantSplit/>
        </w:trPr>
        <w:tc>
          <w:tcPr>
            <w:tcW w:type="dxa" w:w="2520"/>
            <w:vAlign w:val="top"/>
            <w:shd w:fill="F5F7F9"/>
          </w:tcPr>
          <w:p>
            <w:pPr>
              <w:spacing w:after="40"/>
            </w:pPr>
            <w:r>
              <w:rPr>
                <w:rFonts w:ascii="Times New Roman" w:hAnsi="Times New Roman"/>
                <w:sz w:val="19"/>
              </w:rPr>
              <w:t>Demo</w:t>
            </w:r>
          </w:p>
        </w:tc>
        <w:tc>
          <w:tcPr>
            <w:tcW w:type="dxa" w:w="6696"/>
            <w:vAlign w:val="top"/>
            <w:shd w:fill="F5F7F9"/>
          </w:tcPr>
          <w:p>
            <w:pPr>
              <w:spacing w:after="40"/>
            </w:pPr>
            <w:r>
              <w:rPr>
                <w:rFonts w:ascii="Times New Roman" w:hAnsi="Times New Roman"/>
                <w:sz w:val="19"/>
              </w:rPr>
              <w:t xml:space="preserve">Streamlit, planned as a visualization layer over the completed results (Section 20.2)</w:t>
            </w:r>
          </w:p>
        </w:tc>
      </w:tr>
      <w:tr>
        <w:trPr>
          <w:cantSplit/>
        </w:trPr>
        <w:tc>
          <w:tcPr>
            <w:tcW w:type="dxa" w:w="2520"/>
            <w:vAlign w:val="top"/>
          </w:tcPr>
          <w:p>
            <w:pPr>
              <w:spacing w:after="40"/>
            </w:pPr>
            <w:r>
              <w:rPr>
                <w:rFonts w:ascii="Times New Roman" w:hAnsi="Times New Roman"/>
                <w:sz w:val="19"/>
              </w:rPr>
              <w:t>Version control</w:t>
            </w:r>
          </w:p>
        </w:tc>
        <w:tc>
          <w:tcPr>
            <w:tcW w:type="dxa" w:w="6696"/>
            <w:vAlign w:val="top"/>
          </w:tcPr>
          <w:p>
            <w:pPr>
              <w:spacing w:after="40"/>
            </w:pPr>
            <w:r>
              <w:rPr>
                <w:rFonts w:ascii="Times New Roman" w:hAnsi="Times New Roman"/>
                <w:sz w:val="19"/>
              </w:rPr>
              <w:t>Git and GitHub</w:t>
            </w:r>
          </w:p>
        </w:tc>
      </w:tr>
      <w:tr>
        <w:trPr>
          <w:cantSplit/>
        </w:trPr>
        <w:tc>
          <w:tcPr>
            <w:tcW w:type="dxa" w:w="2520"/>
            <w:vAlign w:val="top"/>
            <w:shd w:fill="F5F7F9"/>
          </w:tcPr>
          <w:p>
            <w:pPr>
              <w:spacing w:after="40"/>
            </w:pPr>
            <w:r>
              <w:rPr>
                <w:rFonts w:ascii="Times New Roman" w:hAnsi="Times New Roman"/>
                <w:sz w:val="19"/>
              </w:rPr>
              <w:t>Environment</w:t>
            </w:r>
          </w:p>
        </w:tc>
        <w:tc>
          <w:tcPr>
            <w:tcW w:type="dxa" w:w="6696"/>
            <w:vAlign w:val="top"/>
            <w:shd w:fill="F5F7F9"/>
          </w:tcPr>
          <w:p>
            <w:pPr>
              <w:spacing w:after="40"/>
            </w:pPr>
            <w:r>
              <w:rPr>
                <w:rFonts w:ascii="Times New Roman" w:hAnsi="Times New Roman"/>
                <w:sz w:val="19"/>
              </w:rPr>
              <w:t xml:space="preserve">venv and pyproject.toml; each Kaggle session clones the repository, checks out the commit it records, and installs the package</w:t>
            </w:r>
          </w:p>
        </w:tc>
      </w:tr>
      <w:tr>
        <w:trPr>
          <w:cantSplit/>
        </w:trPr>
        <w:tc>
          <w:tcPr>
            <w:tcW w:type="dxa" w:w="2520"/>
            <w:vAlign w:val="top"/>
            <w:shd w:fill="F5F7F9"/>
          </w:tcPr>
          <w:p>
            <w:pPr>
              <w:spacing w:after="40"/>
            </w:pPr>
            <w:r>
              <w:rPr>
                <w:rFonts w:ascii="Times New Roman" w:hAnsi="Times New Roman"/>
                <w:sz w:val="19"/>
              </w:rPr>
              <w:t>Training compute</w:t>
            </w:r>
          </w:p>
        </w:tc>
        <w:tc>
          <w:tcPr>
            <w:tcW w:type="dxa" w:w="6696"/>
            <w:vAlign w:val="top"/>
            <w:shd w:fill="F5F7F9"/>
          </w:tcPr>
          <w:p>
            <w:pPr>
              <w:spacing w:after="40"/>
            </w:pPr>
            <w:r>
              <w:rPr>
                <w:rFonts w:ascii="Times New Roman" w:hAnsi="Times New Roman"/>
                <w:sz w:val="19"/>
              </w:rPr>
              <w:t xml:space="preserve">Kaggle notebooks (T4 / P100) on three accounts, about 30–35 GPU-hours in all; Colab was not needed</w:t>
            </w:r>
          </w:p>
        </w:tc>
      </w:tr>
      <w:tr>
        <w:trPr>
          <w:cantSplit/>
        </w:trPr>
        <w:tc>
          <w:tcPr>
            <w:tcW w:type="dxa" w:w="2520"/>
            <w:vAlign w:val="top"/>
            <w:shd w:fill="F5F7F9"/>
          </w:tcPr>
          <w:p>
            <w:pPr>
              <w:spacing w:after="40"/>
            </w:pPr>
            <w:r>
              <w:rPr>
                <w:rFonts w:ascii="Times New Roman" w:hAnsi="Times New Roman"/>
                <w:sz w:val="19"/>
              </w:rPr>
              <w:t>Local compute</w:t>
            </w:r>
          </w:p>
        </w:tc>
        <w:tc>
          <w:tcPr>
            <w:tcW w:type="dxa" w:w="6696"/>
            <w:vAlign w:val="top"/>
            <w:shd w:fill="F5F7F9"/>
          </w:tcPr>
          <w:p>
            <w:pPr>
              <w:spacing w:after="40"/>
            </w:pPr>
            <w:r>
              <w:rPr>
                <w:rFonts w:ascii="Times New Roman" w:hAnsi="Times New Roman"/>
                <w:sz w:val="19"/>
              </w:rPr>
              <w:t xml:space="preserve">Audits, layer-wise CKA, statistics, figures and the dashboard. Note: the team’s Ryzen AI 9 HX 370 machine cannot train PyTorch models on its Radeon 890M integrated GPU, which is unsupported by ROCm; local training is CPU-only and measured at 4.76 hours per 30-epoch CIFAR-10 run. As run, the audits also ran on Kaggle GPUs; local machines carried development, the test suite and re-analysis of the downloaded results.</w:t>
            </w:r>
          </w:p>
        </w:tc>
      </w:tr>
    </w:tbl>
    <w:p>
      <w:pPr>
        <w:spacing w:after="20"/>
      </w:pPr>
    </w:p>
    <w:p>
      <w:pPr>
        <w:pStyle w:val="Heading2"/>
        <w:keepNext/>
      </w:pPr>
      <w:r>
        <w:t xml:space="preserve">17.2 Repository Layout (as built)</w:t>
      </w:r>
    </w:p>
    <w:p>
      <w:pPr>
        <w:keepLines/>
        <w:ind w:left="360"/>
      </w:pPr>
      <w:r>
        <w:rPr>
          <w:rFonts w:ascii="Courier New" w:hAnsi="Courier New"/>
          <w:sz w:val="17"/>
        </w:rPr>
        <w:t xml:space="preserve">Minor-Project/</w:t>
        <w:br/>
        <w:t xml:space="preserve">├── src/forgetcheck/</w:t>
        <w:br/>
        <w:t xml:space="preserve">│   ├── registry/       # run ids, metric registry, records, provenance, store</w:t>
        <w:br/>
        <w:t xml:space="preserve">│   ├── data/           # CIFAR-10, forget sets, memorization scores</w:t>
        <w:br/>
        <w:t xml:space="preserve">│   ├── models/         # ResNet-18</w:t>
        <w:br/>
        <w:t xml:space="preserve">│   ├── train/          # one training loop: originals, retrains, reference models</w:t>
        <w:br/>
        <w:t xml:space="preserve">│   ├── unlearn/        # the method interface, six methods, runner</w:t>
        <w:br/>
        <w:t xml:space="preserve">│   ├── audits/         # behavioral, privacy_population, privacy_rmia,</w:t>
        <w:br/>
        <w:t xml:space="preserve">│   │                   # representation, relearning, sde, probes, runner</w:t>
        <w:br/>
        <w:t xml:space="preserve">│   ├── calibrate/      # bands, native rules, canary scoring, twins, report</w:t>
        <w:br/>
        <w:t xml:space="preserve">│   ├── analysis/       # agreement, mixed_effects, figures, report</w:t>
        <w:br/>
        <w:t xml:space="preserve">│   ├── cli.py          # the forgetcheck command, one subcommand per step</w:t>
        <w:br/>
        <w:t xml:space="preserve">│   ├── config.py</w:t>
        <w:br/>
        <w:t xml:space="preserve">│   └── evaluation.py</w:t>
        <w:br/>
        <w:t xml:space="preserve">├── configs/            # base.yaml, metrics.yaml (the registry), audits.yaml</w:t>
        <w:br/>
        <w:t xml:space="preserve">├── data/memorization/  # RUM's CIFAR-10 memorization scores</w:t>
        <w:br/>
        <w:t xml:space="preserve">├── notebooks/kaggle/   # 00–06, one notebook per stage, built by _build.py</w:t>
        <w:br/>
        <w:t xml:space="preserve">├── results/            # records, calibration, analysis, figures, reports</w:t>
        <w:br/>
        <w:t xml:space="preserve">├── tests/              # pytest suite, on synthetic data shaped like the real data</w:t>
        <w:br/>
        <w:t xml:space="preserve">├── docs/               # RESULTS, STATUS, IMPLEMENTATION_PLAN, review, research log</w:t>
        <w:br/>
        <w:t xml:space="preserve">└── pyproject.toml</w:t>
      </w:r>
    </w:p>
    <w:p>
      <w:pPr>
        <w:pStyle w:val="Heading1"/>
        <w:keepNext/>
      </w:pPr>
      <w:r>
        <w:t>18. Reproducibility and Experiment Logging</w:t>
      </w:r>
    </w:p>
    <w:p>
      <w:pPr>
        <w:spacing w:after="120"/>
      </w:pPr>
      <w:r>
        <w:rPr>
          <w:i w:val="0"/>
        </w:rPr>
        <w:t xml:space="preserve">Every run is machine-readable and reproducible. No result is copied by hand: every command writes structured records, one per measurement, as Parquet shards that are checked against the metric registry when written. Model checkpoints, method settings and random seeds are linked to each record through its run identifier and provenance fields.</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448"/>
            <w:shd w:fill="17324D"/>
            <w:vAlign w:val="center"/>
          </w:tcPr>
          <w:p>
            <w:pPr>
              <w:keepNext/>
            </w:pPr>
            <w:r>
              <w:rPr>
                <w:rFonts w:ascii="Times New Roman" w:hAnsi="Times New Roman"/>
                <w:b/>
                <w:color w:val="FFFFFF"/>
                <w:sz w:val="18"/>
              </w:rPr>
              <w:t>Field</w:t>
            </w:r>
          </w:p>
        </w:tc>
        <w:tc>
          <w:tcPr>
            <w:tcW w:type="dxa" w:w="6768"/>
            <w:shd w:fill="17324D"/>
            <w:vAlign w:val="center"/>
          </w:tcPr>
          <w:p>
            <w:pPr>
              <w:keepNext/>
            </w:pPr>
            <w:r>
              <w:rPr>
                <w:rFonts w:ascii="Times New Roman" w:hAnsi="Times New Roman"/>
                <w:b/>
                <w:color w:val="FFFFFF"/>
                <w:sz w:val="18"/>
              </w:rPr>
              <w:t>Example / Purpose</w:t>
            </w:r>
          </w:p>
        </w:tc>
      </w:tr>
      <w:tr>
        <w:trPr>
          <w:cantSplit/>
        </w:trPr>
        <w:tc>
          <w:tcPr>
            <w:tcW w:type="dxa" w:w="2448"/>
            <w:vAlign w:val="top"/>
          </w:tcPr>
          <w:p>
            <w:pPr>
              <w:spacing w:after="40"/>
            </w:pPr>
            <w:r>
              <w:rPr>
                <w:rFonts w:ascii="Times New Roman" w:hAnsi="Times New Roman"/>
                <w:sz w:val="18"/>
              </w:rPr>
              <w:t xml:space="preserve">run_id</w:t>
            </w:r>
          </w:p>
        </w:tc>
        <w:tc>
          <w:tcPr>
            <w:tcW w:type="dxa" w:w="6768"/>
            <w:vAlign w:val="top"/>
          </w:tcPr>
          <w:p>
            <w:pPr>
              <w:spacing w:after="40"/>
            </w:pPr>
            <w:r>
              <w:rPr>
                <w:rFonts w:ascii="Times New Roman" w:hAnsi="Times New Roman"/>
                <w:sz w:val="18"/>
              </w:rPr>
              <w:t xml:space="preserve">Unique identifier, {dataset+arch}__{role}__{forget}__{method}__{seed}, e.g. c10r18__unlearn__mem-high-3000__scrub__train2</w:t>
            </w:r>
          </w:p>
        </w:tc>
      </w:tr>
      <w:tr>
        <w:trPr>
          <w:cantSplit/>
        </w:trPr>
        <w:tc>
          <w:tcPr>
            <w:tcW w:type="dxa" w:w="2448"/>
            <w:vAlign w:val="top"/>
            <w:shd w:fill="F5F7F9"/>
          </w:tcPr>
          <w:p>
            <w:pPr>
              <w:spacing w:after="40"/>
            </w:pPr>
            <w:r>
              <w:rPr>
                <w:rFonts w:ascii="Times New Roman" w:hAnsi="Times New Roman"/>
                <w:sz w:val="18"/>
              </w:rPr>
              <w:t xml:space="preserve">role</w:t>
            </w:r>
          </w:p>
        </w:tc>
        <w:tc>
          <w:tcPr>
            <w:tcW w:type="dxa" w:w="6768"/>
            <w:vAlign w:val="top"/>
            <w:shd w:fill="F5F7F9"/>
          </w:tcPr>
          <w:p>
            <w:pPr>
              <w:spacing w:after="40"/>
            </w:pPr>
            <w:r>
              <w:rPr>
                <w:rFonts w:ascii="Times New Roman" w:hAnsi="Times New Roman"/>
                <w:sz w:val="18"/>
              </w:rPr>
              <w:t xml:space="preserve">base, oracle, shadow, unlearn or relearn</w:t>
            </w:r>
          </w:p>
        </w:tc>
      </w:tr>
      <w:tr>
        <w:trPr>
          <w:cantSplit/>
        </w:trPr>
        <w:tc>
          <w:tcPr>
            <w:tcW w:type="dxa" w:w="2448"/>
            <w:vAlign w:val="top"/>
          </w:tcPr>
          <w:p>
            <w:pPr>
              <w:spacing w:after="40"/>
            </w:pPr>
            <w:r>
              <w:rPr>
                <w:rFonts w:ascii="Times New Roman" w:hAnsi="Times New Roman"/>
                <w:sz w:val="18"/>
              </w:rPr>
              <w:t xml:space="preserve">dataset, arch</w:t>
            </w:r>
          </w:p>
        </w:tc>
        <w:tc>
          <w:tcPr>
            <w:tcW w:type="dxa" w:w="6768"/>
            <w:vAlign w:val="top"/>
          </w:tcPr>
          <w:p>
            <w:pPr>
              <w:spacing w:after="40"/>
            </w:pPr>
            <w:r>
              <w:rPr>
                <w:rFonts w:ascii="Times New Roman" w:hAnsi="Times New Roman"/>
                <w:sz w:val="18"/>
              </w:rPr>
              <w:t xml:space="preserve">cifar10, resnet18</w:t>
            </w:r>
          </w:p>
        </w:tc>
      </w:tr>
      <w:tr>
        <w:trPr>
          <w:cantSplit/>
        </w:trPr>
        <w:tc>
          <w:tcPr>
            <w:tcW w:type="dxa" w:w="2448"/>
            <w:vAlign w:val="top"/>
            <w:shd w:fill="F5F7F9"/>
          </w:tcPr>
          <w:p>
            <w:pPr>
              <w:spacing w:after="40"/>
            </w:pPr>
            <w:r>
              <w:rPr>
                <w:rFonts w:ascii="Times New Roman" w:hAnsi="Times New Roman"/>
                <w:sz w:val="18"/>
              </w:rPr>
              <w:t xml:space="preserve">forget_id, forget_kind, forget_size, forget_stratum</w:t>
            </w:r>
          </w:p>
        </w:tc>
        <w:tc>
          <w:tcPr>
            <w:tcW w:type="dxa" w:w="6768"/>
            <w:vAlign w:val="top"/>
            <w:shd w:fill="F5F7F9"/>
          </w:tcPr>
          <w:p>
            <w:pPr>
              <w:spacing w:after="40"/>
            </w:pPr>
            <w:r>
              <w:rPr>
                <w:rFonts w:ascii="Times New Roman" w:hAnsi="Times New Roman"/>
                <w:sz w:val="18"/>
              </w:rPr>
              <w:t xml:space="preserve">Which forget set, e.g. mem-high-3000</w:t>
            </w:r>
          </w:p>
        </w:tc>
      </w:tr>
      <w:tr>
        <w:trPr>
          <w:cantSplit/>
        </w:trPr>
        <w:tc>
          <w:tcPr>
            <w:tcW w:type="dxa" w:w="2448"/>
            <w:vAlign w:val="top"/>
          </w:tcPr>
          <w:p>
            <w:pPr>
              <w:spacing w:after="40"/>
            </w:pPr>
            <w:r>
              <w:rPr>
                <w:rFonts w:ascii="Times New Roman" w:hAnsi="Times New Roman"/>
                <w:sz w:val="18"/>
              </w:rPr>
              <w:t xml:space="preserve">method</w:t>
            </w:r>
          </w:p>
        </w:tc>
        <w:tc>
          <w:tcPr>
            <w:tcW w:type="dxa" w:w="6768"/>
            <w:vAlign w:val="top"/>
          </w:tcPr>
          <w:p>
            <w:pPr>
              <w:spacing w:after="40"/>
            </w:pPr>
            <w:r>
              <w:rPr>
                <w:rFonts w:ascii="Times New Roman" w:hAnsi="Times New Roman"/>
                <w:sz w:val="18"/>
              </w:rPr>
              <w:t xml:space="preserve">Unlearning method, or none for reference models</w:t>
            </w:r>
          </w:p>
        </w:tc>
      </w:tr>
      <w:tr>
        <w:trPr>
          <w:cantSplit/>
        </w:trPr>
        <w:tc>
          <w:tcPr>
            <w:tcW w:type="dxa" w:w="2448"/>
            <w:vAlign w:val="top"/>
            <w:shd w:fill="F5F7F9"/>
          </w:tcPr>
          <w:p>
            <w:pPr>
              <w:spacing w:after="40"/>
            </w:pPr>
            <w:r>
              <w:rPr>
                <w:rFonts w:ascii="Times New Roman" w:hAnsi="Times New Roman"/>
                <w:sz w:val="18"/>
              </w:rPr>
              <w:t xml:space="preserve">train_seed, selection_seed, oracle_seed, audit_seed, shadow_idx</w:t>
            </w:r>
          </w:p>
        </w:tc>
        <w:tc>
          <w:tcPr>
            <w:tcW w:type="dxa" w:w="6768"/>
            <w:vAlign w:val="top"/>
            <w:shd w:fill="F5F7F9"/>
          </w:tcPr>
          <w:p>
            <w:pPr>
              <w:spacing w:after="40"/>
            </w:pPr>
            <w:r>
              <w:rPr>
                <w:rFonts w:ascii="Times New Roman" w:hAnsi="Times New Roman"/>
                <w:sz w:val="18"/>
              </w:rPr>
              <w:t xml:space="preserve">The seed of each independent stream, so that no two streams share randomness</w:t>
            </w:r>
          </w:p>
        </w:tc>
      </w:tr>
      <w:tr>
        <w:trPr>
          <w:cantSplit/>
        </w:trPr>
        <w:tc>
          <w:tcPr>
            <w:tcW w:type="dxa" w:w="2448"/>
            <w:vAlign w:val="top"/>
          </w:tcPr>
          <w:p>
            <w:pPr>
              <w:spacing w:after="40"/>
            </w:pPr>
            <w:r>
              <w:rPr>
                <w:rFonts w:ascii="Times New Roman" w:hAnsi="Times New Roman"/>
                <w:sz w:val="18"/>
              </w:rPr>
              <w:t xml:space="preserve">hparams_sha</w:t>
            </w:r>
          </w:p>
        </w:tc>
        <w:tc>
          <w:tcPr>
            <w:tcW w:type="dxa" w:w="6768"/>
            <w:vAlign w:val="top"/>
          </w:tcPr>
          <w:p>
            <w:pPr>
              <w:spacing w:after="40"/>
            </w:pPr>
            <w:r>
              <w:rPr>
                <w:rFonts w:ascii="Times New Roman" w:hAnsi="Times New Roman"/>
                <w:sz w:val="18"/>
              </w:rPr>
              <w:t xml:space="preserve">Hash of the method's settings; a changed setting marks its records stale</w:t>
            </w:r>
          </w:p>
        </w:tc>
      </w:tr>
      <w:tr>
        <w:trPr>
          <w:cantSplit/>
        </w:trPr>
        <w:tc>
          <w:tcPr>
            <w:tcW w:type="dxa" w:w="2448"/>
            <w:vAlign w:val="top"/>
            <w:shd w:fill="F5F7F9"/>
          </w:tcPr>
          <w:p>
            <w:pPr>
              <w:spacing w:after="40"/>
            </w:pPr>
            <w:r>
              <w:rPr>
                <w:rFonts w:ascii="Times New Roman" w:hAnsi="Times New Roman"/>
                <w:sz w:val="18"/>
              </w:rPr>
              <w:t xml:space="preserve">audit</w:t>
            </w:r>
          </w:p>
        </w:tc>
        <w:tc>
          <w:tcPr>
            <w:tcW w:type="dxa" w:w="6768"/>
            <w:vAlign w:val="top"/>
            <w:shd w:fill="F5F7F9"/>
          </w:tcPr>
          <w:p>
            <w:pPr>
              <w:spacing w:after="40"/>
            </w:pPr>
            <w:r>
              <w:rPr>
                <w:rFonts w:ascii="Times New Roman" w:hAnsi="Times New Roman"/>
                <w:sz w:val="18"/>
              </w:rPr>
              <w:t xml:space="preserve">The audit that produced the record</w:t>
            </w:r>
          </w:p>
        </w:tc>
      </w:tr>
      <w:tr>
        <w:trPr>
          <w:cantSplit/>
        </w:trPr>
        <w:tc>
          <w:tcPr>
            <w:tcW w:type="dxa" w:w="2448"/>
            <w:vAlign w:val="top"/>
          </w:tcPr>
          <w:p>
            <w:pPr>
              <w:spacing w:after="40"/>
            </w:pPr>
            <w:r>
              <w:rPr>
                <w:rFonts w:ascii="Times New Roman" w:hAnsi="Times New Roman"/>
                <w:sz w:val="18"/>
              </w:rPr>
              <w:t xml:space="preserve">metric</w:t>
            </w:r>
          </w:p>
        </w:tc>
        <w:tc>
          <w:tcPr>
            <w:tcW w:type="dxa" w:w="6768"/>
            <w:vAlign w:val="top"/>
          </w:tcPr>
          <w:p>
            <w:pPr>
              <w:spacing w:after="40"/>
            </w:pPr>
            <w:r>
              <w:rPr>
                <w:rFonts w:ascii="Times New Roman" w:hAnsi="Times New Roman"/>
                <w:sz w:val="18"/>
              </w:rPr>
              <w:t xml:space="preserve">A name from the metric registry (configs/metrics.yaml); an unregistered name is refused</w:t>
            </w:r>
          </w:p>
        </w:tc>
      </w:tr>
      <w:tr>
        <w:trPr>
          <w:cantSplit/>
        </w:trPr>
        <w:tc>
          <w:tcPr>
            <w:tcW w:type="dxa" w:w="2448"/>
            <w:vAlign w:val="top"/>
            <w:shd w:fill="F5F7F9"/>
          </w:tcPr>
          <w:p>
            <w:pPr>
              <w:spacing w:after="40"/>
            </w:pPr>
            <w:r>
              <w:rPr>
                <w:rFonts w:ascii="Times New Roman" w:hAnsi="Times New Roman"/>
                <w:sz w:val="18"/>
              </w:rPr>
              <w:t xml:space="preserve">probe_set</w:t>
            </w:r>
          </w:p>
        </w:tc>
        <w:tc>
          <w:tcPr>
            <w:tcW w:type="dxa" w:w="6768"/>
            <w:vAlign w:val="top"/>
            <w:shd w:fill="F5F7F9"/>
          </w:tcPr>
          <w:p>
            <w:pPr>
              <w:spacing w:after="40"/>
            </w:pPr>
            <w:r>
              <w:rPr>
                <w:rFonts w:ascii="Times New Roman" w:hAnsi="Times New Roman"/>
                <w:sz w:val="18"/>
              </w:rPr>
              <w:t xml:space="preserve">What was measured: forget, retain, test, canary, or a network layer</w:t>
            </w:r>
          </w:p>
        </w:tc>
      </w:tr>
      <w:tr>
        <w:trPr>
          <w:cantSplit/>
        </w:trPr>
        <w:tc>
          <w:tcPr>
            <w:tcW w:type="dxa" w:w="2448"/>
            <w:vAlign w:val="top"/>
          </w:tcPr>
          <w:p>
            <w:pPr>
              <w:spacing w:after="40"/>
            </w:pPr>
            <w:r>
              <w:rPr>
                <w:rFonts w:ascii="Times New Roman" w:hAnsi="Times New Roman"/>
                <w:sz w:val="18"/>
              </w:rPr>
              <w:t xml:space="preserve">value</w:t>
            </w:r>
          </w:p>
        </w:tc>
        <w:tc>
          <w:tcPr>
            <w:tcW w:type="dxa" w:w="6768"/>
            <w:vAlign w:val="top"/>
          </w:tcPr>
          <w:p>
            <w:pPr>
              <w:spacing w:after="40"/>
            </w:pPr>
            <w:r>
              <w:rPr>
                <w:rFonts w:ascii="Times New Roman" w:hAnsi="Times New Roman"/>
                <w:sz w:val="18"/>
              </w:rPr>
              <w:t xml:space="preserve">The measurement</w:t>
            </w:r>
          </w:p>
        </w:tc>
      </w:tr>
      <w:tr>
        <w:trPr>
          <w:cantSplit/>
        </w:trPr>
        <w:tc>
          <w:tcPr>
            <w:tcW w:type="dxa" w:w="2448"/>
            <w:vAlign w:val="top"/>
            <w:shd w:fill="F5F7F9"/>
          </w:tcPr>
          <w:p>
            <w:pPr>
              <w:spacing w:after="40"/>
            </w:pPr>
            <w:r>
              <w:rPr>
                <w:rFonts w:ascii="Times New Roman" w:hAnsi="Times New Roman"/>
                <w:sz w:val="18"/>
              </w:rPr>
              <w:t xml:space="preserve">n_probe</w:t>
            </w:r>
          </w:p>
        </w:tc>
        <w:tc>
          <w:tcPr>
            <w:tcW w:type="dxa" w:w="6768"/>
            <w:vAlign w:val="top"/>
            <w:shd w:fill="F5F7F9"/>
          </w:tcPr>
          <w:p>
            <w:pPr>
              <w:spacing w:after="40"/>
            </w:pPr>
            <w:r>
              <w:rPr>
                <w:rFonts w:ascii="Times New Roman" w:hAnsi="Times New Roman"/>
                <w:sz w:val="18"/>
              </w:rPr>
              <w:t xml:space="preserve">Number of examples behind the value</w:t>
            </w:r>
          </w:p>
        </w:tc>
      </w:tr>
      <w:tr>
        <w:trPr>
          <w:cantSplit/>
        </w:trPr>
        <w:tc>
          <w:tcPr>
            <w:tcW w:type="dxa" w:w="2448"/>
            <w:vAlign w:val="top"/>
          </w:tcPr>
          <w:p>
            <w:pPr>
              <w:spacing w:after="40"/>
            </w:pPr>
            <w:r>
              <w:rPr>
                <w:rFonts w:ascii="Times New Roman" w:hAnsi="Times New Roman"/>
                <w:sz w:val="18"/>
              </w:rPr>
              <w:t xml:space="preserve">checkpoint_sha</w:t>
            </w:r>
          </w:p>
        </w:tc>
        <w:tc>
          <w:tcPr>
            <w:tcW w:type="dxa" w:w="6768"/>
            <w:vAlign w:val="top"/>
          </w:tcPr>
          <w:p>
            <w:pPr>
              <w:spacing w:after="40"/>
            </w:pPr>
            <w:r>
              <w:rPr>
                <w:rFonts w:ascii="Times New Roman" w:hAnsi="Times New Roman"/>
                <w:sz w:val="18"/>
              </w:rPr>
              <w:t xml:space="preserve">Exact model state audited</w:t>
            </w:r>
          </w:p>
        </w:tc>
      </w:tr>
      <w:tr>
        <w:trPr>
          <w:cantSplit/>
        </w:trPr>
        <w:tc>
          <w:tcPr>
            <w:tcW w:type="dxa" w:w="2448"/>
            <w:vAlign w:val="top"/>
            <w:shd w:fill="F5F7F9"/>
          </w:tcPr>
          <w:p>
            <w:pPr>
              <w:spacing w:after="40"/>
            </w:pPr>
            <w:r>
              <w:rPr>
                <w:rFonts w:ascii="Times New Roman" w:hAnsi="Times New Roman"/>
                <w:sz w:val="18"/>
              </w:rPr>
              <w:t xml:space="preserve">runtime_s</w:t>
            </w:r>
          </w:p>
        </w:tc>
        <w:tc>
          <w:tcPr>
            <w:tcW w:type="dxa" w:w="6768"/>
            <w:vAlign w:val="top"/>
            <w:shd w:fill="F5F7F9"/>
          </w:tcPr>
          <w:p>
            <w:pPr>
              <w:spacing w:after="40"/>
            </w:pPr>
            <w:r>
              <w:rPr>
                <w:rFonts w:ascii="Times New Roman" w:hAnsi="Times New Roman"/>
                <w:sz w:val="18"/>
              </w:rPr>
              <w:t xml:space="preserve">Efficiency</w:t>
            </w:r>
          </w:p>
        </w:tc>
      </w:tr>
      <w:tr>
        <w:trPr>
          <w:cantSplit/>
        </w:trPr>
        <w:tc>
          <w:tcPr>
            <w:tcW w:type="dxa" w:w="2448"/>
            <w:vAlign w:val="top"/>
          </w:tcPr>
          <w:p>
            <w:pPr>
              <w:spacing w:after="40"/>
            </w:pPr>
            <w:r>
              <w:rPr>
                <w:rFonts w:ascii="Times New Roman" w:hAnsi="Times New Roman"/>
                <w:sz w:val="18"/>
              </w:rPr>
              <w:t xml:space="preserve">git_commit</w:t>
            </w:r>
          </w:p>
        </w:tc>
        <w:tc>
          <w:tcPr>
            <w:tcW w:type="dxa" w:w="6768"/>
            <w:vAlign w:val="top"/>
          </w:tcPr>
          <w:p>
            <w:pPr>
              <w:spacing w:after="40"/>
            </w:pPr>
            <w:r>
              <w:rPr>
                <w:rFonts w:ascii="Times New Roman" w:hAnsi="Times New Roman"/>
                <w:sz w:val="18"/>
              </w:rPr>
              <w:t xml:space="preserve">Code version that produced the record</w:t>
            </w:r>
          </w:p>
        </w:tc>
      </w:tr>
      <w:tr>
        <w:trPr>
          <w:cantSplit/>
        </w:trPr>
        <w:tc>
          <w:tcPr>
            <w:tcW w:type="dxa" w:w="2448"/>
            <w:vAlign w:val="top"/>
            <w:shd w:fill="F5F7F9"/>
          </w:tcPr>
          <w:p>
            <w:pPr>
              <w:spacing w:after="40"/>
            </w:pPr>
            <w:r>
              <w:rPr>
                <w:rFonts w:ascii="Times New Roman" w:hAnsi="Times New Roman"/>
                <w:sz w:val="18"/>
              </w:rPr>
              <w:t xml:space="preserve">env_sha</w:t>
            </w:r>
          </w:p>
        </w:tc>
        <w:tc>
          <w:tcPr>
            <w:tcW w:type="dxa" w:w="6768"/>
            <w:vAlign w:val="top"/>
            <w:shd w:fill="F5F7F9"/>
          </w:tcPr>
          <w:p>
            <w:pPr>
              <w:spacing w:after="40"/>
            </w:pPr>
            <w:r>
              <w:rPr>
                <w:rFonts w:ascii="Times New Roman" w:hAnsi="Times New Roman"/>
                <w:sz w:val="18"/>
              </w:rPr>
              <w:t xml:space="preserve">Hash of the software environment</w:t>
            </w:r>
          </w:p>
        </w:tc>
      </w:tr>
      <w:tr>
        <w:trPr>
          <w:cantSplit/>
        </w:trPr>
        <w:tc>
          <w:tcPr>
            <w:tcW w:type="dxa" w:w="2448"/>
            <w:vAlign w:val="top"/>
          </w:tcPr>
          <w:p>
            <w:pPr>
              <w:spacing w:after="40"/>
            </w:pPr>
            <w:r>
              <w:rPr>
                <w:rFonts w:ascii="Times New Roman" w:hAnsi="Times New Roman"/>
                <w:sz w:val="18"/>
              </w:rPr>
              <w:t xml:space="preserve">timestamp, notes</w:t>
            </w:r>
          </w:p>
        </w:tc>
        <w:tc>
          <w:tcPr>
            <w:tcW w:type="dxa" w:w="6768"/>
            <w:vAlign w:val="top"/>
          </w:tcPr>
          <w:p>
            <w:pPr>
              <w:spacing w:after="40"/>
            </w:pPr>
            <w:r>
              <w:rPr>
                <w:rFonts w:ascii="Times New Roman" w:hAnsi="Times New Roman"/>
                <w:sz w:val="18"/>
              </w:rPr>
              <w:t xml:space="preserve">When the record was written, which stale-record rejection relies on; free text</w:t>
            </w:r>
          </w:p>
        </w:tc>
      </w:tr>
    </w:tbl>
    <w:p>
      <w:pPr>
        <w:spacing w:after="20"/>
      </w:pPr>
    </w:p>
    <w:p>
      <w:pPr>
        <w:pStyle w:val="ListBullet"/>
        <w:spacing w:after="60"/>
        <w:ind w:left="346"/>
      </w:pPr>
      <w:r>
        <w:t>Freeze the environment after the first stable pipeline.</w:t>
      </w:r>
    </w:p>
    <w:p>
      <w:pPr>
        <w:pStyle w:val="ListBullet"/>
        <w:spacing w:after="60"/>
        <w:ind w:left="346"/>
      </w:pPr>
      <w:r>
        <w:t>Set deterministic/random seeds explicitly but acknowledge that GPU training may still show nondeterminism.</w:t>
      </w:r>
    </w:p>
    <w:p>
      <w:pPr>
        <w:pStyle w:val="ListBullet"/>
        <w:spacing w:after="60"/>
        <w:ind w:left="346"/>
      </w:pPr>
      <w:r>
        <w:t>Keep train/validation/test and member/non-member partitions fixed per experimental protocol.</w:t>
      </w:r>
    </w:p>
    <w:p>
      <w:pPr>
        <w:pStyle w:val="ListBullet"/>
        <w:spacing w:after="60"/>
        <w:ind w:left="346"/>
      </w:pPr>
      <w:r>
        <w:t>Generate paper figures from logged results, not from hand-edited numbers.</w:t>
      </w:r>
    </w:p>
    <w:p>
      <w:pPr>
        <w:pStyle w:val="ListBullet"/>
        <w:spacing w:after="60"/>
        <w:ind w:left="346"/>
      </w:pPr>
      <w:r>
        <w:t>Document any departure from published baseline code.</w:t>
      </w:r>
    </w:p>
    <w:p>
      <w:pPr>
        <w:pStyle w:val="ListBullet"/>
        <w:spacing w:after="60"/>
        <w:ind w:left="346"/>
      </w:pPr>
      <w:r>
        <w:t xml:space="preserve">As run: GPU training is not bit-reproducible, so a re-run produces a statistically equivalent model rather than the same one. Everything downstream of the checkpoints is deterministic: the analysis recomputes every reported number exactly from the records (bootstrap seed 300).</w:t>
      </w:r>
    </w:p>
    <w:p>
      <w:pPr>
        <w:pStyle w:val="ListBullet"/>
        <w:spacing w:after="60"/>
        <w:ind w:left="346"/>
      </w:pPr>
      <w:r>
        <w:t xml:space="preserve">Stale records are refused: each fix that changes an audit's output carries a valid_from date in configs/audits.yaml, and calibration rejects any record older than the fix it depends on. After every push of records to Kaggle, the dataset's version History is checked, because a push that creates no version fails silently (Section 19).</w:t>
      </w:r>
    </w:p>
    <w:p>
      <w:pPr>
        <w:pStyle w:val="Heading1"/>
        <w:keepNext/>
      </w:pPr>
      <w:r>
        <w:t>19. Risks and Mitigation</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1944"/>
            <w:shd w:fill="17324D"/>
            <w:vAlign w:val="center"/>
          </w:tcPr>
          <w:p>
            <w:pPr>
              <w:keepNext/>
            </w:pPr>
            <w:r>
              <w:rPr>
                <w:rFonts w:ascii="Times New Roman" w:hAnsi="Times New Roman"/>
                <w:b/>
                <w:color w:val="FFFFFF"/>
                <w:sz w:val="17"/>
              </w:rPr>
              <w:t>Risk</w:t>
            </w:r>
          </w:p>
        </w:tc>
        <w:tc>
          <w:tcPr>
            <w:tcW w:type="dxa" w:w="3240"/>
            <w:shd w:fill="17324D"/>
            <w:vAlign w:val="center"/>
          </w:tcPr>
          <w:p>
            <w:pPr>
              <w:keepNext/>
            </w:pPr>
            <w:r>
              <w:rPr>
                <w:rFonts w:ascii="Times New Roman" w:hAnsi="Times New Roman"/>
                <w:b/>
                <w:color w:val="FFFFFF"/>
                <w:sz w:val="17"/>
              </w:rPr>
              <w:t>Why It Matters</w:t>
            </w:r>
          </w:p>
        </w:tc>
        <w:tc>
          <w:tcPr>
            <w:tcW w:type="dxa" w:w="3960"/>
            <w:shd w:fill="17324D"/>
            <w:vAlign w:val="center"/>
          </w:tcPr>
          <w:p>
            <w:pPr>
              <w:keepNext/>
            </w:pPr>
            <w:r>
              <w:rPr>
                <w:rFonts w:ascii="Times New Roman" w:hAnsi="Times New Roman"/>
                <w:b/>
                <w:color w:val="FFFFFF"/>
                <w:sz w:val="17"/>
              </w:rPr>
              <w:t>Mitigation</w:t>
            </w:r>
          </w:p>
        </w:tc>
      </w:tr>
      <w:tr>
        <w:trPr>
          <w:cantSplit/>
        </w:trPr>
        <w:tc>
          <w:tcPr>
            <w:tcW w:type="dxa" w:w="1944"/>
            <w:vAlign w:val="top"/>
          </w:tcPr>
          <w:p>
            <w:pPr>
              <w:spacing w:after="40"/>
            </w:pPr>
            <w:r>
              <w:rPr>
                <w:rFonts w:ascii="Times New Roman" w:hAnsi="Times New Roman"/>
                <w:sz w:val="17"/>
              </w:rPr>
              <w:t>Compute platform mismatch</w:t>
            </w:r>
          </w:p>
        </w:tc>
        <w:tc>
          <w:tcPr>
            <w:tcW w:type="dxa" w:w="3240"/>
            <w:vAlign w:val="top"/>
          </w:tcPr>
          <w:p>
            <w:pPr>
              <w:spacing w:after="40"/>
            </w:pPr>
            <w:r>
              <w:rPr>
                <w:rFonts w:ascii="Times New Roman" w:hAnsi="Times New Roman"/>
                <w:sz w:val="17"/>
              </w:rPr>
              <w:t>The team’s most powerful local machine has no PyTorch-capable GPU: ROCm does not support the Radeon 890M integrated GPU, and the NPU is not exposed for training. Measured CPU throughput is 4.76 hours per 30-epoch CIFAR-10 run, roughly forty to fifty times slower than a free cloud GPU.</w:t>
            </w:r>
          </w:p>
        </w:tc>
        <w:tc>
          <w:tcPr>
            <w:tcW w:type="dxa" w:w="3960"/>
            <w:vAlign w:val="top"/>
          </w:tcPr>
          <w:p>
            <w:pPr>
              <w:spacing w:after="40"/>
            </w:pPr>
            <w:r>
              <w:rPr>
                <w:rFonts w:ascii="Times New Roman" w:hAnsi="Times New Roman"/>
                <w:sz w:val="17"/>
              </w:rPr>
              <w:t xml:space="preserve">Train exclusively on Kaggle and Colab GPU sessions; use local machines for audits, statistics and the dashboard, where 32 GB of RAM is a genuine advantage. Four Kaggle accounts supply about 120 GPU-hours per week against a total budget of roughly 11 to 26 hours. As run: three accounts, about 30–35 GPU-hours in all.</w:t>
            </w:r>
          </w:p>
        </w:tc>
      </w:tr>
      <w:tr>
        <w:trPr>
          <w:cantSplit/>
        </w:trPr>
        <w:tc>
          <w:tcPr>
            <w:tcW w:type="dxa" w:w="1944"/>
            <w:vAlign w:val="top"/>
            <w:shd w:fill="F5F7F9"/>
          </w:tcPr>
          <w:p>
            <w:pPr>
              <w:spacing w:after="40"/>
            </w:pPr>
            <w:r>
              <w:rPr>
                <w:rFonts w:ascii="Times New Roman" w:hAnsi="Times New Roman"/>
                <w:sz w:val="17"/>
              </w:rPr>
              <w:t>Old research code breaks</w:t>
            </w:r>
          </w:p>
        </w:tc>
        <w:tc>
          <w:tcPr>
            <w:tcW w:type="dxa" w:w="3240"/>
            <w:vAlign w:val="top"/>
            <w:shd w:fill="F5F7F9"/>
          </w:tcPr>
          <w:p>
            <w:pPr>
              <w:spacing w:after="40"/>
            </w:pPr>
            <w:r>
              <w:rPr>
                <w:rFonts w:ascii="Times New Roman" w:hAnsi="Times New Roman"/>
                <w:sz w:val="17"/>
              </w:rPr>
              <w:t>Academic repositories may depend on outdated libraries.</w:t>
            </w:r>
          </w:p>
        </w:tc>
        <w:tc>
          <w:tcPr>
            <w:tcW w:type="dxa" w:w="3960"/>
            <w:vAlign w:val="top"/>
            <w:shd w:fill="F5F7F9"/>
          </w:tcPr>
          <w:p>
            <w:pPr>
              <w:spacing w:after="40"/>
            </w:pPr>
            <w:r>
              <w:rPr>
                <w:rFonts w:ascii="Times New Roman" w:hAnsi="Times New Roman"/>
                <w:sz w:val="17"/>
              </w:rPr>
              <w:t xml:space="preserve">Containerize or freeze environment; port only the minimum necessary components; validate on reported baseline setting. As built, no research code was imported: the methods were implemented in the project's own package and checked against the original implementations.</w:t>
            </w:r>
          </w:p>
        </w:tc>
      </w:tr>
      <w:tr>
        <w:trPr>
          <w:cantSplit/>
        </w:trPr>
        <w:tc>
          <w:tcPr>
            <w:tcW w:type="dxa" w:w="1944"/>
            <w:vAlign w:val="top"/>
          </w:tcPr>
          <w:p>
            <w:pPr>
              <w:spacing w:after="40"/>
            </w:pPr>
            <w:r>
              <w:rPr>
                <w:rFonts w:ascii="Times New Roman" w:hAnsi="Times New Roman"/>
                <w:sz w:val="17"/>
              </w:rPr>
              <w:t>MIA choice changes the ranking</w:t>
            </w:r>
          </w:p>
        </w:tc>
        <w:tc>
          <w:tcPr>
            <w:tcW w:type="dxa" w:w="3240"/>
            <w:vAlign w:val="top"/>
          </w:tcPr>
          <w:p>
            <w:pPr>
              <w:spacing w:after="40"/>
            </w:pPr>
            <w:r>
              <w:rPr>
                <w:rFonts w:ascii="Times New Roman" w:hAnsi="Times New Roman"/>
                <w:sz w:val="17"/>
              </w:rPr>
              <w:t>Population and per-example attacks disagree, and population attacks systematically overestimate privacy protection [21]. Reporting only one would produce a misleading method ranking, not merely an understated leakage number.</w:t>
            </w:r>
          </w:p>
        </w:tc>
        <w:tc>
          <w:tcPr>
            <w:tcW w:type="dxa" w:w="3960"/>
            <w:vAlign w:val="top"/>
          </w:tcPr>
          <w:p>
            <w:pPr>
              <w:spacing w:after="40"/>
            </w:pPr>
            <w:r>
              <w:rPr>
                <w:rFonts w:ascii="Times New Roman" w:hAnsi="Times New Roman"/>
                <w:sz w:val="17"/>
              </w:rPr>
              <w:t>Run both attack strengths and report the gap as an intra-family disagreement result. Read every privacy verdict together with the retained-utility guard, since per-example scores can be gamed by utility-destroying strategies [25].</w:t>
            </w:r>
          </w:p>
        </w:tc>
      </w:tr>
      <w:tr>
        <w:trPr>
          <w:cantSplit/>
        </w:trPr>
        <w:tc>
          <w:tcPr>
            <w:tcW w:type="dxa" w:w="1944"/>
            <w:vAlign w:val="top"/>
            <w:shd w:fill="F5F7F9"/>
          </w:tcPr>
          <w:p>
            <w:pPr>
              <w:spacing w:after="40"/>
            </w:pPr>
            <w:r>
              <w:rPr>
                <w:rFonts w:ascii="Times New Roman" w:hAnsi="Times New Roman"/>
                <w:sz w:val="17"/>
              </w:rPr>
              <w:t>Representation metrics are ambiguous</w:t>
            </w:r>
          </w:p>
        </w:tc>
        <w:tc>
          <w:tcPr>
            <w:tcW w:type="dxa" w:w="3240"/>
            <w:vAlign w:val="top"/>
            <w:shd w:fill="F5F7F9"/>
          </w:tcPr>
          <w:p>
            <w:pPr>
              <w:spacing w:after="40"/>
            </w:pPr>
            <w:r>
              <w:rPr>
                <w:rFonts w:ascii="Times New Roman" w:hAnsi="Times New Roman"/>
                <w:sz w:val="17"/>
              </w:rPr>
              <w:t>High CKA similarity does not equal retained private data, and CKA values can change without a corresponding change in functional behavior [26].</w:t>
            </w:r>
          </w:p>
        </w:tc>
        <w:tc>
          <w:tcPr>
            <w:tcW w:type="dxa" w:w="3960"/>
            <w:vAlign w:val="top"/>
            <w:shd w:fill="F5F7F9"/>
          </w:tcPr>
          <w:p>
            <w:pPr>
              <w:spacing w:after="40"/>
            </w:pPr>
            <w:r>
              <w:rPr>
                <w:rFonts w:ascii="Times New Roman" w:hAnsi="Times New Roman"/>
                <w:sz w:val="17"/>
              </w:rPr>
              <w:t xml:space="preserve">Require agreement between linear CKA and a second, mechanistically different measure before any representation claim; interpret only against the oracle-vs-oracle baseline. As built, the second measure is RBF-CKA, which agrees with linear CKA (τ +0.84); a non-CKA measure was not computed.</w:t>
            </w:r>
          </w:p>
        </w:tc>
      </w:tr>
      <w:tr>
        <w:trPr>
          <w:cantSplit/>
        </w:trPr>
        <w:tc>
          <w:tcPr>
            <w:tcW w:type="dxa" w:w="1944"/>
            <w:vAlign w:val="top"/>
          </w:tcPr>
          <w:p>
            <w:pPr>
              <w:spacing w:after="40"/>
            </w:pPr>
            <w:r>
              <w:rPr>
                <w:rFonts w:ascii="Times New Roman" w:hAnsi="Times New Roman"/>
                <w:sz w:val="17"/>
              </w:rPr>
              <w:t>Forget set is too easy</w:t>
            </w:r>
          </w:p>
        </w:tc>
        <w:tc>
          <w:tcPr>
            <w:tcW w:type="dxa" w:w="3240"/>
            <w:vAlign w:val="top"/>
          </w:tcPr>
          <w:p>
            <w:pPr>
              <w:spacing w:after="40"/>
            </w:pPr>
            <w:r>
              <w:rPr>
                <w:rFonts w:ascii="Times New Roman" w:hAnsi="Times New Roman"/>
                <w:sz w:val="17"/>
              </w:rPr>
              <w:t xml:space="preserve">For low-memorization examples the ideal untraining solution is close to no change from the original model [19], so normalized oracle-gap denominators collapse there. A randomly drawn forget set is a mixture rather than an easy case: a quarter of CIFAR-10's training images are highly memorized, so random sets carry real but diluted signal.</w:t>
            </w:r>
          </w:p>
        </w:tc>
        <w:tc>
          <w:tcPr>
            <w:tcW w:type="dxa" w:w="3960"/>
            <w:vAlign w:val="top"/>
          </w:tcPr>
          <w:p>
            <w:pPr>
              <w:spacing w:after="40"/>
            </w:pPr>
            <w:r>
              <w:rPr>
                <w:rFonts w:ascii="Times New Roman" w:hAnsi="Times New Roman"/>
                <w:sz w:val="17"/>
              </w:rPr>
              <w:t xml:space="preserve">Make memorization difficulty an explicit experimental axis; keep the low-memorization stratum as a designed negative control rather than a discarded cell; retain the low-discriminability flag of Section 15.4. As run, the low stratum was quiet, as designed.</w:t>
            </w:r>
          </w:p>
        </w:tc>
      </w:tr>
      <w:tr>
        <w:trPr>
          <w:cantSplit/>
        </w:trPr>
        <w:tc>
          <w:tcPr>
            <w:tcW w:type="dxa" w:w="1944"/>
            <w:vAlign w:val="top"/>
            <w:shd w:fill="F5F7F9"/>
          </w:tcPr>
          <w:p>
            <w:pPr>
              <w:spacing w:after="40"/>
            </w:pPr>
            <w:r>
              <w:rPr>
                <w:rFonts w:ascii="Times New Roman" w:hAnsi="Times New Roman"/>
                <w:sz w:val="17"/>
              </w:rPr>
              <w:t>Relearning result confounded by optimization</w:t>
            </w:r>
          </w:p>
        </w:tc>
        <w:tc>
          <w:tcPr>
            <w:tcW w:type="dxa" w:w="3240"/>
            <w:vAlign w:val="top"/>
            <w:shd w:fill="F5F7F9"/>
          </w:tcPr>
          <w:p>
            <w:pPr>
              <w:spacing w:after="40"/>
            </w:pPr>
            <w:r>
              <w:rPr>
                <w:rFonts w:ascii="Times New Roman" w:hAnsi="Times New Roman"/>
                <w:sz w:val="17"/>
              </w:rPr>
              <w:t>A faster recovery curve may reflect learning-rate or data effects.</w:t>
            </w:r>
          </w:p>
        </w:tc>
        <w:tc>
          <w:tcPr>
            <w:tcW w:type="dxa" w:w="3960"/>
            <w:vAlign w:val="top"/>
            <w:shd w:fill="F5F7F9"/>
          </w:tcPr>
          <w:p>
            <w:pPr>
              <w:spacing w:after="40"/>
            </w:pPr>
            <w:r>
              <w:rPr>
                <w:rFonts w:ascii="Times New Roman" w:hAnsi="Times New Roman"/>
                <w:sz w:val="17"/>
              </w:rPr>
              <w:t>Use identical optimizer/data schedules for Mu and Mr and repeat across seeds.</w:t>
            </w:r>
          </w:p>
        </w:tc>
      </w:tr>
      <w:tr>
        <w:trPr>
          <w:cantSplit/>
        </w:trPr>
        <w:tc>
          <w:tcPr>
            <w:tcW w:type="dxa" w:w="1944"/>
            <w:vAlign w:val="top"/>
          </w:tcPr>
          <w:p>
            <w:pPr>
              <w:spacing w:after="40"/>
            </w:pPr>
            <w:r>
              <w:rPr>
                <w:rFonts w:ascii="Times New Roman" w:hAnsi="Times New Roman"/>
                <w:sz w:val="17"/>
              </w:rPr>
              <w:t>Scope creep into LLMs</w:t>
            </w:r>
          </w:p>
        </w:tc>
        <w:tc>
          <w:tcPr>
            <w:tcW w:type="dxa" w:w="3240"/>
            <w:vAlign w:val="top"/>
          </w:tcPr>
          <w:p>
            <w:pPr>
              <w:spacing w:after="40"/>
            </w:pPr>
            <w:r>
              <w:rPr>
                <w:rFonts w:ascii="Times New Roman" w:hAnsi="Times New Roman"/>
                <w:sz w:val="17"/>
              </w:rPr>
              <w:t>LLM extension can consume compute and obscure the core paper.</w:t>
            </w:r>
          </w:p>
        </w:tc>
        <w:tc>
          <w:tcPr>
            <w:tcW w:type="dxa" w:w="3960"/>
            <w:vAlign w:val="top"/>
          </w:tcPr>
          <w:p>
            <w:pPr>
              <w:spacing w:after="40"/>
            </w:pPr>
            <w:r>
              <w:rPr>
                <w:rFonts w:ascii="Times New Roman" w:hAnsi="Times New Roman"/>
                <w:sz w:val="17"/>
              </w:rPr>
              <w:t>Keep TOFU/LLM work optional until all CIFAR experiments and audits are complete.</w:t>
            </w:r>
          </w:p>
        </w:tc>
      </w:tr>
      <w:tr>
        <w:trPr>
          <w:cantSplit/>
        </w:trPr>
        <w:tc>
          <w:tcPr>
            <w:tcW w:type="dxa" w:w="1944"/>
            <w:vAlign w:val="top"/>
            <w:shd w:fill="F5F7F9"/>
          </w:tcPr>
          <w:p>
            <w:pPr>
              <w:spacing w:after="40"/>
            </w:pPr>
            <w:r>
              <w:rPr>
                <w:rFonts w:ascii="Times New Roman" w:hAnsi="Times New Roman"/>
                <w:sz w:val="17"/>
              </w:rPr>
              <w:t>Novelty overclaim</w:t>
            </w:r>
          </w:p>
        </w:tc>
        <w:tc>
          <w:tcPr>
            <w:tcW w:type="dxa" w:w="3240"/>
            <w:vAlign w:val="top"/>
            <w:shd w:fill="F5F7F9"/>
          </w:tcPr>
          <w:p>
            <w:pPr>
              <w:spacing w:after="40"/>
            </w:pPr>
            <w:r>
              <w:rPr>
                <w:rFonts w:ascii="Times New Roman" w:hAnsi="Times New Roman"/>
                <w:sz w:val="17"/>
              </w:rPr>
              <w:t>Work published after the v1.0 freeze already performs cross-audit disagreement analysis against a retrained oracle, including on CIFAR-10 with ResNet-18 [20], and independently establishes former hypothesis H1 [22], [23].</w:t>
            </w:r>
          </w:p>
        </w:tc>
        <w:tc>
          <w:tcPr>
            <w:tcW w:type="dxa" w:w="3960"/>
            <w:vAlign w:val="top"/>
            <w:shd w:fill="F5F7F9"/>
          </w:tcPr>
          <w:p>
            <w:pPr>
              <w:spacing w:after="40"/>
            </w:pPr>
            <w:r>
              <w:rPr>
                <w:rFonts w:ascii="Times New Roman" w:hAnsi="Times New Roman"/>
                <w:sz w:val="17"/>
              </w:rPr>
              <w:t>Use the narrowed novelty statement of Section 6, cite the overlapping work prominently, and state the replication component as replication. Re-run the novelty check before submission; the procedure is recorded in docs/RESEARCH_LOG.md.</w:t>
            </w:r>
          </w:p>
        </w:tc>
      </w:tr>
      <w:tr>
        <w:trPr>
          <w:cantSplit/>
        </w:trPr>
        <w:tc>
          <w:tcPr>
            <w:tcW w:type="dxa" w:w="1944"/>
            <w:vAlign w:val="top"/>
          </w:tcPr>
          <w:p>
            <w:pPr>
              <w:spacing w:after="40"/>
            </w:pPr>
            <w:r>
              <w:rPr>
                <w:rFonts w:ascii="Times New Roman" w:hAnsi="Times New Roman"/>
                <w:sz w:val="17"/>
              </w:rPr>
              <w:t>Underpowered agreement statistics</w:t>
            </w:r>
          </w:p>
        </w:tc>
        <w:tc>
          <w:tcPr>
            <w:tcW w:type="dxa" w:w="3240"/>
            <w:vAlign w:val="top"/>
          </w:tcPr>
          <w:p>
            <w:pPr>
              <w:spacing w:after="40"/>
            </w:pPr>
            <w:r>
              <w:rPr>
                <w:rFonts w:ascii="Times New Roman" w:hAnsi="Times New Roman"/>
                <w:sz w:val="17"/>
              </w:rPr>
              <w:t>Rank correlation over a small set of methods cannot reach significance under any possible data; at four methods the minimum attainable two-sided p-value is 0.0833.</w:t>
            </w:r>
          </w:p>
        </w:tc>
        <w:tc>
          <w:tcPr>
            <w:tcW w:type="dxa" w:w="3960"/>
            <w:vAlign w:val="top"/>
          </w:tcPr>
          <w:p>
            <w:pPr>
              <w:spacing w:after="40"/>
            </w:pPr>
            <w:r>
              <w:rPr>
                <w:rFonts w:ascii="Times New Roman" w:hAnsi="Times New Roman"/>
                <w:sz w:val="17"/>
              </w:rPr>
              <w:t xml:space="preserve">Correlate metric values across model instances rather than ranks across methods; carry five ranked methods and a destructive control; use mixed-effects models for confirmatory tests and report bootstrap intervals.</w:t>
            </w:r>
          </w:p>
        </w:tc>
      </w:tr>
      <w:tr>
        <w:trPr>
          <w:cantSplit/>
        </w:trPr>
        <w:tc>
          <w:tcPr>
            <w:tcW w:type="dxa" w:w="1944"/>
            <w:vAlign w:val="top"/>
            <w:shd w:fill="F5F7F9"/>
          </w:tcPr>
          <w:p>
            <w:pPr>
              <w:spacing w:after="40"/>
            </w:pPr>
            <w:r>
              <w:rPr>
                <w:rFonts w:ascii="Times New Roman" w:hAnsi="Times New Roman"/>
                <w:sz w:val="17"/>
              </w:rPr>
              <w:t>Schema drift across the team</w:t>
            </w:r>
          </w:p>
        </w:tc>
        <w:tc>
          <w:tcPr>
            <w:tcW w:type="dxa" w:w="3240"/>
            <w:vAlign w:val="top"/>
            <w:shd w:fill="F5F7F9"/>
          </w:tcPr>
          <w:p>
            <w:pPr>
              <w:spacing w:after="40"/>
            </w:pPr>
            <w:r>
              <w:rPr>
                <w:rFonts w:ascii="Times New Roman" w:hAnsi="Times New Roman"/>
                <w:sz w:val="17"/>
              </w:rPr>
              <w:t>Four members writing four audit modules can produce four incompatible result formats, which surfaces only at the analysis stage when there is no time to fix it.</w:t>
            </w:r>
          </w:p>
        </w:tc>
        <w:tc>
          <w:tcPr>
            <w:tcW w:type="dxa" w:w="3960"/>
            <w:vAlign w:val="top"/>
            <w:shd w:fill="F5F7F9"/>
          </w:tcPr>
          <w:p>
            <w:pPr>
              <w:spacing w:after="40"/>
            </w:pPr>
            <w:r>
              <w:rPr>
                <w:rFonts w:ascii="Times New Roman" w:hAnsi="Times New Roman"/>
                <w:sz w:val="17"/>
              </w:rPr>
              <w:t>Freeze the result-record schema in week 3, before any audit module is written. One row per (model, condition, seed) with identical keys across all audits.</w:t>
            </w:r>
          </w:p>
        </w:tc>
      </w:tr>
      <w:tr>
        <w:trPr>
          <w:cantSplit/>
        </w:trPr>
        <w:tc>
          <w:tcPr>
            <w:tcW w:type="dxa" w:w="1944"/>
            <w:vAlign w:val="top"/>
          </w:tcPr>
          <w:p>
            <w:pPr>
              <w:spacing w:after="40"/>
            </w:pPr>
            <w:r>
              <w:rPr>
                <w:rFonts w:ascii="Times New Roman" w:hAnsi="Times New Roman"/>
                <w:sz w:val="17"/>
              </w:rPr>
              <w:t xml:space="preserve">Method implementations diverge from the published methods</w:t>
            </w:r>
          </w:p>
        </w:tc>
        <w:tc>
          <w:tcPr>
            <w:tcW w:type="dxa" w:w="3240"/>
            <w:vAlign w:val="top"/>
          </w:tcPr>
          <w:p>
            <w:pPr>
              <w:spacing w:after="40"/>
            </w:pPr>
            <w:r>
              <w:rPr>
                <w:rFonts w:ascii="Times New Roman" w:hAnsi="Times New Roman"/>
                <w:sz w:val="17"/>
              </w:rPr>
              <w:t xml:space="preserve">A method that silently differs from its paper makes every comparison about the wrong algorithm. This risk materialised: the 8 September pilot found that the destructive control was not destructive and that NegGrad+ diverged.</w:t>
            </w:r>
          </w:p>
        </w:tc>
        <w:tc>
          <w:tcPr>
            <w:tcW w:type="dxa" w:w="3960"/>
            <w:vAlign w:val="top"/>
          </w:tcPr>
          <w:p>
            <w:pPr>
              <w:spacing w:after="40"/>
            </w:pPr>
            <w:r>
              <w:rPr>
                <w:rFonts w:ascii="Times New Roman" w:hAnsi="Times New Roman"/>
                <w:sz w:val="17"/>
              </w:rPr>
              <w:t xml:space="preserve">Run the pilot through the whole pipeline before the matrix; hash each method's settings into its records so that a change marks them stale; recompute what is stale (64 of 240 unlearning runs).</w:t>
            </w:r>
          </w:p>
        </w:tc>
      </w:tr>
      <w:tr>
        <w:trPr>
          <w:cantSplit/>
        </w:trPr>
        <w:tc>
          <w:tcPr>
            <w:tcW w:type="dxa" w:w="1944"/>
            <w:vAlign w:val="top"/>
            <w:shd w:fill="F5F7F9"/>
          </w:tcPr>
          <w:p>
            <w:pPr>
              <w:spacing w:after="40"/>
            </w:pPr>
            <w:r>
              <w:rPr>
                <w:rFonts w:ascii="Times New Roman" w:hAnsi="Times New Roman"/>
                <w:sz w:val="17"/>
              </w:rPr>
              <w:t xml:space="preserve">Stale or lost records</w:t>
            </w:r>
          </w:p>
        </w:tc>
        <w:tc>
          <w:tcPr>
            <w:tcW w:type="dxa" w:w="3240"/>
            <w:vAlign w:val="top"/>
            <w:shd w:fill="F5F7F9"/>
          </w:tcPr>
          <w:p>
            <w:pPr>
              <w:spacing w:after="40"/>
            </w:pPr>
            <w:r>
              <w:rPr>
                <w:rFonts w:ascii="Times New Roman" w:hAnsi="Times New Roman"/>
                <w:sz w:val="17"/>
              </w:rPr>
              <w:t xml:space="preserve">A record computed by superseded code looks exactly like a current one. This risk materialised: re-runs pushed on 20 September never became a dataset version, so the final bundle kept pre-fix rows; found on 3 October.</w:t>
            </w:r>
          </w:p>
        </w:tc>
        <w:tc>
          <w:tcPr>
            <w:tcW w:type="dxa" w:w="3960"/>
            <w:vAlign w:val="top"/>
            <w:shd w:fill="F5F7F9"/>
          </w:tcPr>
          <w:p>
            <w:pPr>
              <w:spacing w:after="40"/>
            </w:pPr>
            <w:r>
              <w:rPr>
                <w:rFonts w:ascii="Times New Roman" w:hAnsi="Times New Roman"/>
                <w:sz w:val="17"/>
              </w:rPr>
              <w:t xml:space="preserve">Re-run on 11 October. Each fix carries a valid_from date and calibration refuses older records; every report prints a provenance table; the dataset's History is checked after every push.</w:t>
            </w:r>
          </w:p>
        </w:tc>
      </w:tr>
      <w:tr>
        <w:trPr>
          <w:cantSplit/>
        </w:trPr>
        <w:tc>
          <w:tcPr>
            <w:tcW w:type="dxa" w:w="1944"/>
            <w:vAlign w:val="top"/>
          </w:tcPr>
          <w:p>
            <w:pPr>
              <w:spacing w:after="40"/>
            </w:pPr>
            <w:r>
              <w:rPr>
                <w:rFonts w:ascii="Times New Roman" w:hAnsi="Times New Roman"/>
                <w:sz w:val="17"/>
              </w:rPr>
              <w:t xml:space="preserve">An audit measures something other than forgetting</w:t>
            </w:r>
          </w:p>
        </w:tc>
        <w:tc>
          <w:tcPr>
            <w:tcW w:type="dxa" w:w="3240"/>
            <w:vAlign w:val="top"/>
          </w:tcPr>
          <w:p>
            <w:pPr>
              <w:spacing w:after="40"/>
            </w:pPr>
            <w:r>
              <w:rPr>
                <w:rFonts w:ascii="Times New Roman" w:hAnsi="Times New Roman"/>
                <w:sz w:val="17"/>
              </w:rPr>
              <w:t xml:space="preserve">A score can move for reasons unrelated to memory. This risk materialised: raw activation distance tracked shared initialisation, not forgetting.</w:t>
            </w:r>
          </w:p>
        </w:tc>
        <w:tc>
          <w:tcPr>
            <w:tcW w:type="dxa" w:w="3960"/>
            <w:vAlign w:val="top"/>
          </w:tcPr>
          <w:p>
            <w:pPr>
              <w:spacing w:after="40"/>
            </w:pPr>
            <w:r>
              <w:rPr>
                <w:rFonts w:ascii="Times New Roman" w:hAnsi="Times New Roman"/>
                <w:sz w:val="17"/>
              </w:rPr>
              <w:t xml:space="preserve">Pass every retrain through every audit (Section 15.5); the twin check, which compares an original model with the one retrain that shares its initialisation, retired activation distance from every verdict.</w:t>
            </w:r>
          </w:p>
        </w:tc>
      </w:tr>
    </w:tbl>
    <w:p>
      <w:pPr>
        <w:spacing w:after="20"/>
      </w:pPr>
    </w:p>
    <w:p>
      <w:pPr>
        <w:pStyle w:val="Heading1"/>
        <w:keepNext/>
      </w:pPr>
      <w:r>
        <w:t>20. Expected Deliverables and Demo</w:t>
      </w:r>
    </w:p>
    <w:p>
      <w:pPr>
        <w:pStyle w:val="Heading2"/>
        <w:keepNext/>
      </w:pPr>
      <w:r>
        <w:t>20.1 Final Deliverables</w:t>
      </w:r>
    </w:p>
    <w:p>
      <w:pPr>
        <w:spacing w:after="60"/>
        <w:ind w:left="403" w:hanging="317"/>
      </w:pPr>
      <w:r>
        <w:rPr>
          <w:b/>
        </w:rPr>
        <w:t xml:space="preserve">1. </w:t>
      </w:r>
      <w:r>
        <w:t>Complete literature survey and annotated bibliography.</w:t>
      </w:r>
    </w:p>
    <w:p>
      <w:pPr>
        <w:spacing w:after="60"/>
        <w:ind w:left="403" w:hanging="317"/>
      </w:pPr>
      <w:r>
        <w:rPr>
          <w:b/>
        </w:rPr>
        <w:t xml:space="preserve">2. </w:t>
      </w:r>
      <w:r>
        <w:t>Reproducible Git repository and environment specification.</w:t>
      </w:r>
    </w:p>
    <w:p>
      <w:pPr>
        <w:spacing w:after="60"/>
        <w:ind w:left="403" w:hanging="317"/>
      </w:pPr>
      <w:r>
        <w:rPr>
          <w:b/>
        </w:rPr>
        <w:t xml:space="preserve">3. </w:t>
      </w:r>
      <w:r>
        <w:t>Original and retrained model checkpoints for the controlled benchmark settings.</w:t>
      </w:r>
    </w:p>
    <w:p>
      <w:pPr>
        <w:spacing w:after="60"/>
        <w:ind w:left="403" w:hanging="317"/>
      </w:pPr>
      <w:r>
        <w:rPr>
          <w:b/>
        </w:rPr>
        <w:t xml:space="preserve">4. </w:t>
      </w:r>
      <w:r>
        <w:rPr/>
        <w:t xml:space="preserve">Implementations of six unlearning methods: five ranked methods and a destructive control.</w:t>
      </w:r>
    </w:p>
    <w:p>
      <w:pPr>
        <w:spacing w:after="60"/>
        <w:ind w:left="403" w:hanging="317"/>
      </w:pPr>
      <w:r>
        <w:rPr>
          <w:b/>
        </w:rPr>
        <w:t xml:space="preserve">5. </w:t>
      </w:r>
      <w:r>
        <w:t>Behavioral and output-similarity audit module.</w:t>
      </w:r>
    </w:p>
    <w:p>
      <w:pPr>
        <w:spacing w:after="60"/>
        <w:ind w:left="403" w:hanging="317"/>
      </w:pPr>
      <w:r>
        <w:rPr>
          <w:b/>
        </w:rPr>
        <w:t xml:space="preserve">6. </w:t>
      </w:r>
      <w:r>
        <w:t>Membership-inference privacy audit module.</w:t>
      </w:r>
    </w:p>
    <w:p>
      <w:pPr>
        <w:spacing w:after="60"/>
        <w:ind w:left="403" w:hanging="317"/>
      </w:pPr>
      <w:r>
        <w:rPr>
          <w:b/>
        </w:rPr>
        <w:t xml:space="preserve">7. </w:t>
      </w:r>
      <w:r>
        <w:rPr/>
        <w:t xml:space="preserve">Representation-analysis module with linear and RBF CKA.</w:t>
      </w:r>
    </w:p>
    <w:p>
      <w:pPr>
        <w:spacing w:after="60"/>
        <w:ind w:left="403" w:hanging="317"/>
      </w:pPr>
      <w:r>
        <w:rPr>
          <w:b/>
        </w:rPr>
        <w:t xml:space="preserve">8. </w:t>
      </w:r>
      <w:r>
        <w:t>Relearning/reversibility module.</w:t>
      </w:r>
    </w:p>
    <w:p>
      <w:pPr>
        <w:spacing w:after="60"/>
        <w:ind w:left="403" w:hanging="317"/>
      </w:pPr>
      <w:r>
        <w:rPr>
          <w:b/>
        </w:rPr>
        <w:t xml:space="preserve">9. </w:t>
      </w:r>
      <w:r>
        <w:rPr/>
        <w:t xml:space="preserve">Independence (SDE) audit module.</w:t>
      </w:r>
    </w:p>
    <w:p>
      <w:pPr>
        <w:spacing w:after="60"/>
        <w:ind w:left="403" w:hanging="317"/>
      </w:pPr>
      <w:r>
        <w:rPr>
          <w:b/>
        </w:rPr>
        <w:t xml:space="preserve">10. </w:t>
      </w:r>
      <w:r>
        <w:rPr/>
        <w:t xml:space="preserve">Cross-audit agreement/disagreement analyzer.</w:t>
      </w:r>
    </w:p>
    <w:p>
      <w:pPr>
        <w:spacing w:after="60"/>
        <w:ind w:left="403" w:hanging="317"/>
      </w:pPr>
      <w:r>
        <w:rPr>
          <w:b/>
        </w:rPr>
        <w:t xml:space="preserve">11. </w:t>
      </w:r>
      <w:r>
        <w:rPr/>
        <w:t xml:space="preserve">Audit calibration module: oracle false-positive rates and canary-condition scoring per audit family.</w:t>
      </w:r>
    </w:p>
    <w:p>
      <w:pPr>
        <w:spacing w:after="60"/>
        <w:ind w:left="403" w:hanging="317"/>
      </w:pPr>
      <w:r>
        <w:rPr>
          <w:b/>
        </w:rPr>
        <w:t xml:space="preserve">12. </w:t>
      </w:r>
      <w:r>
        <w:rPr/>
        <w:t xml:space="preserve">Final result tables and publication-quality figures.</w:t>
      </w:r>
    </w:p>
    <w:p>
      <w:pPr>
        <w:spacing w:after="60"/>
        <w:ind w:left="403" w:hanging="317"/>
      </w:pPr>
      <w:r>
        <w:rPr>
          <w:b/>
        </w:rPr>
        <w:t xml:space="preserve">13. </w:t>
      </w:r>
      <w:r>
        <w:rPr/>
        <w:t xml:space="preserve">Streamlit demonstration dashboard.</w:t>
      </w:r>
    </w:p>
    <w:p>
      <w:pPr>
        <w:spacing w:after="60"/>
        <w:ind w:left="403" w:hanging="317"/>
      </w:pPr>
      <w:r>
        <w:rPr>
          <w:b/>
        </w:rPr>
        <w:t xml:space="preserve">14. </w:t>
      </w:r>
      <w:r>
        <w:rPr/>
        <w:t xml:space="preserve">Project report, IEEE-style research paper and presentation deck.</w:t>
      </w:r>
    </w:p>
    <w:p>
      <w:pPr>
        <w:spacing w:after="120"/>
      </w:pPr>
      <w:r>
        <w:rPr>
          <w:b/>
          <w:i w:val="0"/>
        </w:rPr>
        <w:t xml:space="preserve">Status, 19 October 2026. </w:t>
      </w:r>
      <w:r>
        <w:rPr>
          <w:i w:val="0"/>
        </w:rPr>
        <w:t xml:space="preserve">Deliverables 1–12 are complete: the repository, the trained models and their checkpoints, the six methods, the audit modules, the analyzer, the calibration module, and the tables and figures (docs/RESULTS.md). Deliverables 13 and 14 remain; their dates are in Section 21.</w:t>
      </w:r>
    </w:p>
    <w:p>
      <w:pPr>
        <w:pStyle w:val="Heading2"/>
        <w:keepNext/>
      </w:pPr>
      <w:r>
        <w:t>20.2 Demonstration Dashboard</w:t>
      </w:r>
    </w:p>
    <w:p>
      <w:pPr>
        <w:spacing w:after="120"/>
      </w:pPr>
      <w:r>
        <w:rPr>
          <w:i w:val="0"/>
        </w:rPr>
        <w:t>The dashboard should allow a user/evaluator to select a forget setting and an unlearning method and view the major audit results. It is a visualization layer over completed experiments, not the research contribution itself.</w:t>
      </w:r>
      <w:r>
        <w:rPr>
          <w:i w:val="0"/>
        </w:rPr>
        <w:t xml:space="preserve"> Its design draws on Unlearning Comparator [34], a visual-analytics system for comparing unlearning methods; ForgetCheck's views add each audit's retrain band and calibrated verdict.</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592"/>
            <w:shd w:fill="17324D"/>
            <w:vAlign w:val="center"/>
          </w:tcPr>
          <w:p>
            <w:pPr>
              <w:keepNext/>
            </w:pPr>
            <w:r>
              <w:rPr>
                <w:rFonts w:ascii="Times New Roman" w:hAnsi="Times New Roman"/>
                <w:b/>
                <w:color w:val="FFFFFF"/>
                <w:sz w:val="19"/>
              </w:rPr>
              <w:t>Dashboard Component</w:t>
            </w:r>
          </w:p>
        </w:tc>
        <w:tc>
          <w:tcPr>
            <w:tcW w:type="dxa" w:w="6624"/>
            <w:shd w:fill="17324D"/>
            <w:vAlign w:val="center"/>
          </w:tcPr>
          <w:p>
            <w:pPr>
              <w:keepNext/>
            </w:pPr>
            <w:r>
              <w:rPr>
                <w:rFonts w:ascii="Times New Roman" w:hAnsi="Times New Roman"/>
                <w:b/>
                <w:color w:val="FFFFFF"/>
                <w:sz w:val="19"/>
              </w:rPr>
              <w:t>Display</w:t>
            </w:r>
          </w:p>
        </w:tc>
      </w:tr>
      <w:tr>
        <w:trPr>
          <w:cantSplit/>
        </w:trPr>
        <w:tc>
          <w:tcPr>
            <w:tcW w:type="dxa" w:w="2592"/>
            <w:vAlign w:val="top"/>
          </w:tcPr>
          <w:p>
            <w:pPr>
              <w:spacing w:after="40"/>
            </w:pPr>
            <w:r>
              <w:rPr>
                <w:rFonts w:ascii="Times New Roman" w:hAnsi="Times New Roman"/>
                <w:sz w:val="19"/>
              </w:rPr>
              <w:t>Model selector</w:t>
            </w:r>
          </w:p>
        </w:tc>
        <w:tc>
          <w:tcPr>
            <w:tcW w:type="dxa" w:w="6624"/>
            <w:vAlign w:val="top"/>
          </w:tcPr>
          <w:p>
            <w:pPr>
              <w:spacing w:after="40"/>
            </w:pPr>
            <w:r>
              <w:rPr>
                <w:rFonts w:ascii="Times New Roman" w:hAnsi="Times New Roman"/>
                <w:sz w:val="19"/>
              </w:rPr>
              <w:t>Original / Retrained oracle / Fine-tune / NegGrad+ / NegGrad control / SCRUB / SalUn / L1-sparse</w:t>
            </w:r>
          </w:p>
        </w:tc>
      </w:tr>
      <w:tr>
        <w:trPr>
          <w:cantSplit/>
        </w:trPr>
        <w:tc>
          <w:tcPr>
            <w:tcW w:type="dxa" w:w="2592"/>
            <w:vAlign w:val="top"/>
            <w:shd w:fill="F5F7F9"/>
          </w:tcPr>
          <w:p>
            <w:pPr>
              <w:spacing w:after="40"/>
            </w:pPr>
            <w:r>
              <w:rPr>
                <w:rFonts w:ascii="Times New Roman" w:hAnsi="Times New Roman"/>
                <w:sz w:val="19"/>
              </w:rPr>
              <w:t>Forget setting</w:t>
            </w:r>
          </w:p>
        </w:tc>
        <w:tc>
          <w:tcPr>
            <w:tcW w:type="dxa" w:w="6624"/>
            <w:vAlign w:val="top"/>
            <w:shd w:fill="F5F7F9"/>
          </w:tcPr>
          <w:p>
            <w:pPr>
              <w:spacing w:after="40"/>
            </w:pPr>
            <w:r>
              <w:rPr>
                <w:rFonts w:ascii="Times New Roman" w:hAnsi="Times New Roman"/>
                <w:sz w:val="19"/>
              </w:rPr>
              <w:t xml:space="preserve">Size axis (random 500 / 2,500 / 5,000, and the 3,000 bridge); difficulty axis (low / medium / high memorization); canary condition</w:t>
            </w:r>
          </w:p>
        </w:tc>
      </w:tr>
      <w:tr>
        <w:trPr>
          <w:cantSplit/>
        </w:trPr>
        <w:tc>
          <w:tcPr>
            <w:tcW w:type="dxa" w:w="2592"/>
            <w:vAlign w:val="top"/>
          </w:tcPr>
          <w:p>
            <w:pPr>
              <w:spacing w:after="40"/>
            </w:pPr>
            <w:r>
              <w:rPr>
                <w:rFonts w:ascii="Times New Roman" w:hAnsi="Times New Roman"/>
                <w:sz w:val="19"/>
              </w:rPr>
              <w:t>Utility card</w:t>
            </w:r>
          </w:p>
        </w:tc>
        <w:tc>
          <w:tcPr>
            <w:tcW w:type="dxa" w:w="6624"/>
            <w:vAlign w:val="top"/>
          </w:tcPr>
          <w:p>
            <w:pPr>
              <w:spacing w:after="40"/>
            </w:pPr>
            <w:r>
              <w:rPr>
                <w:rFonts w:ascii="Times New Roman" w:hAnsi="Times New Roman"/>
                <w:sz w:val="19"/>
              </w:rPr>
              <w:t>Retain/test accuracy</w:t>
            </w:r>
          </w:p>
        </w:tc>
      </w:tr>
      <w:tr>
        <w:trPr>
          <w:cantSplit/>
        </w:trPr>
        <w:tc>
          <w:tcPr>
            <w:tcW w:type="dxa" w:w="2592"/>
            <w:vAlign w:val="top"/>
            <w:shd w:fill="F5F7F9"/>
          </w:tcPr>
          <w:p>
            <w:pPr>
              <w:spacing w:after="40"/>
            </w:pPr>
            <w:r>
              <w:rPr>
                <w:rFonts w:ascii="Times New Roman" w:hAnsi="Times New Roman"/>
                <w:sz w:val="19"/>
              </w:rPr>
              <w:t>Privacy card</w:t>
            </w:r>
          </w:p>
        </w:tc>
        <w:tc>
          <w:tcPr>
            <w:tcW w:type="dxa" w:w="6624"/>
            <w:vAlign w:val="top"/>
            <w:shd w:fill="F5F7F9"/>
          </w:tcPr>
          <w:p>
            <w:pPr>
              <w:spacing w:after="40"/>
            </w:pPr>
            <w:r>
              <w:rPr>
                <w:rFonts w:ascii="Times New Roman" w:hAnsi="Times New Roman"/>
                <w:sz w:val="19"/>
              </w:rPr>
              <w:t>MIA AUC and attack accuracy under both attack strengths, with the gap between them</w:t>
            </w:r>
          </w:p>
        </w:tc>
      </w:tr>
      <w:tr>
        <w:trPr>
          <w:cantSplit/>
        </w:trPr>
        <w:tc>
          <w:tcPr>
            <w:tcW w:type="dxa" w:w="2592"/>
            <w:vAlign w:val="top"/>
          </w:tcPr>
          <w:p>
            <w:pPr>
              <w:spacing w:after="40"/>
            </w:pPr>
            <w:r>
              <w:rPr>
                <w:rFonts w:ascii="Times New Roman" w:hAnsi="Times New Roman"/>
                <w:sz w:val="19"/>
              </w:rPr>
              <w:t>Oracle similarity</w:t>
            </w:r>
          </w:p>
        </w:tc>
        <w:tc>
          <w:tcPr>
            <w:tcW w:type="dxa" w:w="6624"/>
            <w:vAlign w:val="top"/>
          </w:tcPr>
          <w:p>
            <w:pPr>
              <w:spacing w:after="40"/>
            </w:pPr>
            <w:r>
              <w:rPr>
                <w:rFonts w:ascii="Times New Roman" w:hAnsi="Times New Roman"/>
                <w:sz w:val="19"/>
              </w:rPr>
              <w:t>JS distance and prediction agreement</w:t>
            </w:r>
          </w:p>
        </w:tc>
      </w:tr>
      <w:tr>
        <w:trPr>
          <w:cantSplit/>
        </w:trPr>
        <w:tc>
          <w:tcPr>
            <w:tcW w:type="dxa" w:w="2592"/>
            <w:vAlign w:val="top"/>
            <w:shd w:fill="F5F7F9"/>
          </w:tcPr>
          <w:p>
            <w:pPr>
              <w:spacing w:after="40"/>
            </w:pPr>
            <w:r>
              <w:rPr>
                <w:rFonts w:ascii="Times New Roman" w:hAnsi="Times New Roman"/>
                <w:sz w:val="19"/>
              </w:rPr>
              <w:t>Representation</w:t>
            </w:r>
          </w:p>
        </w:tc>
        <w:tc>
          <w:tcPr>
            <w:tcW w:type="dxa" w:w="6624"/>
            <w:vAlign w:val="top"/>
            <w:shd w:fill="F5F7F9"/>
          </w:tcPr>
          <w:p>
            <w:pPr>
              <w:spacing w:after="40"/>
            </w:pPr>
            <w:r>
              <w:rPr>
                <w:rFonts w:ascii="Times New Roman" w:hAnsi="Times New Roman"/>
                <w:sz w:val="19"/>
              </w:rPr>
              <w:t>CKA heatmap and optional PCA view</w:t>
            </w:r>
          </w:p>
        </w:tc>
      </w:tr>
      <w:tr>
        <w:trPr>
          <w:cantSplit/>
        </w:trPr>
        <w:tc>
          <w:tcPr>
            <w:tcW w:type="dxa" w:w="2592"/>
            <w:vAlign w:val="top"/>
          </w:tcPr>
          <w:p>
            <w:pPr>
              <w:spacing w:after="40"/>
            </w:pPr>
            <w:r>
              <w:rPr>
                <w:rFonts w:ascii="Times New Roman" w:hAnsi="Times New Roman"/>
                <w:sz w:val="19"/>
              </w:rPr>
              <w:t>Relearning</w:t>
            </w:r>
          </w:p>
        </w:tc>
        <w:tc>
          <w:tcPr>
            <w:tcW w:type="dxa" w:w="6624"/>
            <w:vAlign w:val="top"/>
          </w:tcPr>
          <w:p>
            <w:pPr>
              <w:spacing w:after="40"/>
            </w:pPr>
            <w:r>
              <w:rPr>
                <w:rFonts w:ascii="Times New Roman" w:hAnsi="Times New Roman"/>
                <w:sz w:val="19"/>
              </w:rPr>
              <w:t>Recovery curve and T80 / AUC</w:t>
            </w:r>
          </w:p>
        </w:tc>
      </w:tr>
      <w:tr>
        <w:trPr>
          <w:cantSplit/>
        </w:trPr>
        <w:tc>
          <w:tcPr>
            <w:tcW w:type="dxa" w:w="2592"/>
            <w:vAlign w:val="top"/>
            <w:shd w:fill="F5F7F9"/>
          </w:tcPr>
          <w:p>
            <w:pPr>
              <w:spacing w:after="40"/>
            </w:pPr>
            <w:r>
              <w:rPr>
                <w:rFonts w:ascii="Times New Roman" w:hAnsi="Times New Roman"/>
                <w:sz w:val="19"/>
              </w:rPr>
              <w:t>Comparison</w:t>
            </w:r>
          </w:p>
        </w:tc>
        <w:tc>
          <w:tcPr>
            <w:tcW w:type="dxa" w:w="6624"/>
            <w:vAlign w:val="top"/>
            <w:shd w:fill="F5F7F9"/>
          </w:tcPr>
          <w:p>
            <w:pPr>
              <w:spacing w:after="40"/>
            </w:pPr>
            <w:r>
              <w:rPr>
                <w:rFonts w:ascii="Times New Roman" w:hAnsi="Times New Roman"/>
                <w:sz w:val="19"/>
              </w:rPr>
              <w:t>Audit rankings and disagreement matrix</w:t>
            </w:r>
          </w:p>
        </w:tc>
      </w:tr>
      <w:tr>
        <w:trPr>
          <w:cantSplit/>
        </w:trPr>
        <w:tc>
          <w:tcPr>
            <w:tcW w:type="dxa" w:w="2592"/>
            <w:vAlign w:val="top"/>
          </w:tcPr>
          <w:p>
            <w:pPr>
              <w:spacing w:after="40"/>
            </w:pPr>
            <w:r>
              <w:rPr>
                <w:rFonts w:ascii="Times New Roman" w:hAnsi="Times New Roman"/>
                <w:sz w:val="19"/>
              </w:rPr>
              <w:t>Efficiency</w:t>
            </w:r>
          </w:p>
        </w:tc>
        <w:tc>
          <w:tcPr>
            <w:tcW w:type="dxa" w:w="6624"/>
            <w:vAlign w:val="top"/>
          </w:tcPr>
          <w:p>
            <w:pPr>
              <w:spacing w:after="40"/>
            </w:pPr>
            <w:r>
              <w:rPr>
                <w:rFonts w:ascii="Times New Roman" w:hAnsi="Times New Roman"/>
                <w:sz w:val="19"/>
              </w:rPr>
              <w:t xml:space="preserve">Not shown: the run-time records were lost (Section 16.3)</w:t>
            </w:r>
          </w:p>
        </w:tc>
      </w:tr>
      <w:tr>
        <w:trPr>
          <w:cantSplit/>
        </w:trPr>
        <w:tc>
          <w:tcPr>
            <w:tcW w:type="dxa" w:w="2592"/>
            <w:vAlign w:val="top"/>
          </w:tcPr>
          <w:p>
            <w:pPr>
              <w:spacing w:after="40"/>
            </w:pPr>
            <w:r>
              <w:rPr>
                <w:rFonts w:ascii="Times New Roman" w:hAnsi="Times New Roman"/>
                <w:sz w:val="19"/>
              </w:rPr>
              <w:t>Audit validity</w:t>
            </w:r>
          </w:p>
        </w:tc>
        <w:tc>
          <w:tcPr>
            <w:tcW w:type="dxa" w:w="6624"/>
            <w:vAlign w:val="top"/>
          </w:tcPr>
          <w:p>
            <w:pPr>
              <w:spacing w:after="40"/>
            </w:pPr>
            <w:r>
              <w:rPr>
                <w:rFonts w:ascii="Times New Roman" w:hAnsi="Times New Roman"/>
                <w:sz w:val="19"/>
              </w:rPr>
              <w:t>Oracle false-positive rate and canary accuracy per audit family</w:t>
            </w:r>
          </w:p>
        </w:tc>
      </w:tr>
    </w:tbl>
    <w:p>
      <w:pPr>
        <w:spacing w:after="20"/>
      </w:pPr>
    </w:p>
    <w:p>
      <w:pPr>
        <w:pStyle w:val="Heading1"/>
        <w:keepNext/>
      </w:pPr>
      <w:r>
        <w:t xml:space="preserve">21. Timeline: As Run, and What Remains</w:t>
      </w:r>
    </w:p>
    <w:tbl>
      <w:tblPr>
        <w:tblStyle w:val="TableGrid"/>
        <w:tblW w:type="auto" w:w="0"/>
        <w:jc w:val="center"/>
        <w:tblLook w:firstColumn="1" w:firstRow="1" w:lastColumn="0" w:lastRow="0" w:noHBand="0" w:noVBand="1" w:val="04A0"/>
      </w:tblPr>
      <w:tblGrid>
        <w:gridCol w:w="1440"/>
        <w:gridCol w:w="4320"/>
        <w:gridCol w:w="3456"/>
      </w:tblGrid>
      <w:tr>
        <w:trPr>
          <w:tblHeader w:val="true"/>
          <w:cantSplit/>
        </w:trPr>
        <w:tc>
          <w:tcPr>
            <w:tcW w:type="dxa" w:w="1440"/>
            <w:shd w:fill="17324D"/>
            <w:vAlign w:val="center"/>
          </w:tcPr>
          <w:p>
            <w:pPr>
              <w:keepNext/>
            </w:pPr>
            <w:r>
              <w:rPr>
                <w:rFonts w:ascii="Times New Roman" w:hAnsi="Times New Roman"/>
                <w:b/>
                <w:color w:val="FFFFFF"/>
                <w:sz w:val="18"/>
              </w:rPr>
              <w:t xml:space="preserve">When</w:t>
            </w:r>
          </w:p>
        </w:tc>
        <w:tc>
          <w:tcPr>
            <w:tcW w:type="dxa" w:w="4320"/>
            <w:shd w:fill="17324D"/>
            <w:vAlign w:val="center"/>
          </w:tcPr>
          <w:p>
            <w:pPr>
              <w:keepNext/>
            </w:pPr>
            <w:r>
              <w:rPr>
                <w:rFonts w:ascii="Times New Roman" w:hAnsi="Times New Roman"/>
                <w:b/>
                <w:color w:val="FFFFFF"/>
                <w:sz w:val="18"/>
              </w:rPr>
              <w:t xml:space="preserve">Work</w:t>
            </w:r>
          </w:p>
        </w:tc>
        <w:tc>
          <w:tcPr>
            <w:tcW w:type="dxa" w:w="3456"/>
            <w:shd w:fill="17324D"/>
            <w:vAlign w:val="center"/>
          </w:tcPr>
          <w:p>
            <w:pPr>
              <w:keepNext/>
            </w:pPr>
            <w:r>
              <w:rPr>
                <w:rFonts w:ascii="Times New Roman" w:hAnsi="Times New Roman"/>
                <w:b/>
                <w:color w:val="FFFFFF"/>
                <w:sz w:val="18"/>
              </w:rPr>
              <w:t xml:space="preserve">Outcome</w:t>
            </w:r>
          </w:p>
        </w:tc>
      </w:tr>
      <w:tr>
        <w:trPr>
          <w:cantSplit/>
        </w:trPr>
        <w:tc>
          <w:tcPr>
            <w:tcW w:type="dxa" w:w="1440"/>
            <w:vAlign w:val="top"/>
          </w:tcPr>
          <w:p>
            <w:pPr>
              <w:spacing w:after="40"/>
            </w:pPr>
            <w:r>
              <w:rPr>
                <w:rFonts w:ascii="Times New Roman" w:hAnsi="Times New Roman"/>
                <w:sz w:val="18"/>
              </w:rPr>
              <w:t xml:space="preserve">7 Aug 2026</w:t>
            </w:r>
          </w:p>
        </w:tc>
        <w:tc>
          <w:tcPr>
            <w:tcW w:type="dxa" w:w="4320"/>
            <w:vAlign w:val="top"/>
          </w:tcPr>
          <w:p>
            <w:pPr>
              <w:spacing w:after="40"/>
            </w:pPr>
            <w:r>
              <w:rPr>
                <w:rFonts w:ascii="Times New Roman" w:hAnsi="Times New Roman"/>
                <w:sz w:val="18"/>
              </w:rPr>
              <w:t xml:space="preserve">Master reference v1.0 frozen</w:t>
            </w:r>
          </w:p>
        </w:tc>
        <w:tc>
          <w:tcPr>
            <w:tcW w:type="dxa" w:w="3456"/>
            <w:vAlign w:val="top"/>
          </w:tcPr>
          <w:p>
            <w:pPr>
              <w:spacing w:after="40"/>
            </w:pPr>
            <w:r>
              <w:rPr>
                <w:rFonts w:ascii="Times New Roman" w:hAnsi="Times New Roman"/>
                <w:sz w:val="18"/>
              </w:rPr>
              <w:t xml:space="preserve">Topic, claim and design fixed</w:t>
            </w:r>
          </w:p>
        </w:tc>
      </w:tr>
      <w:tr>
        <w:trPr>
          <w:cantSplit/>
        </w:trPr>
        <w:tc>
          <w:tcPr>
            <w:tcW w:type="dxa" w:w="1440"/>
            <w:vAlign w:val="top"/>
            <w:shd w:fill="F5F7F9"/>
          </w:tcPr>
          <w:p>
            <w:pPr>
              <w:spacing w:after="40"/>
            </w:pPr>
            <w:r>
              <w:rPr>
                <w:rFonts w:ascii="Times New Roman" w:hAnsi="Times New Roman"/>
                <w:sz w:val="18"/>
              </w:rPr>
              <w:t xml:space="preserve">25 Aug</w:t>
            </w:r>
          </w:p>
        </w:tc>
        <w:tc>
          <w:tcPr>
            <w:tcW w:type="dxa" w:w="4320"/>
            <w:vAlign w:val="top"/>
            <w:shd w:fill="F5F7F9"/>
          </w:tcPr>
          <w:p>
            <w:pPr>
              <w:spacing w:after="40"/>
            </w:pPr>
            <w:r>
              <w:rPr>
                <w:rFonts w:ascii="Times New Roman" w:hAnsi="Times New Roman"/>
                <w:sz w:val="18"/>
              </w:rPr>
              <w:t xml:space="preserve">Independent review against the 2026 literature; claim and hypotheses repositioned</w:t>
            </w:r>
          </w:p>
        </w:tc>
        <w:tc>
          <w:tcPr>
            <w:tcW w:type="dxa" w:w="3456"/>
            <w:vAlign w:val="top"/>
            <w:shd w:fill="F5F7F9"/>
          </w:tcPr>
          <w:p>
            <w:pPr>
              <w:spacing w:after="40"/>
            </w:pPr>
            <w:r>
              <w:rPr>
                <w:rFonts w:ascii="Times New Roman" w:hAnsi="Times New Roman"/>
                <w:sz w:val="18"/>
              </w:rPr>
              <w:t xml:space="preserve">Master reference v2.0; implementation plan</w:t>
            </w:r>
          </w:p>
        </w:tc>
      </w:tr>
      <w:tr>
        <w:trPr>
          <w:cantSplit/>
        </w:trPr>
        <w:tc>
          <w:tcPr>
            <w:tcW w:type="dxa" w:w="1440"/>
            <w:vAlign w:val="top"/>
          </w:tcPr>
          <w:p>
            <w:pPr>
              <w:spacing w:after="40"/>
            </w:pPr>
            <w:r>
              <w:rPr>
                <w:rFonts w:ascii="Times New Roman" w:hAnsi="Times New Roman"/>
                <w:sz w:val="18"/>
              </w:rPr>
              <w:t xml:space="preserve">26–27 Aug</w:t>
            </w:r>
          </w:p>
        </w:tc>
        <w:tc>
          <w:tcPr>
            <w:tcW w:type="dxa" w:w="4320"/>
            <w:vAlign w:val="top"/>
          </w:tcPr>
          <w:p>
            <w:pPr>
              <w:spacing w:after="40"/>
            </w:pPr>
            <w:r>
              <w:rPr>
                <w:rFonts w:ascii="Times New Roman" w:hAnsi="Times New Roman"/>
                <w:sz w:val="18"/>
              </w:rPr>
              <w:t xml:space="preserve">Stages 0–2: environment, data contracts and result schema, forget sets</w:t>
            </w:r>
          </w:p>
        </w:tc>
        <w:tc>
          <w:tcPr>
            <w:tcW w:type="dxa" w:w="3456"/>
            <w:vAlign w:val="top"/>
          </w:tcPr>
          <w:p>
            <w:pPr>
              <w:spacing w:after="40"/>
            </w:pPr>
            <w:r>
              <w:rPr>
                <w:rFonts w:ascii="Times New Roman" w:hAnsi="Times New Roman"/>
                <w:sz w:val="18"/>
              </w:rPr>
              <w:t xml:space="preserve">Schema frozen before any model was trained; all eight forget sets built and hashed</w:t>
            </w:r>
          </w:p>
        </w:tc>
      </w:tr>
      <w:tr>
        <w:trPr>
          <w:cantSplit/>
        </w:trPr>
        <w:tc>
          <w:tcPr>
            <w:tcW w:type="dxa" w:w="1440"/>
            <w:vAlign w:val="top"/>
            <w:shd w:fill="F5F7F9"/>
          </w:tcPr>
          <w:p>
            <w:pPr>
              <w:spacing w:after="40"/>
            </w:pPr>
            <w:r>
              <w:rPr>
                <w:rFonts w:ascii="Times New Roman" w:hAnsi="Times New Roman"/>
                <w:sz w:val="18"/>
              </w:rPr>
              <w:t xml:space="preserve">29 Aug</w:t>
            </w:r>
          </w:p>
        </w:tc>
        <w:tc>
          <w:tcPr>
            <w:tcW w:type="dxa" w:w="4320"/>
            <w:vAlign w:val="top"/>
            <w:shd w:fill="F5F7F9"/>
          </w:tcPr>
          <w:p>
            <w:pPr>
              <w:spacing w:after="40"/>
            </w:pPr>
            <w:r>
              <w:rPr>
                <w:rFonts w:ascii="Times New Roman" w:hAnsi="Times New Roman"/>
                <w:sz w:val="18"/>
              </w:rPr>
              <w:t xml:space="preserve">Stage 3: original models and retrains</w:t>
            </w:r>
          </w:p>
        </w:tc>
        <w:tc>
          <w:tcPr>
            <w:tcW w:type="dxa" w:w="3456"/>
            <w:vAlign w:val="top"/>
            <w:shd w:fill="F5F7F9"/>
          </w:tcPr>
          <w:p>
            <w:pPr>
              <w:spacing w:after="40"/>
            </w:pPr>
            <w:r>
              <w:rPr>
                <w:rFonts w:ascii="Times New Roman" w:hAnsi="Times New Roman"/>
                <w:sz w:val="18"/>
              </w:rPr>
              <w:t xml:space="preserve">62 of 62 trained; mean test accuracy 93.5%</w:t>
            </w:r>
          </w:p>
        </w:tc>
      </w:tr>
      <w:tr>
        <w:trPr>
          <w:cantSplit/>
        </w:trPr>
        <w:tc>
          <w:tcPr>
            <w:tcW w:type="dxa" w:w="1440"/>
            <w:vAlign w:val="top"/>
          </w:tcPr>
          <w:p>
            <w:pPr>
              <w:spacing w:after="40"/>
            </w:pPr>
            <w:r>
              <w:rPr>
                <w:rFonts w:ascii="Times New Roman" w:hAnsi="Times New Roman"/>
                <w:sz w:val="18"/>
              </w:rPr>
              <w:t xml:space="preserve">8 Sep</w:t>
            </w:r>
          </w:p>
        </w:tc>
        <w:tc>
          <w:tcPr>
            <w:tcW w:type="dxa" w:w="4320"/>
            <w:vAlign w:val="top"/>
          </w:tcPr>
          <w:p>
            <w:pPr>
              <w:spacing w:after="40"/>
            </w:pPr>
            <w:r>
              <w:rPr>
                <w:rFonts w:ascii="Times New Roman" w:hAnsi="Times New Roman"/>
                <w:sz w:val="18"/>
              </w:rPr>
              <w:t xml:space="preserve">Full-pipeline pilot</w:t>
            </w:r>
          </w:p>
        </w:tc>
        <w:tc>
          <w:tcPr>
            <w:tcW w:type="dxa" w:w="3456"/>
            <w:vAlign w:val="top"/>
          </w:tcPr>
          <w:p>
            <w:pPr>
              <w:spacing w:after="40"/>
            </w:pPr>
            <w:r>
              <w:rPr>
                <w:rFonts w:ascii="Times New Roman" w:hAnsi="Times New Roman"/>
                <w:sz w:val="18"/>
              </w:rPr>
              <w:t xml:space="preserve">Two method defects found and fixed; novelty check closed (not a scoop)</w:t>
            </w:r>
          </w:p>
        </w:tc>
      </w:tr>
      <w:tr>
        <w:trPr>
          <w:cantSplit/>
        </w:trPr>
        <w:tc>
          <w:tcPr>
            <w:tcW w:type="dxa" w:w="1440"/>
            <w:vAlign w:val="top"/>
            <w:shd w:fill="F5F7F9"/>
          </w:tcPr>
          <w:p>
            <w:pPr>
              <w:spacing w:after="40"/>
            </w:pPr>
            <w:r>
              <w:rPr>
                <w:rFonts w:ascii="Times New Roman" w:hAnsi="Times New Roman"/>
                <w:sz w:val="18"/>
              </w:rPr>
              <w:t xml:space="preserve">9–14 Sep</w:t>
            </w:r>
          </w:p>
        </w:tc>
        <w:tc>
          <w:tcPr>
            <w:tcW w:type="dxa" w:w="4320"/>
            <w:vAlign w:val="top"/>
            <w:shd w:fill="F5F7F9"/>
          </w:tcPr>
          <w:p>
            <w:pPr>
              <w:spacing w:after="40"/>
            </w:pPr>
            <w:r>
              <w:rPr>
                <w:rFonts w:ascii="Times New Roman" w:hAnsi="Times New Roman"/>
                <w:sz w:val="18"/>
              </w:rPr>
              <w:t xml:space="preserve">Stage 5: the unlearning matrix</w:t>
            </w:r>
          </w:p>
        </w:tc>
        <w:tc>
          <w:tcPr>
            <w:tcW w:type="dxa" w:w="3456"/>
            <w:vAlign w:val="top"/>
            <w:shd w:fill="F5F7F9"/>
          </w:tcPr>
          <w:p>
            <w:pPr>
              <w:spacing w:after="40"/>
            </w:pPr>
            <w:r>
              <w:rPr>
                <w:rFonts w:ascii="Times New Roman" w:hAnsi="Times New Roman"/>
                <w:sz w:val="18"/>
              </w:rPr>
              <w:t xml:space="preserve">240 of 240 runs; 64 recomputed after fixes</w:t>
            </w:r>
          </w:p>
        </w:tc>
      </w:tr>
      <w:tr>
        <w:trPr>
          <w:cantSplit/>
        </w:trPr>
        <w:tc>
          <w:tcPr>
            <w:tcW w:type="dxa" w:w="1440"/>
            <w:vAlign w:val="top"/>
          </w:tcPr>
          <w:p>
            <w:pPr>
              <w:spacing w:after="40"/>
            </w:pPr>
            <w:r>
              <w:rPr>
                <w:rFonts w:ascii="Times New Roman" w:hAnsi="Times New Roman"/>
                <w:sz w:val="18"/>
              </w:rPr>
              <w:t xml:space="preserve">12–21 Sep</w:t>
            </w:r>
          </w:p>
        </w:tc>
        <w:tc>
          <w:tcPr>
            <w:tcW w:type="dxa" w:w="4320"/>
            <w:vAlign w:val="top"/>
          </w:tcPr>
          <w:p>
            <w:pPr>
              <w:spacing w:after="40"/>
            </w:pPr>
            <w:r>
              <w:rPr>
                <w:rFonts w:ascii="Times New Roman" w:hAnsi="Times New Roman"/>
                <w:sz w:val="18"/>
              </w:rPr>
              <w:t xml:space="preserve">Stage 6: six audits on every model; SDE added 15 Sep</w:t>
            </w:r>
          </w:p>
        </w:tc>
        <w:tc>
          <w:tcPr>
            <w:tcW w:type="dxa" w:w="3456"/>
            <w:vAlign w:val="top"/>
          </w:tcPr>
          <w:p>
            <w:pPr>
              <w:spacing w:after="40"/>
            </w:pPr>
            <w:r>
              <w:rPr>
                <w:rFonts w:ascii="Times New Roman" w:hAnsi="Times New Roman"/>
                <w:sz w:val="18"/>
              </w:rPr>
              <w:t xml:space="preserve">9,238 records</w:t>
            </w:r>
          </w:p>
        </w:tc>
      </w:tr>
      <w:tr>
        <w:trPr>
          <w:cantSplit/>
        </w:trPr>
        <w:tc>
          <w:tcPr>
            <w:tcW w:type="dxa" w:w="1440"/>
            <w:vAlign w:val="top"/>
            <w:shd w:fill="F5F7F9"/>
          </w:tcPr>
          <w:p>
            <w:pPr>
              <w:spacing w:after="40"/>
            </w:pPr>
            <w:r>
              <w:rPr>
                <w:rFonts w:ascii="Times New Roman" w:hAnsi="Times New Roman"/>
                <w:sz w:val="18"/>
              </w:rPr>
              <w:t xml:space="preserve">25–27 Sep</w:t>
            </w:r>
          </w:p>
        </w:tc>
        <w:tc>
          <w:tcPr>
            <w:tcW w:type="dxa" w:w="4320"/>
            <w:vAlign w:val="top"/>
            <w:shd w:fill="F5F7F9"/>
          </w:tcPr>
          <w:p>
            <w:pPr>
              <w:spacing w:after="40"/>
            </w:pPr>
            <w:r>
              <w:rPr>
                <w:rFonts w:ascii="Times New Roman" w:hAnsi="Times New Roman"/>
                <w:sz w:val="18"/>
              </w:rPr>
              <w:t xml:space="preserve">Stage 7: calibration and validity</w:t>
            </w:r>
          </w:p>
        </w:tc>
        <w:tc>
          <w:tcPr>
            <w:tcW w:type="dxa" w:w="3456"/>
            <w:vAlign w:val="top"/>
            <w:shd w:fill="F5F7F9"/>
          </w:tcPr>
          <w:p>
            <w:pPr>
              <w:spacing w:after="40"/>
            </w:pPr>
            <w:r>
              <w:rPr>
                <w:rFonts w:ascii="Times New Roman" w:hAnsi="Times New Roman"/>
                <w:sz w:val="18"/>
              </w:rPr>
              <w:t xml:space="preserve">Canary ground truth, utility guard and minimum effect fixed; activation distance retired</w:t>
            </w:r>
          </w:p>
        </w:tc>
      </w:tr>
      <w:tr>
        <w:trPr>
          <w:cantSplit/>
        </w:trPr>
        <w:tc>
          <w:tcPr>
            <w:tcW w:type="dxa" w:w="1440"/>
            <w:vAlign w:val="top"/>
          </w:tcPr>
          <w:p>
            <w:pPr>
              <w:spacing w:after="40"/>
            </w:pPr>
            <w:r>
              <w:rPr>
                <w:rFonts w:ascii="Times New Roman" w:hAnsi="Times New Roman"/>
                <w:sz w:val="18"/>
              </w:rPr>
              <w:t xml:space="preserve">1–2 Oct</w:t>
            </w:r>
          </w:p>
        </w:tc>
        <w:tc>
          <w:tcPr>
            <w:tcW w:type="dxa" w:w="4320"/>
            <w:vAlign w:val="top"/>
          </w:tcPr>
          <w:p>
            <w:pPr>
              <w:spacing w:after="40"/>
            </w:pPr>
            <w:r>
              <w:rPr>
                <w:rFonts w:ascii="Times New Roman" w:hAnsi="Times New Roman"/>
                <w:sz w:val="18"/>
              </w:rPr>
              <w:t xml:space="preserve">Stage 8: analysis</w:t>
            </w:r>
          </w:p>
        </w:tc>
        <w:tc>
          <w:tcPr>
            <w:tcW w:type="dxa" w:w="3456"/>
            <w:vAlign w:val="top"/>
          </w:tcPr>
          <w:p>
            <w:pPr>
              <w:spacing w:after="40"/>
            </w:pPr>
            <w:r>
              <w:rPr>
                <w:rFonts w:ascii="Times New Roman" w:hAnsi="Times New Roman"/>
                <w:sz w:val="18"/>
              </w:rPr>
              <w:t xml:space="preserve">H3 measure (cka_to_original) added; confirmatory models fitted</w:t>
            </w:r>
          </w:p>
        </w:tc>
      </w:tr>
      <w:tr>
        <w:trPr>
          <w:cantSplit/>
        </w:trPr>
        <w:tc>
          <w:tcPr>
            <w:tcW w:type="dxa" w:w="1440"/>
            <w:vAlign w:val="top"/>
            <w:shd w:fill="F5F7F9"/>
          </w:tcPr>
          <w:p>
            <w:pPr>
              <w:spacing w:after="40"/>
            </w:pPr>
            <w:r>
              <w:rPr>
                <w:rFonts w:ascii="Times New Roman" w:hAnsi="Times New Roman"/>
                <w:sz w:val="18"/>
              </w:rPr>
              <w:t xml:space="preserve">3–11 Oct</w:t>
            </w:r>
          </w:p>
        </w:tc>
        <w:tc>
          <w:tcPr>
            <w:tcW w:type="dxa" w:w="4320"/>
            <w:vAlign w:val="top"/>
            <w:shd w:fill="F5F7F9"/>
          </w:tcPr>
          <w:p>
            <w:pPr>
              <w:spacing w:after="40"/>
            </w:pPr>
            <w:r>
              <w:rPr>
                <w:rFonts w:ascii="Times New Roman" w:hAnsi="Times New Roman"/>
                <w:sz w:val="18"/>
              </w:rPr>
              <w:t xml:space="preserve">Stale rows in the final bundle found, re-run and corrected</w:t>
            </w:r>
          </w:p>
        </w:tc>
        <w:tc>
          <w:tcPr>
            <w:tcW w:type="dxa" w:w="3456"/>
            <w:vAlign w:val="top"/>
            <w:shd w:fill="F5F7F9"/>
          </w:tcPr>
          <w:p>
            <w:pPr>
              <w:spacing w:after="40"/>
            </w:pPr>
            <w:r>
              <w:rPr>
                <w:rFonts w:ascii="Times New Roman" w:hAnsi="Times New Roman"/>
                <w:sz w:val="18"/>
              </w:rPr>
              <w:t xml:space="preserve">Corrected results; docs/RESULTS.md written</w:t>
            </w:r>
          </w:p>
        </w:tc>
      </w:tr>
      <w:tr>
        <w:trPr>
          <w:cantSplit/>
        </w:trPr>
        <w:tc>
          <w:tcPr>
            <w:tcW w:type="dxa" w:w="1440"/>
            <w:vAlign w:val="top"/>
          </w:tcPr>
          <w:p>
            <w:pPr>
              <w:spacing w:after="40"/>
            </w:pPr>
            <w:r>
              <w:rPr>
                <w:rFonts w:ascii="Times New Roman" w:hAnsi="Times New Roman"/>
                <w:sz w:val="18"/>
              </w:rPr>
              <w:t xml:space="preserve">19 Oct</w:t>
            </w:r>
          </w:p>
        </w:tc>
        <w:tc>
          <w:tcPr>
            <w:tcW w:type="dxa" w:w="4320"/>
            <w:vAlign w:val="top"/>
          </w:tcPr>
          <w:p>
            <w:pPr>
              <w:spacing w:after="40"/>
            </w:pPr>
            <w:r>
              <w:rPr>
                <w:rFonts w:ascii="Times New Roman" w:hAnsi="Times New Roman"/>
                <w:sz w:val="18"/>
              </w:rPr>
              <w:t xml:space="preserve">Master reference v3.0</w:t>
            </w:r>
          </w:p>
        </w:tc>
        <w:tc>
          <w:tcPr>
            <w:tcW w:type="dxa" w:w="3456"/>
            <w:vAlign w:val="top"/>
          </w:tcPr>
          <w:p>
            <w:pPr>
              <w:spacing w:after="40"/>
            </w:pPr>
            <w:r>
              <w:rPr>
                <w:rFonts w:ascii="Times New Roman" w:hAnsi="Times New Roman"/>
                <w:sz w:val="18"/>
              </w:rPr>
              <w:t xml:space="preserve">This document</w:t>
            </w:r>
          </w:p>
        </w:tc>
      </w:tr>
      <w:tr>
        <w:trPr>
          <w:cantSplit/>
        </w:trPr>
        <w:tc>
          <w:tcPr>
            <w:tcW w:type="dxa" w:w="1440"/>
            <w:vAlign w:val="top"/>
            <w:shd w:fill="F5F7F9"/>
          </w:tcPr>
          <w:p>
            <w:pPr>
              <w:spacing w:after="40"/>
            </w:pPr>
            <w:r>
              <w:rPr>
                <w:rFonts w:ascii="Times New Roman" w:hAnsi="Times New Roman"/>
                <w:sz w:val="18"/>
              </w:rPr>
              <w:t xml:space="preserve">by 29 Oct</w:t>
            </w:r>
          </w:p>
        </w:tc>
        <w:tc>
          <w:tcPr>
            <w:tcW w:type="dxa" w:w="4320"/>
            <w:vAlign w:val="top"/>
            <w:shd w:fill="F5F7F9"/>
          </w:tcPr>
          <w:p>
            <w:pPr>
              <w:spacing w:after="40"/>
            </w:pPr>
            <w:r>
              <w:rPr>
                <w:rFonts w:ascii="Times New Roman" w:hAnsi="Times New Roman"/>
                <w:sz w:val="18"/>
              </w:rPr>
              <w:t xml:space="preserve">Final paper submitted to the mentor</w:t>
            </w:r>
          </w:p>
        </w:tc>
        <w:tc>
          <w:tcPr>
            <w:tcW w:type="dxa" w:w="3456"/>
            <w:vAlign w:val="top"/>
            <w:shd w:fill="F5F7F9"/>
          </w:tcPr>
          <w:p>
            <w:pPr>
              <w:spacing w:after="40"/>
            </w:pPr>
            <w:r>
              <w:rPr>
                <w:rFonts w:ascii="Times New Roman" w:hAnsi="Times New Roman"/>
                <w:sz w:val="18"/>
              </w:rPr>
              <w:t xml:space="preserve">IEEE-style paper</w:t>
            </w:r>
          </w:p>
        </w:tc>
      </w:tr>
      <w:tr>
        <w:trPr>
          <w:cantSplit/>
        </w:trPr>
        <w:tc>
          <w:tcPr>
            <w:tcW w:type="dxa" w:w="1440"/>
            <w:vAlign w:val="top"/>
          </w:tcPr>
          <w:p>
            <w:pPr>
              <w:spacing w:after="40"/>
            </w:pPr>
            <w:r>
              <w:rPr>
                <w:rFonts w:ascii="Times New Roman" w:hAnsi="Times New Roman"/>
                <w:sz w:val="18"/>
              </w:rPr>
              <w:t xml:space="preserve">by 31 Oct</w:t>
            </w:r>
          </w:p>
        </w:tc>
        <w:tc>
          <w:tcPr>
            <w:tcW w:type="dxa" w:w="4320"/>
            <w:vAlign w:val="top"/>
          </w:tcPr>
          <w:p>
            <w:pPr>
              <w:spacing w:after="40"/>
            </w:pPr>
            <w:r>
              <w:rPr>
                <w:rFonts w:ascii="Times New Roman" w:hAnsi="Times New Roman"/>
                <w:sz w:val="18"/>
              </w:rPr>
              <w:t xml:space="preserve">Final progress presentation</w:t>
            </w:r>
          </w:p>
        </w:tc>
        <w:tc>
          <w:tcPr>
            <w:tcW w:type="dxa" w:w="3456"/>
            <w:vAlign w:val="top"/>
          </w:tcPr>
          <w:p>
            <w:pPr>
              <w:spacing w:after="40"/>
            </w:pPr>
            <w:r>
              <w:rPr>
                <w:rFonts w:ascii="Times New Roman" w:hAnsi="Times New Roman"/>
                <w:sz w:val="18"/>
              </w:rPr>
              <w:t xml:space="preserve">Presentation deck</w:t>
            </w:r>
          </w:p>
        </w:tc>
      </w:tr>
      <w:tr>
        <w:trPr>
          <w:cantSplit/>
        </w:trPr>
        <w:tc>
          <w:tcPr>
            <w:tcW w:type="dxa" w:w="1440"/>
            <w:vAlign w:val="top"/>
            <w:shd w:fill="F5F7F9"/>
          </w:tcPr>
          <w:p>
            <w:pPr>
              <w:spacing w:after="40"/>
            </w:pPr>
            <w:r>
              <w:rPr>
                <w:rFonts w:ascii="Times New Roman" w:hAnsi="Times New Roman"/>
                <w:sz w:val="18"/>
              </w:rPr>
              <w:t xml:space="preserve">by 5 Nov</w:t>
            </w:r>
          </w:p>
        </w:tc>
        <w:tc>
          <w:tcPr>
            <w:tcW w:type="dxa" w:w="4320"/>
            <w:vAlign w:val="top"/>
            <w:shd w:fill="F5F7F9"/>
          </w:tcPr>
          <w:p>
            <w:pPr>
              <w:spacing w:after="40"/>
            </w:pPr>
            <w:r>
              <w:rPr>
                <w:rFonts w:ascii="Times New Roman" w:hAnsi="Times New Roman"/>
                <w:sz w:val="18"/>
              </w:rPr>
              <w:t xml:space="preserve">Final presentation</w:t>
            </w:r>
          </w:p>
        </w:tc>
        <w:tc>
          <w:tcPr>
            <w:tcW w:type="dxa" w:w="3456"/>
            <w:vAlign w:val="top"/>
            <w:shd w:fill="F5F7F9"/>
          </w:tcPr>
          <w:p>
            <w:pPr>
              <w:spacing w:after="40"/>
            </w:pPr>
            <w:r>
              <w:rPr>
                <w:rFonts w:ascii="Times New Roman" w:hAnsi="Times New Roman"/>
                <w:sz w:val="18"/>
              </w:rPr>
              <w:t xml:space="preserve">Defense, with the dashboard demonstration</w:t>
            </w:r>
          </w:p>
        </w:tc>
      </w:tr>
    </w:tbl>
    <w:p>
      <w:pPr>
        <w:spacing w:after="20"/>
      </w:pPr>
    </w:p>
    <w:p>
      <w:pPr>
        <w:spacing w:after="120"/>
      </w:pPr>
      <w:r>
        <w:rPr>
          <w:i w:val="0"/>
        </w:rPr>
        <w:t xml:space="preserve">The schedule assumes four contributors. Ownership: member A holds the experimental substrate (weeks 3 to 7) and is on the critical path alone until the oracle ensemble exists; member B holds the behavioral and privacy audits; member C holds the representation and relearning audits; member D holds calibration, statistics, figures, the dashboard and paper assembly, starting in week 7 rather than at the end. Member A owns the training queue even though three accounts contributed compute, so that checkpoint provenance is never ambiguous.</w:t>
      </w:r>
    </w:p>
    <w:p>
      <w:pPr>
        <w:spacing w:after="120"/>
      </w:pPr>
      <w:r>
        <w:rPr>
          <w:i w:val="0"/>
        </w:rPr>
        <w:t xml:space="preserve">If the schedule slips, the order of sacrifice is: secondary dataset, then the 1% and 10% size conditions, then the canary condition. The oracle ensemble and the relearning audit are never sacrificed, because they carry the contribution. In the event nothing was sacrificed: all eight conditions were run, and only the optional secondary dataset was not attempted.</w:t>
      </w:r>
    </w:p>
    <w:p>
      <w:pPr>
        <w:pStyle w:val="Heading1"/>
        <w:keepNext/>
      </w:pPr>
      <w:r>
        <w:t>22. Working Abstract and Mentor Explanation</w:t>
      </w:r>
    </w:p>
    <w:p>
      <w:pPr>
        <w:pStyle w:val="Heading2"/>
        <w:keepNext/>
      </w:pPr>
      <w:r>
        <w:t>22.1 Working Abstract</w:t>
      </w:r>
    </w:p>
    <w:p>
      <w:pPr>
        <w:spacing w:after="120"/>
        <w:ind w:left="259" w:right="259"/>
      </w:pPr>
      <w:r>
        <w:rPr>
          <w:i/>
        </w:rPr>
        <w:t xml:space="preserve">Machine unlearning aims to remove the influence of selected training data from a trained model without the cost of retraining from scratch, but whether a model has genuinely forgotten is hard to establish, and different audits can rank the same methods differently. ForgetCheck asks whether audits of unlearning agree, which of them can be trusted when they disagree, and whether the answers depend on how hard the deletion request is, in the Untraining setting. Five unlearning methods and a destructive control are applied to CIFAR-10 ResNet-18 models across eight forget sets that vary size and memorization difficulty, including a canary condition in which residual influence is known by construction, with five seeds each. The resulting 240 unlearned models are examined by six audits spanning behavior, membership inference at two attack strengths, representation, relearning and subset independence, against 52 models retrained without the forget set. Every audit's own decision rule fails somewhere on realistic forget sets: the population attack's rule calls 17 of 17 genuine retrains “leaking” on the hardest forget set. Calibrated against the retrains instead, every audit holds its false-positive rate at the nominal level (2.4% and 4.2%, against 2.3–4.6%), and with a utility guard 23 of 39 audit readings score a perfect balanced accuracy on the canary condition. No method yields a model that resembles a retrain on any calibrated audit; at most conditions representations end up farther from a retrain than the original model was, and models whose representations stay closer to the original relearn faster, independently of the method. The audits disagree about which method forgets best, and agree most where memorization is strongest.</w:t>
      </w:r>
    </w:p>
    <w:p>
      <w:pPr>
        <w:pStyle w:val="Heading2"/>
        <w:keepNext/>
      </w:pPr>
      <w:r>
        <w:t>22.2 One-Minute Mentor Explanation</w:t>
      </w:r>
    </w:p>
    <w:tbl>
      <w:tblPr>
        <w:tblStyle w:val="TableGrid"/>
        <w:tblW w:type="auto" w:w="0"/>
        <w:jc w:val="center"/>
        <w:tblLook w:firstColumn="1" w:firstRow="1" w:lastColumn="0" w:lastRow="0" w:noHBand="0" w:noVBand="1" w:val="04A0"/>
      </w:tblPr>
      <w:tblGrid>
        <w:gridCol w:w="9242"/>
      </w:tblGrid>
      <w:tr>
        <w:trPr>
          <w:cantSplit/>
        </w:trPr>
        <w:tc>
          <w:tcPr>
            <w:tcW w:type="dxa" w:w="9242"/>
            <w:shd w:fill="EAF3F8"/>
          </w:tcPr>
          <w:p>
            <w:pPr>
              <w:spacing w:after="60"/>
            </w:pPr>
            <w:r>
              <w:rPr>
                <w:b/>
                <w:color w:val="17324D"/>
                <w:sz w:val="23"/>
              </w:rPr>
              <w:t>Use this explanation in mentor discussions</w:t>
            </w:r>
          </w:p>
          <w:p>
            <w:pPr>
              <w:spacing w:after="20"/>
            </w:pPr>
            <w:r>
              <w:rPr>
                <w:sz w:val="21"/>
              </w:rPr>
              <w:t>Machine-learning models can memorize information from their training data. If selected data later has to be removed, deleting the files from storage does not necessarily remove their influence from an already trained model. Machine unlearning attempts to remove that influence without completely retraining the model. The problem is that researchers use different metrics to decide whether unlearning was successful, and recent research shows that some metrics can be misleading. Our project compares several unlearning algorithms and audits them at four levels—behavior, membership privacy, internal representations and relearning. We compare everything against a model retrained without the forgotten data, and study whether these different audits agree or contradict each other. We additionally test whether conclusions change when difficult, highly memorized examples are deleted instead of random examples.</w:t>
            </w:r>
            <w:r>
              <w:rPr>
                <w:sz w:val="21"/>
              </w:rPr>
              <w:t xml:space="preserve"> What we found: once each audit is checked against genuinely retrained models, no method produced a model that resembles a retrain; the audits disagree about which method forgot best; and an audit's own pass/fail rule can be wrong, calling genuinely retrained models “leaking”, unless it is calibrated against retrained models.</w:t>
            </w:r>
          </w:p>
        </w:tc>
      </w:tr>
    </w:tbl>
    <w:p>
      <w:pPr>
        <w:spacing w:after="20"/>
      </w:pPr>
    </w:p>
    <w:p>
      <w:pPr>
        <w:pStyle w:val="Heading2"/>
        <w:keepNext/>
      </w:pPr>
      <w:r>
        <w:t>22.3 Claims We Must Not Make</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3888"/>
            <w:shd w:fill="17324D"/>
            <w:vAlign w:val="center"/>
          </w:tcPr>
          <w:p>
            <w:pPr>
              <w:keepNext/>
            </w:pPr>
            <w:r>
              <w:rPr>
                <w:rFonts w:ascii="Times New Roman" w:hAnsi="Times New Roman"/>
                <w:b/>
                <w:color w:val="FFFFFF"/>
                <w:sz w:val="18"/>
              </w:rPr>
              <w:t>Do Not Say</w:t>
            </w:r>
          </w:p>
        </w:tc>
        <w:tc>
          <w:tcPr>
            <w:tcW w:type="dxa" w:w="5328"/>
            <w:shd w:fill="17324D"/>
            <w:vAlign w:val="center"/>
          </w:tcPr>
          <w:p>
            <w:pPr>
              <w:keepNext/>
            </w:pPr>
            <w:r>
              <w:rPr>
                <w:rFonts w:ascii="Times New Roman" w:hAnsi="Times New Roman"/>
                <w:b/>
                <w:color w:val="FFFFFF"/>
                <w:sz w:val="18"/>
              </w:rPr>
              <w:t>Use This Instead</w:t>
            </w:r>
          </w:p>
        </w:tc>
      </w:tr>
      <w:tr>
        <w:trPr>
          <w:cantSplit/>
        </w:trPr>
        <w:tc>
          <w:tcPr>
            <w:tcW w:type="dxa" w:w="3888"/>
            <w:vAlign w:val="top"/>
          </w:tcPr>
          <w:p>
            <w:pPr>
              <w:spacing w:after="40"/>
            </w:pPr>
            <w:r>
              <w:rPr>
                <w:rFonts w:ascii="Times New Roman" w:hAnsi="Times New Roman"/>
                <w:sz w:val="18"/>
              </w:rPr>
              <w:t>“We prove that the model completely forgot the data.”</w:t>
            </w:r>
          </w:p>
        </w:tc>
        <w:tc>
          <w:tcPr>
            <w:tcW w:type="dxa" w:w="5328"/>
            <w:vAlign w:val="top"/>
          </w:tcPr>
          <w:p>
            <w:pPr>
              <w:spacing w:after="40"/>
            </w:pPr>
            <w:r>
              <w:rPr>
                <w:rFonts w:ascii="Times New Roman" w:hAnsi="Times New Roman"/>
                <w:sz w:val="18"/>
              </w:rPr>
              <w:t>“We find stronger or weaker empirical evidence of retraining-consistent forgetting under the evaluated audits.”</w:t>
            </w:r>
          </w:p>
        </w:tc>
      </w:tr>
      <w:tr>
        <w:trPr>
          <w:cantSplit/>
        </w:trPr>
        <w:tc>
          <w:tcPr>
            <w:tcW w:type="dxa" w:w="3888"/>
            <w:vAlign w:val="top"/>
            <w:shd w:fill="F5F7F9"/>
          </w:tcPr>
          <w:p>
            <w:pPr>
              <w:spacing w:after="40"/>
            </w:pPr>
            <w:r>
              <w:rPr>
                <w:rFonts w:ascii="Times New Roman" w:hAnsi="Times New Roman"/>
                <w:sz w:val="18"/>
              </w:rPr>
              <w:t>“Membership inference proves deletion.”</w:t>
            </w:r>
          </w:p>
        </w:tc>
        <w:tc>
          <w:tcPr>
            <w:tcW w:type="dxa" w:w="5328"/>
            <w:vAlign w:val="top"/>
            <w:shd w:fill="F5F7F9"/>
          </w:tcPr>
          <w:p>
            <w:pPr>
              <w:spacing w:after="40"/>
            </w:pPr>
            <w:r>
              <w:rPr>
                <w:rFonts w:ascii="Times New Roman" w:hAnsi="Times New Roman"/>
                <w:sz w:val="18"/>
              </w:rPr>
              <w:t>“Membership-inference resistance is one privacy-oriented diagnostic.”</w:t>
            </w:r>
          </w:p>
        </w:tc>
      </w:tr>
      <w:tr>
        <w:trPr>
          <w:cantSplit/>
        </w:trPr>
        <w:tc>
          <w:tcPr>
            <w:tcW w:type="dxa" w:w="3888"/>
            <w:vAlign w:val="top"/>
          </w:tcPr>
          <w:p>
            <w:pPr>
              <w:spacing w:after="40"/>
            </w:pPr>
            <w:r>
              <w:rPr>
                <w:rFonts w:ascii="Times New Roman" w:hAnsi="Times New Roman"/>
                <w:sz w:val="18"/>
              </w:rPr>
              <w:t>“ForgetCheck is the first machine-unlearning auditor.”</w:t>
            </w:r>
          </w:p>
        </w:tc>
        <w:tc>
          <w:tcPr>
            <w:tcW w:type="dxa" w:w="5328"/>
            <w:vAlign w:val="top"/>
          </w:tcPr>
          <w:p>
            <w:pPr>
              <w:spacing w:after="40"/>
            </w:pPr>
            <w:r>
              <w:rPr>
                <w:rFonts w:ascii="Times New Roman" w:hAnsi="Times New Roman"/>
                <w:sz w:val="18"/>
              </w:rPr>
              <w:t>“ForgetCheck studies disagreement among existing audit families under a controlled retraining-grounded protocol.”</w:t>
            </w:r>
          </w:p>
        </w:tc>
      </w:tr>
      <w:tr>
        <w:trPr>
          <w:cantSplit/>
        </w:trPr>
        <w:tc>
          <w:tcPr>
            <w:tcW w:type="dxa" w:w="3888"/>
            <w:vAlign w:val="top"/>
            <w:shd w:fill="F5F7F9"/>
          </w:tcPr>
          <w:p>
            <w:pPr>
              <w:spacing w:after="40"/>
            </w:pPr>
            <w:r>
              <w:rPr>
                <w:rFonts w:ascii="Times New Roman" w:hAnsi="Times New Roman"/>
                <w:sz w:val="18"/>
              </w:rPr>
              <w:t>“GDPR requires machine unlearning.”</w:t>
            </w:r>
          </w:p>
        </w:tc>
        <w:tc>
          <w:tcPr>
            <w:tcW w:type="dxa" w:w="5328"/>
            <w:vAlign w:val="top"/>
            <w:shd w:fill="F5F7F9"/>
          </w:tcPr>
          <w:p>
            <w:pPr>
              <w:spacing w:after="40"/>
            </w:pPr>
            <w:r>
              <w:rPr>
                <w:rFonts w:ascii="Times New Roman" w:hAnsi="Times New Roman"/>
                <w:sz w:val="18"/>
              </w:rPr>
              <w:t>“Data-erasure obligations are one motivation for machine-unlearning research; legal compliance depends on context and is outside this project.”</w:t>
            </w:r>
          </w:p>
        </w:tc>
      </w:tr>
      <w:tr>
        <w:trPr>
          <w:cantSplit/>
        </w:trPr>
        <w:tc>
          <w:tcPr>
            <w:tcW w:type="dxa" w:w="3888"/>
            <w:vAlign w:val="top"/>
          </w:tcPr>
          <w:p>
            <w:pPr>
              <w:spacing w:after="40"/>
            </w:pPr>
            <w:r>
              <w:rPr>
                <w:rFonts w:ascii="Times New Roman" w:hAnsi="Times New Roman"/>
                <w:sz w:val="18"/>
              </w:rPr>
              <w:t>“Internal similarity proves the data is still memorized.”</w:t>
            </w:r>
          </w:p>
        </w:tc>
        <w:tc>
          <w:tcPr>
            <w:tcW w:type="dxa" w:w="5328"/>
            <w:vAlign w:val="top"/>
          </w:tcPr>
          <w:p>
            <w:pPr>
              <w:spacing w:after="40"/>
            </w:pPr>
            <w:r>
              <w:rPr>
                <w:rFonts w:ascii="Times New Roman" w:hAnsi="Times New Roman"/>
                <w:sz w:val="18"/>
              </w:rPr>
              <w:t>“Internal similarity is a diagnostic and must be interpreted relative to original and retrained references.”</w:t>
            </w:r>
          </w:p>
        </w:tc>
      </w:tr>
      <w:tr>
        <w:trPr>
          <w:cantSplit/>
        </w:trPr>
        <w:tc>
          <w:tcPr>
            <w:tcW w:type="dxa" w:w="3888"/>
            <w:vAlign w:val="top"/>
            <w:shd w:fill="F5F7F9"/>
          </w:tcPr>
          <w:p>
            <w:pPr>
              <w:spacing w:after="40"/>
            </w:pPr>
            <w:r>
              <w:rPr>
                <w:rFonts w:ascii="Times New Roman" w:hAnsi="Times New Roman"/>
                <w:sz w:val="18"/>
              </w:rPr>
              <w:t>"We are the first to study whether unlearning audits agree."</w:t>
            </w:r>
          </w:p>
        </w:tc>
        <w:tc>
          <w:tcPr>
            <w:tcW w:type="dxa" w:w="5328"/>
            <w:vAlign w:val="top"/>
            <w:shd w:fill="F5F7F9"/>
          </w:tcPr>
          <w:p>
            <w:pPr>
              <w:spacing w:after="40"/>
            </w:pPr>
            <w:r>
              <w:rPr>
                <w:rFonts w:ascii="Times New Roman" w:hAnsi="Times New Roman"/>
                <w:sz w:val="18"/>
              </w:rPr>
              <w:t>"Cross-audit disagreement has been reported in recent work [20]; we extend the analysis with a reversibility axis, an intra-family privacy comparison, a difficulty factor, and a calibration procedure that scores audits for validity rather than only comparing them."</w:t>
            </w:r>
          </w:p>
        </w:tc>
      </w:tr>
      <w:tr>
        <w:trPr>
          <w:cantSplit/>
        </w:trPr>
        <w:tc>
          <w:tcPr>
            <w:tcW w:type="dxa" w:w="3888"/>
            <w:vAlign w:val="top"/>
          </w:tcPr>
          <w:p>
            <w:pPr>
              <w:spacing w:after="40"/>
            </w:pPr>
            <w:r>
              <w:rPr>
                <w:rFonts w:ascii="Times New Roman" w:hAnsi="Times New Roman"/>
                <w:sz w:val="18"/>
              </w:rPr>
              <w:t>"Audit X is better than audit Y."</w:t>
            </w:r>
          </w:p>
        </w:tc>
        <w:tc>
          <w:tcPr>
            <w:tcW w:type="dxa" w:w="5328"/>
            <w:vAlign w:val="top"/>
          </w:tcPr>
          <w:p>
            <w:pPr>
              <w:spacing w:after="40"/>
            </w:pPr>
            <w:r>
              <w:rPr>
                <w:rFonts w:ascii="Times New Roman" w:hAnsi="Times New Roman"/>
                <w:sz w:val="18"/>
              </w:rPr>
              <w:t xml:space="preserve">"Under this protocol, audit X showed a lower false-positive rate against genuine retrained models and higher accuracy on the canary condition than audit Y. This is evidence about these audits in this setting, not a general ordering."</w:t>
            </w:r>
          </w:p>
        </w:tc>
      </w:tr>
      <w:tr>
        <w:trPr>
          <w:cantSplit/>
        </w:trPr>
        <w:tc>
          <w:tcPr>
            <w:tcW w:type="dxa" w:w="3888"/>
            <w:vAlign w:val="top"/>
            <w:shd w:fill="F5F7F9"/>
          </w:tcPr>
          <w:p>
            <w:pPr>
              <w:spacing w:after="40"/>
            </w:pPr>
            <w:r>
              <w:rPr>
                <w:rFonts w:ascii="Times New Roman" w:hAnsi="Times New Roman"/>
                <w:sz w:val="18"/>
              </w:rPr>
              <w:t>"SSD performs poorly at unlearning."</w:t>
            </w:r>
          </w:p>
        </w:tc>
        <w:tc>
          <w:tcPr>
            <w:tcW w:type="dxa" w:w="5328"/>
            <w:vAlign w:val="top"/>
            <w:shd w:fill="F5F7F9"/>
          </w:tcPr>
          <w:p>
            <w:pPr>
              <w:spacing w:after="40"/>
            </w:pPr>
            <w:r>
              <w:rPr>
                <w:rFonts w:ascii="Times New Roman" w:hAnsi="Times New Roman"/>
                <w:sz w:val="18"/>
              </w:rPr>
              <w:t>"SSD is designed for class and sub-class forgetting; its parameter-importance mechanism is not applicable to randomly drawn instance-level forget sets, which is a mismatch between mechanism and task rather than a quality judgement."</w:t>
            </w:r>
          </w:p>
        </w:tc>
      </w:tr>
      <w:tr>
        <w:trPr>
          <w:cantSplit/>
        </w:trPr>
        <w:tc>
          <w:tcPr>
            <w:tcW w:type="dxa" w:w="3888"/>
            <w:vAlign w:val="top"/>
          </w:tcPr>
          <w:p>
            <w:pPr>
              <w:spacing w:after="40"/>
            </w:pPr>
            <w:r>
              <w:rPr>
                <w:rFonts w:ascii="Times New Roman" w:hAnsi="Times New Roman"/>
                <w:sz w:val="18"/>
              </w:rPr>
              <w:t xml:space="preserve">“The attack's AUC is about 0.5, so the data was forgotten.”</w:t>
            </w:r>
          </w:p>
        </w:tc>
        <w:tc>
          <w:tcPr>
            <w:tcW w:type="dxa" w:w="5328"/>
            <w:vAlign w:val="top"/>
          </w:tcPr>
          <w:p>
            <w:pPr>
              <w:spacing w:after="40"/>
            </w:pPr>
            <w:r>
              <w:rPr>
                <w:rFonts w:ascii="Times New Roman" w:hAnsi="Times New Roman"/>
                <w:sz w:val="18"/>
              </w:rPr>
              <w:t xml:space="preserve">“Membership-inference results are read against genuine retrains: on atypical forget sets a retrain's own AUC is far from 0.5 (0.84 at mem-high, 0.995 at the canary).”</w:t>
            </w:r>
          </w:p>
        </w:tc>
      </w:tr>
      <w:tr>
        <w:trPr>
          <w:cantSplit/>
        </w:trPr>
        <w:tc>
          <w:tcPr>
            <w:tcW w:type="dxa" w:w="3888"/>
            <w:vAlign w:val="top"/>
            <w:shd w:fill="F5F7F9"/>
          </w:tcPr>
          <w:p>
            <w:pPr>
              <w:spacing w:after="40"/>
            </w:pPr>
            <w:r>
              <w:rPr>
                <w:rFonts w:ascii="Times New Roman" w:hAnsi="Times New Roman"/>
                <w:sz w:val="18"/>
              </w:rPr>
              <w:t xml:space="preserve">“Method X is the best unlearning method.”</w:t>
            </w:r>
          </w:p>
        </w:tc>
        <w:tc>
          <w:tcPr>
            <w:tcW w:type="dxa" w:w="5328"/>
            <w:vAlign w:val="top"/>
            <w:shd w:fill="F5F7F9"/>
          </w:tcPr>
          <w:p>
            <w:pPr>
              <w:spacing w:after="40"/>
            </w:pPr>
            <w:r>
              <w:rPr>
                <w:rFonts w:ascii="Times New Roman" w:hAnsi="Times New Roman"/>
                <w:sz w:val="18"/>
              </w:rPr>
              <w:t xml:space="preserve">“Method X looked most retrain-like under audit Y. The audits disagree about which method forgets best, so no single audit ranks methods.”</w:t>
            </w:r>
          </w:p>
        </w:tc>
      </w:tr>
      <w:tr>
        <w:trPr>
          <w:cantSplit/>
        </w:trPr>
        <w:tc>
          <w:tcPr>
            <w:tcW w:type="dxa" w:w="3888"/>
            <w:vAlign w:val="top"/>
          </w:tcPr>
          <w:p>
            <w:pPr>
              <w:spacing w:after="40"/>
            </w:pPr>
            <w:r>
              <w:rPr>
                <w:rFonts w:ascii="Times New Roman" w:hAnsi="Times New Roman"/>
                <w:sz w:val="18"/>
              </w:rPr>
              <w:t xml:space="preserve">“Relearning reveals hidden memory.”</w:t>
            </w:r>
          </w:p>
        </w:tc>
        <w:tc>
          <w:tcPr>
            <w:tcW w:type="dxa" w:w="5328"/>
            <w:vAlign w:val="top"/>
          </w:tcPr>
          <w:p>
            <w:pPr>
              <w:spacing w:after="40"/>
            </w:pPr>
            <w:r>
              <w:rPr>
                <w:rFonts w:ascii="Times New Roman" w:hAnsi="Times New Roman"/>
                <w:sz w:val="18"/>
              </w:rPr>
              <w:t xml:space="preserve">“Relearning revealed retained memory that the strong privacy attack missed, concentrated in SalUn; elsewhere relearning AUC mostly repeats starting forget accuracy.”</w:t>
            </w:r>
          </w:p>
        </w:tc>
      </w:tr>
    </w:tbl>
    <w:p>
      <w:pPr>
        <w:spacing w:after="20"/>
      </w:pPr>
    </w:p>
    <w:p>
      <w:pPr>
        <w:pStyle w:val="Heading1"/>
        <w:keepNext/>
      </w:pPr>
      <w:r>
        <w:t>23. Literature Map</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2088"/>
            <w:shd w:fill="17324D"/>
            <w:vAlign w:val="center"/>
          </w:tcPr>
          <w:p>
            <w:pPr>
              <w:keepNext/>
            </w:pPr>
            <w:r>
              <w:rPr>
                <w:rFonts w:ascii="Times New Roman" w:hAnsi="Times New Roman"/>
                <w:b/>
                <w:color w:val="FFFFFF"/>
                <w:sz w:val="17"/>
              </w:rPr>
              <w:t>Research Stage</w:t>
            </w:r>
          </w:p>
        </w:tc>
        <w:tc>
          <w:tcPr>
            <w:tcW w:type="dxa" w:w="3384"/>
            <w:shd w:fill="17324D"/>
            <w:vAlign w:val="center"/>
          </w:tcPr>
          <w:p>
            <w:pPr>
              <w:keepNext/>
            </w:pPr>
            <w:r>
              <w:rPr>
                <w:rFonts w:ascii="Times New Roman" w:hAnsi="Times New Roman"/>
                <w:b/>
                <w:color w:val="FFFFFF"/>
                <w:sz w:val="17"/>
              </w:rPr>
              <w:t>Key Work</w:t>
            </w:r>
          </w:p>
        </w:tc>
        <w:tc>
          <w:tcPr>
            <w:tcW w:type="dxa" w:w="4032"/>
            <w:shd w:fill="17324D"/>
            <w:vAlign w:val="center"/>
          </w:tcPr>
          <w:p>
            <w:pPr>
              <w:keepNext/>
            </w:pPr>
            <w:r>
              <w:rPr>
                <w:rFonts w:ascii="Times New Roman" w:hAnsi="Times New Roman"/>
                <w:b/>
                <w:color w:val="FFFFFF"/>
                <w:sz w:val="17"/>
              </w:rPr>
              <w:t>Role in ForgetCheck</w:t>
            </w:r>
          </w:p>
        </w:tc>
      </w:tr>
      <w:tr>
        <w:trPr>
          <w:cantSplit/>
        </w:trPr>
        <w:tc>
          <w:tcPr>
            <w:tcW w:type="dxa" w:w="2088"/>
            <w:vAlign w:val="top"/>
          </w:tcPr>
          <w:p>
            <w:pPr>
              <w:spacing w:after="40"/>
            </w:pPr>
            <w:r>
              <w:rPr>
                <w:rFonts w:ascii="Times New Roman" w:hAnsi="Times New Roman"/>
                <w:sz w:val="17"/>
              </w:rPr>
              <w:t>Certified/counterfactual target</w:t>
            </w:r>
          </w:p>
        </w:tc>
        <w:tc>
          <w:tcPr>
            <w:tcW w:type="dxa" w:w="3384"/>
            <w:vAlign w:val="top"/>
          </w:tcPr>
          <w:p>
            <w:pPr>
              <w:spacing w:after="40"/>
            </w:pPr>
            <w:r>
              <w:rPr>
                <w:rFonts w:ascii="Times New Roman" w:hAnsi="Times New Roman"/>
                <w:sz w:val="17"/>
              </w:rPr>
              <w:t>Guo et al. [1]</w:t>
            </w:r>
          </w:p>
        </w:tc>
        <w:tc>
          <w:tcPr>
            <w:tcW w:type="dxa" w:w="4032"/>
            <w:vAlign w:val="top"/>
          </w:tcPr>
          <w:p>
            <w:pPr>
              <w:spacing w:after="40"/>
            </w:pPr>
            <w:r>
              <w:rPr>
                <w:rFonts w:ascii="Times New Roman" w:hAnsi="Times New Roman"/>
                <w:sz w:val="17"/>
              </w:rPr>
              <w:t>Motivates retraining-consistent removal as a strong conceptual target.</w:t>
            </w:r>
          </w:p>
        </w:tc>
      </w:tr>
      <w:tr>
        <w:trPr>
          <w:cantSplit/>
        </w:trPr>
        <w:tc>
          <w:tcPr>
            <w:tcW w:type="dxa" w:w="2088"/>
            <w:vAlign w:val="top"/>
            <w:shd w:fill="F5F7F9"/>
          </w:tcPr>
          <w:p>
            <w:pPr>
              <w:spacing w:after="40"/>
            </w:pPr>
            <w:r>
              <w:rPr>
                <w:rFonts w:ascii="Times New Roman" w:hAnsi="Times New Roman"/>
                <w:sz w:val="17"/>
              </w:rPr>
              <w:t>Efficient deletion</w:t>
            </w:r>
          </w:p>
        </w:tc>
        <w:tc>
          <w:tcPr>
            <w:tcW w:type="dxa" w:w="3384"/>
            <w:vAlign w:val="top"/>
            <w:shd w:fill="F5F7F9"/>
          </w:tcPr>
          <w:p>
            <w:pPr>
              <w:spacing w:after="40"/>
            </w:pPr>
            <w:r>
              <w:rPr>
                <w:rFonts w:ascii="Times New Roman" w:hAnsi="Times New Roman"/>
                <w:sz w:val="17"/>
              </w:rPr>
              <w:t>Bourtoule et al. / SISA [2]</w:t>
            </w:r>
          </w:p>
        </w:tc>
        <w:tc>
          <w:tcPr>
            <w:tcW w:type="dxa" w:w="4032"/>
            <w:vAlign w:val="top"/>
            <w:shd w:fill="F5F7F9"/>
          </w:tcPr>
          <w:p>
            <w:pPr>
              <w:spacing w:after="40"/>
            </w:pPr>
            <w:r>
              <w:rPr>
                <w:rFonts w:ascii="Times New Roman" w:hAnsi="Times New Roman"/>
                <w:sz w:val="17"/>
              </w:rPr>
              <w:t>Shows practical motivation for avoiding full retraining.</w:t>
            </w:r>
          </w:p>
        </w:tc>
      </w:tr>
      <w:tr>
        <w:trPr>
          <w:cantSplit/>
        </w:trPr>
        <w:tc>
          <w:tcPr>
            <w:tcW w:type="dxa" w:w="2088"/>
            <w:vAlign w:val="top"/>
          </w:tcPr>
          <w:p>
            <w:pPr>
              <w:spacing w:after="40"/>
            </w:pPr>
            <w:r>
              <w:rPr>
                <w:rFonts w:ascii="Times New Roman" w:hAnsi="Times New Roman"/>
                <w:sz w:val="17"/>
              </w:rPr>
              <w:t>Deep unlearning algorithms</w:t>
            </w:r>
          </w:p>
        </w:tc>
        <w:tc>
          <w:tcPr>
            <w:tcW w:type="dxa" w:w="3384"/>
            <w:vAlign w:val="top"/>
          </w:tcPr>
          <w:p>
            <w:pPr>
              <w:spacing w:after="40"/>
            </w:pPr>
            <w:r>
              <w:rPr>
                <w:rFonts w:ascii="Times New Roman" w:hAnsi="Times New Roman"/>
                <w:sz w:val="17"/>
              </w:rPr>
              <w:t>Incompetent Teacher [3], SCRUB [4], sparsity [5], SSD [6], SalUn and NegGrad+ via RUM [8]</w:t>
            </w:r>
          </w:p>
        </w:tc>
        <w:tc>
          <w:tcPr>
            <w:tcW w:type="dxa" w:w="4032"/>
            <w:vAlign w:val="top"/>
          </w:tcPr>
          <w:p>
            <w:pPr>
              <w:spacing w:after="40"/>
            </w:pPr>
            <w:r>
              <w:rPr>
                <w:rFonts w:ascii="Times New Roman" w:hAnsi="Times New Roman"/>
                <w:sz w:val="17"/>
              </w:rPr>
              <w:t xml:space="preserve">Provides the five ranked methods, the destructive control and their mechanisms. SSD was implemented but not run, a documented mechanism–task mismatch [24]; Incompetent Teacher was not added.</w:t>
            </w:r>
          </w:p>
        </w:tc>
      </w:tr>
      <w:tr>
        <w:trPr>
          <w:cantSplit/>
        </w:trPr>
        <w:tc>
          <w:tcPr>
            <w:tcW w:type="dxa" w:w="2088"/>
            <w:vAlign w:val="top"/>
            <w:shd w:fill="F5F7F9"/>
          </w:tcPr>
          <w:p>
            <w:pPr>
              <w:spacing w:after="40"/>
            </w:pPr>
            <w:r>
              <w:rPr>
                <w:rFonts w:ascii="Times New Roman" w:hAnsi="Times New Roman"/>
                <w:sz w:val="17"/>
              </w:rPr>
              <w:t>Standardized evaluation</w:t>
            </w:r>
          </w:p>
        </w:tc>
        <w:tc>
          <w:tcPr>
            <w:tcW w:type="dxa" w:w="3384"/>
            <w:vAlign w:val="top"/>
            <w:shd w:fill="F5F7F9"/>
          </w:tcPr>
          <w:p>
            <w:pPr>
              <w:spacing w:after="40"/>
            </w:pPr>
            <w:r>
              <w:rPr>
                <w:rFonts w:ascii="Times New Roman" w:hAnsi="Times New Roman"/>
                <w:sz w:val="17"/>
              </w:rPr>
              <w:t>NeurIPS 2023 Challenge [17]</w:t>
            </w:r>
          </w:p>
        </w:tc>
        <w:tc>
          <w:tcPr>
            <w:tcW w:type="dxa" w:w="4032"/>
            <w:vAlign w:val="top"/>
            <w:shd w:fill="F5F7F9"/>
          </w:tcPr>
          <w:p>
            <w:pPr>
              <w:spacing w:after="40"/>
            </w:pPr>
            <w:r>
              <w:rPr>
                <w:rFonts w:ascii="Times New Roman" w:hAnsi="Times New Roman"/>
                <w:sz w:val="17"/>
              </w:rPr>
              <w:t>Provides public CIFAR/MIA infrastructure and validates evaluation as a research problem.</w:t>
            </w:r>
          </w:p>
        </w:tc>
      </w:tr>
      <w:tr>
        <w:trPr>
          <w:cantSplit/>
        </w:trPr>
        <w:tc>
          <w:tcPr>
            <w:tcW w:type="dxa" w:w="2088"/>
            <w:vAlign w:val="top"/>
          </w:tcPr>
          <w:p>
            <w:pPr>
              <w:spacing w:after="40"/>
            </w:pPr>
            <w:r>
              <w:rPr>
                <w:rFonts w:ascii="Times New Roman" w:hAnsi="Times New Roman"/>
                <w:sz w:val="17"/>
              </w:rPr>
              <w:t>Forget-set difficulty</w:t>
            </w:r>
          </w:p>
        </w:tc>
        <w:tc>
          <w:tcPr>
            <w:tcW w:type="dxa" w:w="3384"/>
            <w:vAlign w:val="top"/>
          </w:tcPr>
          <w:p>
            <w:pPr>
              <w:spacing w:after="40"/>
            </w:pPr>
            <w:r>
              <w:rPr>
                <w:rFonts w:ascii="Times New Roman" w:hAnsi="Times New Roman"/>
                <w:sz w:val="17"/>
              </w:rPr>
              <w:t>Wichert &amp; Sikdar [7], RUM [8]</w:t>
            </w:r>
          </w:p>
        </w:tc>
        <w:tc>
          <w:tcPr>
            <w:tcW w:type="dxa" w:w="4032"/>
            <w:vAlign w:val="top"/>
          </w:tcPr>
          <w:p>
            <w:pPr>
              <w:spacing w:after="40"/>
            </w:pPr>
            <w:r>
              <w:rPr>
                <w:rFonts w:ascii="Times New Roman" w:hAnsi="Times New Roman"/>
                <w:sz w:val="17"/>
              </w:rPr>
              <w:t>Motivates hard/high-memorization deletion condition.</w:t>
            </w:r>
          </w:p>
        </w:tc>
      </w:tr>
      <w:tr>
        <w:trPr>
          <w:cantSplit/>
        </w:trPr>
        <w:tc>
          <w:tcPr>
            <w:tcW w:type="dxa" w:w="2088"/>
            <w:vAlign w:val="top"/>
            <w:shd w:fill="F5F7F9"/>
          </w:tcPr>
          <w:p>
            <w:pPr>
              <w:spacing w:after="40"/>
            </w:pPr>
            <w:r>
              <w:rPr>
                <w:rFonts w:ascii="Times New Roman" w:hAnsi="Times New Roman"/>
                <w:sz w:val="17"/>
              </w:rPr>
              <w:t>LLM controlled benchmarks</w:t>
            </w:r>
          </w:p>
        </w:tc>
        <w:tc>
          <w:tcPr>
            <w:tcW w:type="dxa" w:w="3384"/>
            <w:vAlign w:val="top"/>
            <w:shd w:fill="F5F7F9"/>
          </w:tcPr>
          <w:p>
            <w:pPr>
              <w:spacing w:after="40"/>
            </w:pPr>
            <w:r>
              <w:rPr>
                <w:rFonts w:ascii="Times New Roman" w:hAnsi="Times New Roman"/>
                <w:sz w:val="17"/>
              </w:rPr>
              <w:t>TOFU [9], MUSE [11]</w:t>
            </w:r>
          </w:p>
        </w:tc>
        <w:tc>
          <w:tcPr>
            <w:tcW w:type="dxa" w:w="4032"/>
            <w:vAlign w:val="top"/>
            <w:shd w:fill="F5F7F9"/>
          </w:tcPr>
          <w:p>
            <w:pPr>
              <w:spacing w:after="40"/>
            </w:pPr>
            <w:r>
              <w:rPr>
                <w:rFonts w:ascii="Times New Roman" w:hAnsi="Times New Roman"/>
                <w:sz w:val="17"/>
              </w:rPr>
              <w:t>Shows multi-dimensional evaluation and controlled/synthetic forgetting.</w:t>
            </w:r>
          </w:p>
        </w:tc>
      </w:tr>
      <w:tr>
        <w:trPr>
          <w:cantSplit/>
        </w:trPr>
        <w:tc>
          <w:tcPr>
            <w:tcW w:type="dxa" w:w="2088"/>
            <w:vAlign w:val="top"/>
          </w:tcPr>
          <w:p>
            <w:pPr>
              <w:spacing w:after="40"/>
            </w:pPr>
            <w:r>
              <w:rPr>
                <w:rFonts w:ascii="Times New Roman" w:hAnsi="Times New Roman"/>
                <w:sz w:val="17"/>
              </w:rPr>
              <w:t>Robust behavioral evaluation</w:t>
            </w:r>
          </w:p>
        </w:tc>
        <w:tc>
          <w:tcPr>
            <w:tcW w:type="dxa" w:w="3384"/>
            <w:vAlign w:val="top"/>
          </w:tcPr>
          <w:p>
            <w:pPr>
              <w:spacing w:after="40"/>
            </w:pPr>
            <w:r>
              <w:rPr>
                <w:rFonts w:ascii="Times New Roman" w:hAnsi="Times New Roman"/>
                <w:sz w:val="17"/>
              </w:rPr>
              <w:t>Joshi et al. [10]</w:t>
            </w:r>
          </w:p>
        </w:tc>
        <w:tc>
          <w:tcPr>
            <w:tcW w:type="dxa" w:w="4032"/>
            <w:vAlign w:val="top"/>
          </w:tcPr>
          <w:p>
            <w:pPr>
              <w:spacing w:after="40"/>
            </w:pPr>
            <w:r>
              <w:rPr>
                <w:rFonts w:ascii="Times New Roman" w:hAnsi="Times New Roman"/>
                <w:sz w:val="17"/>
              </w:rPr>
              <w:t>Shows that transformed tests can reveal failures hidden by one query form.</w:t>
            </w:r>
          </w:p>
        </w:tc>
      </w:tr>
      <w:tr>
        <w:trPr>
          <w:cantSplit/>
        </w:trPr>
        <w:tc>
          <w:tcPr>
            <w:tcW w:type="dxa" w:w="2088"/>
            <w:vAlign w:val="top"/>
            <w:shd w:fill="F5F7F9"/>
          </w:tcPr>
          <w:p>
            <w:pPr>
              <w:spacing w:after="40"/>
            </w:pPr>
            <w:r>
              <w:rPr>
                <w:rFonts w:ascii="Times New Roman" w:hAnsi="Times New Roman"/>
                <w:sz w:val="17"/>
              </w:rPr>
              <w:t>Current trustworthy-unlearning context</w:t>
            </w:r>
          </w:p>
        </w:tc>
        <w:tc>
          <w:tcPr>
            <w:tcW w:type="dxa" w:w="3384"/>
            <w:vAlign w:val="top"/>
            <w:shd w:fill="F5F7F9"/>
          </w:tcPr>
          <w:p>
            <w:pPr>
              <w:spacing w:after="40"/>
            </w:pPr>
            <w:r>
              <w:rPr>
                <w:rFonts w:ascii="Times New Roman" w:hAnsi="Times New Roman"/>
                <w:sz w:val="17"/>
              </w:rPr>
              <w:t>Liu et al. [12]</w:t>
            </w:r>
          </w:p>
        </w:tc>
        <w:tc>
          <w:tcPr>
            <w:tcW w:type="dxa" w:w="4032"/>
            <w:vAlign w:val="top"/>
            <w:shd w:fill="F5F7F9"/>
          </w:tcPr>
          <w:p>
            <w:pPr>
              <w:spacing w:after="40"/>
            </w:pPr>
            <w:r>
              <w:rPr>
                <w:rFonts w:ascii="Times New Roman" w:hAnsi="Times New Roman"/>
                <w:sz w:val="17"/>
              </w:rPr>
              <w:t>Recent survey/review framing of LLM-unlearning limitations.</w:t>
            </w:r>
          </w:p>
        </w:tc>
      </w:tr>
      <w:tr>
        <w:trPr>
          <w:cantSplit/>
        </w:trPr>
        <w:tc>
          <w:tcPr>
            <w:tcW w:type="dxa" w:w="2088"/>
            <w:vAlign w:val="top"/>
          </w:tcPr>
          <w:p>
            <w:pPr>
              <w:spacing w:after="40"/>
            </w:pPr>
            <w:r>
              <w:rPr>
                <w:rFonts w:ascii="Times New Roman" w:hAnsi="Times New Roman"/>
                <w:sz w:val="17"/>
              </w:rPr>
              <w:t>Representation + reversibility</w:t>
            </w:r>
          </w:p>
        </w:tc>
        <w:tc>
          <w:tcPr>
            <w:tcW w:type="dxa" w:w="3384"/>
            <w:vAlign w:val="top"/>
          </w:tcPr>
          <w:p>
            <w:pPr>
              <w:spacing w:after="40"/>
            </w:pPr>
            <w:r>
              <w:rPr>
                <w:rFonts w:ascii="Times New Roman" w:hAnsi="Times New Roman"/>
                <w:sz w:val="17"/>
              </w:rPr>
              <w:t>Xu et al. [13]</w:t>
            </w:r>
          </w:p>
        </w:tc>
        <w:tc>
          <w:tcPr>
            <w:tcW w:type="dxa" w:w="4032"/>
            <w:vAlign w:val="top"/>
          </w:tcPr>
          <w:p>
            <w:pPr>
              <w:spacing w:after="40"/>
            </w:pPr>
            <w:r>
              <w:rPr>
                <w:rFonts w:ascii="Times New Roman" w:hAnsi="Times New Roman"/>
                <w:sz w:val="17"/>
              </w:rPr>
              <w:t>Direct motivation for CKA/relearning audit layer.</w:t>
            </w:r>
          </w:p>
        </w:tc>
      </w:tr>
      <w:tr>
        <w:trPr>
          <w:cantSplit/>
        </w:trPr>
        <w:tc>
          <w:tcPr>
            <w:tcW w:type="dxa" w:w="2088"/>
            <w:vAlign w:val="top"/>
            <w:shd w:fill="F5F7F9"/>
          </w:tcPr>
          <w:p>
            <w:pPr>
              <w:spacing w:after="40"/>
            </w:pPr>
            <w:r>
              <w:rPr>
                <w:rFonts w:ascii="Times New Roman" w:hAnsi="Times New Roman"/>
                <w:sz w:val="17"/>
              </w:rPr>
              <w:t>Statistical auditing</w:t>
            </w:r>
          </w:p>
        </w:tc>
        <w:tc>
          <w:tcPr>
            <w:tcW w:type="dxa" w:w="3384"/>
            <w:vAlign w:val="top"/>
            <w:shd w:fill="F5F7F9"/>
          </w:tcPr>
          <w:p>
            <w:pPr>
              <w:spacing w:after="40"/>
            </w:pPr>
            <w:r>
              <w:rPr>
                <w:rFonts w:ascii="Times New Roman" w:hAnsi="Times New Roman"/>
                <w:sz w:val="17"/>
              </w:rPr>
              <w:t>Ribero et al. [14] and Google Research [15]</w:t>
            </w:r>
          </w:p>
        </w:tc>
        <w:tc>
          <w:tcPr>
            <w:tcW w:type="dxa" w:w="4032"/>
            <w:vAlign w:val="top"/>
            <w:shd w:fill="F5F7F9"/>
          </w:tcPr>
          <w:p>
            <w:pPr>
              <w:spacing w:after="40"/>
            </w:pPr>
            <w:r>
              <w:rPr>
                <w:rFonts w:ascii="Times New Roman" w:hAnsi="Times New Roman"/>
                <w:sz w:val="17"/>
              </w:rPr>
              <w:t>Motivates relative three-distribution thinking and retraining stochasticity.</w:t>
            </w:r>
          </w:p>
        </w:tc>
      </w:tr>
      <w:tr>
        <w:trPr>
          <w:cantSplit/>
        </w:trPr>
        <w:tc>
          <w:tcPr>
            <w:tcW w:type="dxa" w:w="2088"/>
            <w:vAlign w:val="top"/>
          </w:tcPr>
          <w:p>
            <w:pPr>
              <w:spacing w:after="40"/>
            </w:pPr>
            <w:r>
              <w:rPr>
                <w:rFonts w:ascii="Times New Roman" w:hAnsi="Times New Roman"/>
                <w:sz w:val="17"/>
              </w:rPr>
              <w:t>General auditing frontier</w:t>
            </w:r>
          </w:p>
        </w:tc>
        <w:tc>
          <w:tcPr>
            <w:tcW w:type="dxa" w:w="3384"/>
            <w:vAlign w:val="top"/>
          </w:tcPr>
          <w:p>
            <w:pPr>
              <w:spacing w:after="40"/>
            </w:pPr>
            <w:r>
              <w:rPr>
                <w:rFonts w:ascii="Times New Roman" w:hAnsi="Times New Roman"/>
                <w:sz w:val="17"/>
              </w:rPr>
              <w:t>Ye et al. [16]</w:t>
            </w:r>
          </w:p>
        </w:tc>
        <w:tc>
          <w:tcPr>
            <w:tcW w:type="dxa" w:w="4032"/>
            <w:vAlign w:val="top"/>
          </w:tcPr>
          <w:p>
            <w:pPr>
              <w:spacing w:after="40"/>
            </w:pPr>
            <w:r>
              <w:rPr>
                <w:rFonts w:ascii="Times New Roman" w:hAnsi="Times New Roman"/>
                <w:sz w:val="17"/>
              </w:rPr>
              <w:t>Makes it essential to position ForgetCheck around audit disagreement, not “first auditor.”</w:t>
            </w:r>
          </w:p>
        </w:tc>
      </w:tr>
      <w:tr>
        <w:trPr>
          <w:cantSplit/>
        </w:trPr>
        <w:tc>
          <w:tcPr>
            <w:tcW w:type="dxa" w:w="2088"/>
            <w:vAlign w:val="top"/>
            <w:shd w:fill="F5F7F9"/>
          </w:tcPr>
          <w:p>
            <w:pPr>
              <w:spacing w:after="40"/>
            </w:pPr>
            <w:r>
              <w:rPr>
                <w:rFonts w:ascii="Times New Roman" w:hAnsi="Times New Roman"/>
                <w:sz w:val="17"/>
              </w:rPr>
              <w:t>Problem formulation</w:t>
            </w:r>
          </w:p>
        </w:tc>
        <w:tc>
          <w:tcPr>
            <w:tcW w:type="dxa" w:w="3384"/>
            <w:vAlign w:val="top"/>
            <w:shd w:fill="F5F7F9"/>
          </w:tcPr>
          <w:p>
            <w:pPr>
              <w:spacing w:after="40"/>
            </w:pPr>
            <w:r>
              <w:rPr>
                <w:rFonts w:ascii="Times New Roman" w:hAnsi="Times New Roman"/>
                <w:sz w:val="17"/>
              </w:rPr>
              <w:t>Triantafillou et al. [19]</w:t>
            </w:r>
          </w:p>
        </w:tc>
        <w:tc>
          <w:tcPr>
            <w:tcW w:type="dxa" w:w="4032"/>
            <w:vAlign w:val="top"/>
            <w:shd w:fill="F5F7F9"/>
          </w:tcPr>
          <w:p>
            <w:pPr>
              <w:spacing w:after="40"/>
            </w:pPr>
            <w:r>
              <w:rPr>
                <w:rFonts w:ascii="Times New Roman" w:hAnsi="Times New Roman"/>
                <w:sz w:val="17"/>
              </w:rPr>
              <w:t>Fixes the Untraining framing, which licenses both the retrained oracle and membership inference as appropriate for this setting.</w:t>
            </w:r>
          </w:p>
        </w:tc>
      </w:tr>
      <w:tr>
        <w:trPr>
          <w:cantSplit/>
        </w:trPr>
        <w:tc>
          <w:tcPr>
            <w:tcW w:type="dxa" w:w="2088"/>
            <w:vAlign w:val="top"/>
          </w:tcPr>
          <w:p>
            <w:pPr>
              <w:spacing w:after="40"/>
            </w:pPr>
            <w:r>
              <w:rPr>
                <w:rFonts w:ascii="Times New Roman" w:hAnsi="Times New Roman"/>
                <w:sz w:val="17"/>
              </w:rPr>
              <w:t>Cross-audit disagreement</w:t>
            </w:r>
          </w:p>
        </w:tc>
        <w:tc>
          <w:tcPr>
            <w:tcW w:type="dxa" w:w="3384"/>
            <w:vAlign w:val="top"/>
          </w:tcPr>
          <w:p>
            <w:pPr>
              <w:spacing w:after="40"/>
            </w:pPr>
            <w:r>
              <w:rPr>
                <w:rFonts w:ascii="Times New Roman" w:hAnsi="Times New Roman"/>
                <w:sz w:val="17"/>
              </w:rPr>
              <w:t>Khan et al. [20]</w:t>
            </w:r>
          </w:p>
        </w:tc>
        <w:tc>
          <w:tcPr>
            <w:tcW w:type="dxa" w:w="4032"/>
            <w:vAlign w:val="top"/>
          </w:tcPr>
          <w:p>
            <w:pPr>
              <w:spacing w:after="40"/>
            </w:pPr>
            <w:r>
              <w:rPr>
                <w:rFonts w:ascii="Times New Roman" w:hAnsi="Times New Roman"/>
                <w:sz w:val="17"/>
              </w:rPr>
              <w:t>The nearest prior work. Defines what is already known and therefore what Section 6 may claim.</w:t>
            </w:r>
          </w:p>
        </w:tc>
      </w:tr>
      <w:tr>
        <w:trPr>
          <w:cantSplit/>
        </w:trPr>
        <w:tc>
          <w:tcPr>
            <w:tcW w:type="dxa" w:w="2088"/>
            <w:vAlign w:val="top"/>
            <w:shd w:fill="F5F7F9"/>
          </w:tcPr>
          <w:p>
            <w:pPr>
              <w:spacing w:after="40"/>
            </w:pPr>
            <w:r>
              <w:rPr>
                <w:rFonts w:ascii="Times New Roman" w:hAnsi="Times New Roman"/>
                <w:sz w:val="17"/>
              </w:rPr>
              <w:t>Attack strength within privacy</w:t>
            </w:r>
          </w:p>
        </w:tc>
        <w:tc>
          <w:tcPr>
            <w:tcW w:type="dxa" w:w="3384"/>
            <w:vAlign w:val="top"/>
            <w:shd w:fill="F5F7F9"/>
          </w:tcPr>
          <w:p>
            <w:pPr>
              <w:spacing w:after="40"/>
            </w:pPr>
            <w:r>
              <w:rPr>
                <w:rFonts w:ascii="Times New Roman" w:hAnsi="Times New Roman"/>
                <w:sz w:val="17"/>
              </w:rPr>
              <w:t>Hayes et al. [21], RMIA [27]</w:t>
            </w:r>
          </w:p>
        </w:tc>
        <w:tc>
          <w:tcPr>
            <w:tcW w:type="dxa" w:w="4032"/>
            <w:vAlign w:val="top"/>
            <w:shd w:fill="F5F7F9"/>
          </w:tcPr>
          <w:p>
            <w:pPr>
              <w:spacing w:after="40"/>
            </w:pPr>
            <w:r>
              <w:rPr>
                <w:rFonts w:ascii="Times New Roman" w:hAnsi="Times New Roman"/>
                <w:sz w:val="17"/>
              </w:rPr>
              <w:t>Motivates two attack strengths and makes the stronger one affordable.</w:t>
            </w:r>
          </w:p>
        </w:tc>
      </w:tr>
      <w:tr>
        <w:trPr>
          <w:cantSplit/>
        </w:trPr>
        <w:tc>
          <w:tcPr>
            <w:tcW w:type="dxa" w:w="2088"/>
            <w:vAlign w:val="top"/>
          </w:tcPr>
          <w:p>
            <w:pPr>
              <w:spacing w:after="40"/>
            </w:pPr>
            <w:r>
              <w:rPr>
                <w:rFonts w:ascii="Times New Roman" w:hAnsi="Times New Roman"/>
                <w:sz w:val="17"/>
              </w:rPr>
              <w:t>Representation-level residuals</w:t>
            </w:r>
          </w:p>
        </w:tc>
        <w:tc>
          <w:tcPr>
            <w:tcW w:type="dxa" w:w="3384"/>
            <w:vAlign w:val="top"/>
          </w:tcPr>
          <w:p>
            <w:pPr>
              <w:spacing w:after="40"/>
            </w:pPr>
            <w:r>
              <w:rPr>
                <w:rFonts w:ascii="Times New Roman" w:hAnsi="Times New Roman"/>
                <w:sz w:val="17"/>
              </w:rPr>
              <w:t>RULER [22], [23]</w:t>
            </w:r>
          </w:p>
        </w:tc>
        <w:tc>
          <w:tcPr>
            <w:tcW w:type="dxa" w:w="4032"/>
            <w:vAlign w:val="top"/>
          </w:tcPr>
          <w:p>
            <w:pPr>
              <w:spacing w:after="40"/>
            </w:pPr>
            <w:r>
              <w:rPr>
                <w:rFonts w:ascii="Times New Roman" w:hAnsi="Times New Roman"/>
                <w:sz w:val="17"/>
              </w:rPr>
              <w:t>Establishes former hypothesis H1, now treated as a replication target.</w:t>
            </w:r>
          </w:p>
        </w:tc>
      </w:tr>
      <w:tr>
        <w:trPr>
          <w:cantSplit/>
        </w:trPr>
        <w:tc>
          <w:tcPr>
            <w:tcW w:type="dxa" w:w="2088"/>
            <w:vAlign w:val="top"/>
            <w:shd w:fill="F5F7F9"/>
          </w:tcPr>
          <w:p>
            <w:pPr>
              <w:spacing w:after="40"/>
            </w:pPr>
            <w:r>
              <w:rPr>
                <w:rFonts w:ascii="Times New Roman" w:hAnsi="Times New Roman"/>
                <w:sz w:val="17"/>
              </w:rPr>
              <w:t>Similarity-metric reliability</w:t>
            </w:r>
          </w:p>
        </w:tc>
        <w:tc>
          <w:tcPr>
            <w:tcW w:type="dxa" w:w="3384"/>
            <w:vAlign w:val="top"/>
            <w:shd w:fill="F5F7F9"/>
          </w:tcPr>
          <w:p>
            <w:pPr>
              <w:spacing w:after="40"/>
            </w:pPr>
            <w:r>
              <w:rPr>
                <w:rFonts w:ascii="Times New Roman" w:hAnsi="Times New Roman"/>
                <w:sz w:val="17"/>
              </w:rPr>
              <w:t>Davari et al. [26]</w:t>
            </w:r>
          </w:p>
        </w:tc>
        <w:tc>
          <w:tcPr>
            <w:tcW w:type="dxa" w:w="4032"/>
            <w:vAlign w:val="top"/>
            <w:shd w:fill="F5F7F9"/>
          </w:tcPr>
          <w:p>
            <w:pPr>
              <w:spacing w:after="40"/>
            </w:pPr>
            <w:r>
              <w:rPr>
                <w:rFonts w:ascii="Times New Roman" w:hAnsi="Times New Roman"/>
                <w:sz w:val="17"/>
              </w:rPr>
              <w:t xml:space="preserve">Motivated a second representation measure. As built, RBF-CKA rather than a non-CKA measure (Section 14.5).</w:t>
            </w:r>
          </w:p>
        </w:tc>
      </w:tr>
      <w:tr>
        <w:trPr>
          <w:cantSplit/>
        </w:trPr>
        <w:tc>
          <w:tcPr>
            <w:tcW w:type="dxa" w:w="2088"/>
            <w:vAlign w:val="top"/>
          </w:tcPr>
          <w:p>
            <w:pPr>
              <w:spacing w:after="40"/>
            </w:pPr>
            <w:r>
              <w:rPr>
                <w:rFonts w:ascii="Times New Roman" w:hAnsi="Times New Roman"/>
                <w:sz w:val="17"/>
              </w:rPr>
              <w:t>Oracle as a distribution</w:t>
            </w:r>
          </w:p>
        </w:tc>
        <w:tc>
          <w:tcPr>
            <w:tcW w:type="dxa" w:w="3384"/>
            <w:vAlign w:val="top"/>
          </w:tcPr>
          <w:p>
            <w:pPr>
              <w:spacing w:after="40"/>
            </w:pPr>
            <w:r>
              <w:rPr>
                <w:rFonts w:ascii="Times New Roman" w:hAnsi="Times New Roman"/>
                <w:sz w:val="17"/>
              </w:rPr>
              <w:t>EasyDUB [25], [28], [32]</w:t>
            </w:r>
          </w:p>
        </w:tc>
        <w:tc>
          <w:tcPr>
            <w:tcW w:type="dxa" w:w="4032"/>
            <w:vAlign w:val="top"/>
          </w:tcPr>
          <w:p>
            <w:pPr>
              <w:spacing w:after="40"/>
            </w:pPr>
            <w:r>
              <w:rPr>
                <w:rFonts w:ascii="Times New Roman" w:hAnsi="Times New Roman"/>
                <w:sz w:val="17"/>
              </w:rPr>
              <w:t xml:space="preserve">Motivates the oracle ensemble, retrain-referenced bands and the validity calibration of 15.5.</w:t>
            </w:r>
          </w:p>
        </w:tc>
      </w:tr>
      <w:tr>
        <w:trPr>
          <w:cantSplit/>
        </w:trPr>
        <w:tc>
          <w:tcPr>
            <w:tcW w:type="dxa" w:w="2088"/>
            <w:vAlign w:val="top"/>
            <w:shd w:fill="F5F7F9"/>
          </w:tcPr>
          <w:p>
            <w:pPr>
              <w:spacing w:after="40"/>
            </w:pPr>
            <w:r>
              <w:rPr>
                <w:rFonts w:ascii="Times New Roman" w:hAnsi="Times New Roman"/>
                <w:sz w:val="17"/>
              </w:rPr>
              <w:t xml:space="preserve">Retrain-free audit</w:t>
            </w:r>
          </w:p>
        </w:tc>
        <w:tc>
          <w:tcPr>
            <w:tcW w:type="dxa" w:w="3384"/>
            <w:vAlign w:val="top"/>
            <w:shd w:fill="F5F7F9"/>
          </w:tcPr>
          <w:p>
            <w:pPr>
              <w:spacing w:after="40"/>
            </w:pPr>
            <w:r>
              <w:rPr>
                <w:rFonts w:ascii="Times New Roman" w:hAnsi="Times New Roman"/>
                <w:sz w:val="17"/>
              </w:rPr>
              <w:t xml:space="preserve">SDE [35]</w:t>
            </w:r>
          </w:p>
        </w:tc>
        <w:tc>
          <w:tcPr>
            <w:tcW w:type="dxa" w:w="4032"/>
            <w:vAlign w:val="top"/>
            <w:shd w:fill="F5F7F9"/>
          </w:tcPr>
          <w:p>
            <w:pPr>
              <w:spacing w:after="40"/>
            </w:pPr>
            <w:r>
              <w:rPr>
                <w:rFonts w:ascii="Times New Roman" w:hAnsi="Times New Roman"/>
                <w:sz w:val="17"/>
              </w:rPr>
              <w:t xml:space="preserve">A retrain-free independence audit, run as a secondary audit whose validity this project tests.</w:t>
            </w:r>
          </w:p>
        </w:tc>
      </w:tr>
      <w:tr>
        <w:trPr>
          <w:cantSplit/>
        </w:trPr>
        <w:tc>
          <w:tcPr>
            <w:tcW w:type="dxa" w:w="2088"/>
            <w:vAlign w:val="top"/>
          </w:tcPr>
          <w:p>
            <w:pPr>
              <w:spacing w:after="40"/>
            </w:pPr>
            <w:r>
              <w:rPr>
                <w:rFonts w:ascii="Times New Roman" w:hAnsi="Times New Roman"/>
                <w:sz w:val="17"/>
              </w:rPr>
              <w:t xml:space="preserve">Representation similarity</w:t>
            </w:r>
          </w:p>
        </w:tc>
        <w:tc>
          <w:tcPr>
            <w:tcW w:type="dxa" w:w="3384"/>
            <w:vAlign w:val="top"/>
          </w:tcPr>
          <w:p>
            <w:pPr>
              <w:spacing w:after="40"/>
            </w:pPr>
            <w:r>
              <w:rPr>
                <w:rFonts w:ascii="Times New Roman" w:hAnsi="Times New Roman"/>
                <w:sz w:val="17"/>
              </w:rPr>
              <w:t xml:space="preserve">Kornblith et al. [36]</w:t>
            </w:r>
          </w:p>
        </w:tc>
        <w:tc>
          <w:tcPr>
            <w:tcW w:type="dxa" w:w="4032"/>
            <w:vAlign w:val="top"/>
          </w:tcPr>
          <w:p>
            <w:pPr>
              <w:spacing w:after="40"/>
            </w:pPr>
            <w:r>
              <w:rPr>
                <w:rFonts w:ascii="Times New Roman" w:hAnsi="Times New Roman"/>
                <w:sz w:val="17"/>
              </w:rPr>
              <w:t xml:space="preserve">Defines linear and RBF CKA, the representation audit's measures.</w:t>
            </w:r>
          </w:p>
        </w:tc>
      </w:tr>
      <w:tr>
        <w:trPr>
          <w:cantSplit/>
        </w:trPr>
        <w:tc>
          <w:tcPr>
            <w:tcW w:type="dxa" w:w="2088"/>
            <w:vAlign w:val="top"/>
            <w:shd w:fill="F5F7F9"/>
          </w:tcPr>
          <w:p>
            <w:pPr>
              <w:spacing w:after="40"/>
            </w:pPr>
            <w:r>
              <w:rPr>
                <w:rFonts w:ascii="Times New Roman" w:hAnsi="Times New Roman"/>
                <w:sz w:val="17"/>
              </w:rPr>
              <w:t xml:space="preserve">Memorization</w:t>
            </w:r>
          </w:p>
        </w:tc>
        <w:tc>
          <w:tcPr>
            <w:tcW w:type="dxa" w:w="3384"/>
            <w:vAlign w:val="top"/>
            <w:shd w:fill="F5F7F9"/>
          </w:tcPr>
          <w:p>
            <w:pPr>
              <w:spacing w:after="40"/>
            </w:pPr>
            <w:r>
              <w:rPr>
                <w:rFonts w:ascii="Times New Roman" w:hAnsi="Times New Roman"/>
                <w:sz w:val="17"/>
              </w:rPr>
              <w:t xml:space="preserve">Feldman &amp; Zhang [37]</w:t>
            </w:r>
          </w:p>
        </w:tc>
        <w:tc>
          <w:tcPr>
            <w:tcW w:type="dxa" w:w="4032"/>
            <w:vAlign w:val="top"/>
            <w:shd w:fill="F5F7F9"/>
          </w:tcPr>
          <w:p>
            <w:pPr>
              <w:spacing w:after="40"/>
            </w:pPr>
            <w:r>
              <w:rPr>
                <w:rFonts w:ascii="Times New Roman" w:hAnsi="Times New Roman"/>
                <w:sz w:val="17"/>
              </w:rPr>
              <w:t xml:space="preserve">Defines the memorization score behind the difficulty axis; RUM [8] releases the CIFAR-10 scores.</w:t>
            </w:r>
          </w:p>
        </w:tc>
      </w:tr>
    </w:tbl>
    <w:p>
      <w:pPr>
        <w:spacing w:after="20"/>
      </w:pPr>
    </w:p>
    <w:p>
      <w:pPr>
        <w:pStyle w:val="Heading1"/>
        <w:keepNext/>
      </w:pPr>
      <w:r>
        <w:t>24. IEEE-Style Working References</w:t>
      </w:r>
    </w:p>
    <w:p>
      <w:pPr>
        <w:spacing w:after="120"/>
      </w:pPr>
      <w:r>
        <w:rPr>
          <w:i w:val="0"/>
        </w:rPr>
        <w:t>The bibliography below is the working reference set for the synopsis and project foundation. Before final paper submission, metadata, volume/page numbers and DOI fields should be rechecked against the final publisher records. References marked as web/research notes are supporting resources rather than substitutes for peer-reviewed papers.</w:t>
      </w:r>
    </w:p>
    <w:p>
      <w:pPr>
        <w:spacing w:after="100"/>
        <w:ind w:left="259" w:hanging="259"/>
      </w:pPr>
      <w:r>
        <w:t xml:space="preserve">[1] C. Guo, T. Goldstein, A. Hannun, and L. van der Maaten, “Certified Data Removal from Machine Learning Models,” in Proc. 37th Int. Conf. Machine Learning (ICML), PMLR, vol. 119, pp. 3832–3842, 2020. </w:t>
      </w:r>
      <w:hyperlink r:id="rId13">
        <w:r>
          <w:rPr>
            <w:color w:val="2F5597"/>
            <w:u w:val="single"/>
            <w:rFonts w:ascii="Times New Roman" w:hAnsi="Times New Roman"/>
            <w:sz w:val="22"/>
          </w:rPr>
          <w:t>Source</w:t>
        </w:r>
      </w:hyperlink>
    </w:p>
    <w:p>
      <w:pPr>
        <w:spacing w:after="100"/>
        <w:ind w:left="259" w:hanging="259"/>
      </w:pPr>
      <w:r>
        <w:t xml:space="preserve">[2] L. Bourtoule, V. Chandrasekaran, C. A. Choquette-Choo, H. Jia, A. Travers, B. Zhang, D. Lie, and N. Papernot, “Machine Unlearning,” in 2021 IEEE Symposium on Security and Privacy (SP), pp. 141–159, 2021, doi: 10.1109/SP40001.2021.00019. </w:t>
      </w:r>
      <w:hyperlink r:id="rId14">
        <w:r>
          <w:rPr>
            <w:color w:val="2F5597"/>
            <w:u w:val="single"/>
            <w:rFonts w:ascii="Times New Roman" w:hAnsi="Times New Roman"/>
            <w:sz w:val="22"/>
          </w:rPr>
          <w:t>Source</w:t>
        </w:r>
      </w:hyperlink>
    </w:p>
    <w:p>
      <w:pPr>
        <w:spacing w:after="100"/>
        <w:ind w:left="259" w:hanging="259"/>
      </w:pPr>
      <w:r>
        <w:t xml:space="preserve">[3] V. S. Chundawat, A. K. Tarun, M. Mandal, and M. Kankanhalli, “Can Bad Teaching Induce Forgetting? Unlearning in Deep Networks Using an Incompetent Teacher,” in Proc. AAAI Conf. Artificial Intelligence, vol. 37, no. 6, pp. 7210–7217, 2023. </w:t>
      </w:r>
      <w:hyperlink r:id="rId15">
        <w:r>
          <w:rPr>
            <w:color w:val="2F5597"/>
            <w:u w:val="single"/>
            <w:rFonts w:ascii="Times New Roman" w:hAnsi="Times New Roman"/>
            <w:sz w:val="22"/>
          </w:rPr>
          <w:t>Source</w:t>
        </w:r>
      </w:hyperlink>
    </w:p>
    <w:p>
      <w:pPr>
        <w:spacing w:after="100"/>
        <w:ind w:left="259" w:hanging="259"/>
      </w:pPr>
      <w:r>
        <w:t xml:space="preserve">[4] M. Kurmanji, P. Triantafillou, J. Hayes, and E. Triantafillou, “Towards Unbounded Machine Unlearning,” in Advances in Neural Information Processing Systems, vol. 36, pp. 1957–1987, 2023. </w:t>
      </w:r>
      <w:hyperlink r:id="rId16">
        <w:r>
          <w:rPr>
            <w:color w:val="2F5597"/>
            <w:u w:val="single"/>
            <w:rFonts w:ascii="Times New Roman" w:hAnsi="Times New Roman"/>
            <w:sz w:val="22"/>
          </w:rPr>
          <w:t>Source</w:t>
        </w:r>
      </w:hyperlink>
    </w:p>
    <w:p>
      <w:pPr>
        <w:spacing w:after="100"/>
        <w:ind w:left="259" w:hanging="259"/>
      </w:pPr>
      <w:r>
        <w:t xml:space="preserve">[5] J. Jia, J. Liu, P. Ram, Y. Yao, G. Liu, Y. Liu, P. Sharma, and S. Liu, “Model Sparsity Can Simplify Machine Unlearning,” in Advances in Neural Information Processing Systems, vol. 36, 2023. </w:t>
      </w:r>
      <w:hyperlink r:id="rId17">
        <w:r>
          <w:rPr>
            <w:color w:val="2F5597"/>
            <w:u w:val="single"/>
            <w:rFonts w:ascii="Times New Roman" w:hAnsi="Times New Roman"/>
            <w:sz w:val="22"/>
          </w:rPr>
          <w:t>Source</w:t>
        </w:r>
      </w:hyperlink>
    </w:p>
    <w:p>
      <w:pPr>
        <w:spacing w:after="100"/>
        <w:ind w:left="259" w:hanging="259"/>
      </w:pPr>
      <w:r>
        <w:t xml:space="preserve">[6] J. Foster, S. Schoepf, and A. Brintrup, “Fast Machine Unlearning without Retraining through Selective Synaptic Dampening,” in Proc. AAAI Conf. Artificial Intelligence, vol. 38, no. 11, pp. 12043–12051, 2024. </w:t>
      </w:r>
      <w:hyperlink r:id="rId18">
        <w:r>
          <w:rPr>
            <w:color w:val="2F5597"/>
            <w:u w:val="single"/>
            <w:rFonts w:ascii="Times New Roman" w:hAnsi="Times New Roman"/>
            <w:sz w:val="22"/>
          </w:rPr>
          <w:t>Source</w:t>
        </w:r>
      </w:hyperlink>
    </w:p>
    <w:p>
      <w:pPr>
        <w:spacing w:after="100"/>
        <w:ind w:left="259" w:hanging="259"/>
      </w:pPr>
      <w:r>
        <w:t xml:space="preserve">[7] L. Wichert and S. Sikdar, “Rethinking Evaluation Methods for Machine Unlearning,” in Findings of the Association for Computational Linguistics: EMNLP 2024, pp. 4727–4739, 2024, doi: 10.18653/v1/2024.findings-emnlp.271. </w:t>
      </w:r>
      <w:hyperlink r:id="rId19">
        <w:r>
          <w:rPr>
            <w:color w:val="2F5597"/>
            <w:u w:val="single"/>
            <w:rFonts w:ascii="Times New Roman" w:hAnsi="Times New Roman"/>
            <w:sz w:val="22"/>
          </w:rPr>
          <w:t>Source</w:t>
        </w:r>
      </w:hyperlink>
    </w:p>
    <w:p>
      <w:pPr>
        <w:spacing w:after="100"/>
        <w:ind w:left="259" w:hanging="259"/>
      </w:pPr>
      <w:r>
        <w:t xml:space="preserve">[8] K. Zhao, M. Kurmanji, G.-O. Barbulescu, E. Triantafillou, and P. Triantafillou, “What Makes Unlearning Hard and What to Do About It,” in Advances in Neural Information Processing Systems, vol. 37, 2024. </w:t>
      </w:r>
      <w:hyperlink r:id="rId20">
        <w:r>
          <w:rPr>
            <w:color w:val="2F5597"/>
            <w:u w:val="single"/>
            <w:rFonts w:ascii="Times New Roman" w:hAnsi="Times New Roman"/>
            <w:sz w:val="22"/>
          </w:rPr>
          <w:t>Source</w:t>
        </w:r>
      </w:hyperlink>
    </w:p>
    <w:p>
      <w:pPr>
        <w:spacing w:after="100"/>
        <w:ind w:left="259" w:hanging="259"/>
      </w:pPr>
      <w:r>
        <w:t xml:space="preserve">[9] P. Maini, Z. Feng, A. Schwarzschild, Z. C. Lipton, and J. Z. Kolter, “TOFU: A Task of Fictitious Unlearning for LLMs,” in Conference on Language Modeling (COLM), 2024. </w:t>
      </w:r>
      <w:hyperlink r:id="rId21">
        <w:r>
          <w:rPr>
            <w:color w:val="2F5597"/>
            <w:u w:val="single"/>
            <w:rFonts w:ascii="Times New Roman" w:hAnsi="Times New Roman"/>
            <w:sz w:val="22"/>
          </w:rPr>
          <w:t>Source</w:t>
        </w:r>
      </w:hyperlink>
    </w:p>
    <w:p>
      <w:pPr>
        <w:spacing w:after="100"/>
        <w:ind w:left="259" w:hanging="259"/>
      </w:pPr>
      <w:r>
        <w:t xml:space="preserve">[10] A. Joshi, S. Saha, D. Shukla, S. Vema, H. Jhamtani, M. Gaur, and A. Modi, “Towards Robust Evaluation of Unlearning in LLMs via Data Transformations,” in Findings of the Association for Computational Linguistics: EMNLP 2024, pp. 12100–12119, 2024. </w:t>
      </w:r>
      <w:hyperlink r:id="rId22">
        <w:r>
          <w:rPr>
            <w:color w:val="2F5597"/>
            <w:u w:val="single"/>
            <w:rFonts w:ascii="Times New Roman" w:hAnsi="Times New Roman"/>
            <w:sz w:val="22"/>
          </w:rPr>
          <w:t>Source</w:t>
        </w:r>
      </w:hyperlink>
    </w:p>
    <w:p>
      <w:pPr>
        <w:spacing w:after="100"/>
        <w:ind w:left="259" w:hanging="259"/>
      </w:pPr>
      <w:r>
        <w:t xml:space="preserve">[11] W. Shi et al., “MUSE: Machine Unlearning Six-Way Evaluation for Language Models,” in International Conference on Learning Representations (ICLR), 2025. </w:t>
      </w:r>
      <w:hyperlink r:id="rId23">
        <w:r>
          <w:rPr>
            <w:color w:val="2F5597"/>
            <w:u w:val="single"/>
            <w:rFonts w:ascii="Times New Roman" w:hAnsi="Times New Roman"/>
            <w:sz w:val="22"/>
          </w:rPr>
          <w:t>Source</w:t>
        </w:r>
      </w:hyperlink>
    </w:p>
    <w:p>
      <w:pPr>
        <w:spacing w:after="100"/>
        <w:ind w:left="259" w:hanging="259"/>
      </w:pPr>
      <w:r>
        <w:t xml:space="preserve">[12] S. Liu et al., “Rethinking Machine Unlearning for Large Language Models,” Nature Machine Intelligence, vol. 7, pp. 181–194, 2025, doi: 10.1038/s42256-025-00985-0. </w:t>
      </w:r>
      <w:hyperlink r:id="rId24">
        <w:r>
          <w:rPr>
            <w:color w:val="2F5597"/>
            <w:u w:val="single"/>
            <w:rFonts w:ascii="Times New Roman" w:hAnsi="Times New Roman"/>
            <w:sz w:val="22"/>
          </w:rPr>
          <w:t>Source</w:t>
        </w:r>
      </w:hyperlink>
    </w:p>
    <w:p>
      <w:pPr>
        <w:spacing w:after="100"/>
        <w:ind w:left="259" w:hanging="259"/>
      </w:pPr>
      <w:r>
        <w:t xml:space="preserve">[13] X. Xu, X. Yue, Y. Liu, Q. Ye, H. Zheng, P. Hu, M. Du, and H. Hu, “Unlearning Isn’t Deletion: Investigating Reversibility of Machine Unlearning in LLMs,” in Proc. 43rd Int. Conf. Machine Learning (ICML), PMLR, vol. 306, 2026. </w:t>
      </w:r>
      <w:hyperlink r:id="rId25">
        <w:r>
          <w:rPr>
            <w:color w:val="2F5597"/>
            <w:u w:val="single"/>
            <w:rFonts w:ascii="Times New Roman" w:hAnsi="Times New Roman"/>
            <w:sz w:val="22"/>
          </w:rPr>
          <w:t>Source</w:t>
        </w:r>
      </w:hyperlink>
    </w:p>
    <w:p>
      <w:pPr>
        <w:spacing w:after="100"/>
        <w:ind w:left="259" w:hanging="259"/>
      </w:pPr>
      <w:r>
        <w:t xml:space="preserve">[14] M. Ribero, A. Schrab, and A. Gretton, “Regularized f-Divergence Kernel Tests,” in Proc. 29th Int. Conf. Artificial Intelligence and Statistics (AISTATS), PMLR, vol. 300, 2026. </w:t>
      </w:r>
      <w:hyperlink r:id="rId26">
        <w:r>
          <w:rPr>
            <w:color w:val="2F5597"/>
            <w:u w:val="single"/>
            <w:rFonts w:ascii="Times New Roman" w:hAnsi="Times New Roman"/>
            <w:sz w:val="22"/>
          </w:rPr>
          <w:t>Source</w:t>
        </w:r>
      </w:hyperlink>
    </w:p>
    <w:p>
      <w:pPr>
        <w:spacing w:after="100"/>
        <w:ind w:left="259" w:hanging="259"/>
      </w:pPr>
      <w:r>
        <w:t xml:space="preserve">[15] M. Ribero, “New Framework for Auditing Machine Unlearning,” Google Research Blog, Jun. 10, 2026. [Online]. </w:t>
      </w:r>
      <w:hyperlink r:id="rId27">
        <w:r>
          <w:rPr>
            <w:color w:val="2F5597"/>
            <w:u w:val="single"/>
            <w:rFonts w:ascii="Times New Roman" w:hAnsi="Times New Roman"/>
            <w:sz w:val="22"/>
          </w:rPr>
          <w:t>Source</w:t>
        </w:r>
      </w:hyperlink>
    </w:p>
    <w:p>
      <w:pPr>
        <w:spacing w:after="100"/>
        <w:ind w:left="259" w:hanging="259"/>
      </w:pPr>
      <w:r>
        <w:t xml:space="preserve">[16] D. Ye, T. Zhu, R. Huang, X. Fu, J. Li, B. Liu, H. Huo, and W. Zhou, “Auditing Machine Unlearning: A Systematic Research on Whether Models Truly Forget,” arXiv:2606.16110, 2026. Preprint. </w:t>
      </w:r>
      <w:hyperlink r:id="rId28">
        <w:r>
          <w:rPr>
            <w:color w:val="2F5597"/>
            <w:u w:val="single"/>
            <w:rFonts w:ascii="Times New Roman" w:hAnsi="Times New Roman"/>
            <w:sz w:val="22"/>
          </w:rPr>
          <w:t>Source</w:t>
        </w:r>
      </w:hyperlink>
    </w:p>
    <w:p>
      <w:pPr>
        <w:spacing w:after="100"/>
        <w:ind w:left="259" w:hanging="259"/>
      </w:pPr>
      <w:r>
        <w:t xml:space="preserve">[17] E. Triantafillou et al., “NeurIPS 2023 Machine Unlearning Competition,” NeurIPS Competition Track, 2023. </w:t>
      </w:r>
      <w:hyperlink r:id="rId29">
        <w:r>
          <w:rPr>
            <w:color w:val="2F5597"/>
            <w:u w:val="single"/>
            <w:rFonts w:ascii="Times New Roman" w:hAnsi="Times New Roman"/>
            <w:sz w:val="22"/>
          </w:rPr>
          <w:t>Source</w:t>
        </w:r>
      </w:hyperlink>
    </w:p>
    <w:p>
      <w:pPr>
        <w:spacing w:after="100"/>
        <w:ind w:left="259" w:hanging="259"/>
      </w:pPr>
      <w:r>
        <w:t xml:space="preserve">[18] T. T. Nguyen et al., “A Survey of Machine Unlearning,” ACM Transactions on Intelligent Systems and Technology, vol. 16, no. 5, Art. no. 108, 2025. </w:t>
      </w:r>
      <w:hyperlink r:id="rId30">
        <w:r>
          <w:rPr>
            <w:color w:val="2F5597"/>
            <w:u w:val="single"/>
            <w:rFonts w:ascii="Times New Roman" w:hAnsi="Times New Roman"/>
            <w:sz w:val="22"/>
          </w:rPr>
          <w:t>Source</w:t>
        </w:r>
      </w:hyperlink>
    </w:p>
    <w:p>
      <w:pPr>
        <w:spacing w:after="100"/>
        <w:ind w:left="259" w:hanging="259"/>
      </w:pPr>
      <w:r>
        <w:t>[19] E. Triantafillou, A. I. Humayun, M. Ribero, A. M. Turner, M. C. Mozer, and G. Kaissis, “Is your algorithm unlearning or untraining?,” arXiv:2604.07962, 2026. Preprint.</w:t>
      </w:r>
      <w:hyperlink r:id="rId30">
        <w:r>
          <w:rPr>
            <w:color w:val="2F5597"/>
            <w:u w:val="single"/>
            <w:rFonts w:ascii="Times New Roman" w:hAnsi="Times New Roman"/>
            <w:sz w:val="22"/>
          </w:rPr>
          <w:t>Source</w:t>
        </w:r>
      </w:hyperlink>
    </w:p>
    <w:p>
      <w:pPr>
        <w:spacing w:after="100"/>
        <w:ind w:left="259" w:hanging="259"/>
      </w:pPr>
      <w:r>
        <w:t>[20] A. A. Khan, H. Laga, and F. Sohel, “Metric Unreliability in Multimodal Machine Unlearning: A Systematic Analysis and Principled Unified Score,” arXiv:2605.02206, 2026. Preprint.</w:t>
      </w:r>
      <w:hyperlink r:id="rId30">
        <w:r>
          <w:rPr>
            <w:color w:val="2F5597"/>
            <w:u w:val="single"/>
            <w:rFonts w:ascii="Times New Roman" w:hAnsi="Times New Roman"/>
            <w:sz w:val="22"/>
          </w:rPr>
          <w:t>Source</w:t>
        </w:r>
      </w:hyperlink>
    </w:p>
    <w:p>
      <w:pPr>
        <w:spacing w:after="100"/>
        <w:ind w:left="259" w:hanging="259"/>
      </w:pPr>
      <w:r>
        <w:t>[21] J. Hayes, I. Shumailov, E. Triantafillou, A. Khalifa, and N. Papernot, “Inexact Unlearning Needs More Careful Evaluations to Avoid a False Sense of Privacy,” arXiv:2403.01218, 2024.</w:t>
      </w:r>
      <w:hyperlink r:id="rId30">
        <w:r>
          <w:rPr>
            <w:color w:val="2F5597"/>
            <w:u w:val="single"/>
            <w:rFonts w:ascii="Times New Roman" w:hAnsi="Times New Roman"/>
            <w:sz w:val="22"/>
          </w:rPr>
          <w:t>Source</w:t>
        </w:r>
      </w:hyperlink>
    </w:p>
    <w:p>
      <w:pPr>
        <w:spacing w:after="100"/>
        <w:ind w:left="259" w:hanging="259"/>
      </w:pPr>
      <w:r>
        <w:t>[22] G. Cosma and A. Finke, “RULER: Representation-Level Verification of Machine Unlearning,” in 2nd Workshop on Machine Unlearning and Privacy Preservation (WIPE-OUT), ECML PKDD, 2026. To appear in Springer CCIS.</w:t>
      </w:r>
      <w:hyperlink r:id="rId30">
        <w:r>
          <w:rPr>
            <w:color w:val="2F5597"/>
            <w:u w:val="single"/>
            <w:rFonts w:ascii="Times New Roman" w:hAnsi="Times New Roman"/>
            <w:sz w:val="22"/>
          </w:rPr>
          <w:t>Source</w:t>
        </w:r>
      </w:hyperlink>
    </w:p>
    <w:p>
      <w:pPr>
        <w:spacing w:after="100"/>
        <w:ind w:left="259" w:hanging="259"/>
      </w:pPr>
      <w:r>
        <w:t>[23] “Are We Truly Forgetting? A Critical Re-examination of Machine Unlearning Evaluation Protocols,” arXiv:2503.06991, 2025.</w:t>
      </w:r>
      <w:hyperlink r:id="rId30">
        <w:r>
          <w:rPr>
            <w:color w:val="2F5597"/>
            <w:u w:val="single"/>
            <w:rFonts w:ascii="Times New Roman" w:hAnsi="Times New Roman"/>
            <w:sz w:val="22"/>
          </w:rPr>
          <w:t>Source</w:t>
        </w:r>
      </w:hyperlink>
    </w:p>
    <w:p>
      <w:pPr>
        <w:spacing w:after="100"/>
        <w:ind w:left="259" w:hanging="259"/>
      </w:pPr>
      <w:r>
        <w:t>[24] “A Comparative Study of Machine Unlearning Techniques for Image and Text Classification Models,” arXiv:2412.19583, 2024.</w:t>
      </w:r>
      <w:hyperlink r:id="rId30">
        <w:r>
          <w:rPr>
            <w:color w:val="2F5597"/>
            <w:u w:val="single"/>
            <w:rFonts w:ascii="Times New Roman" w:hAnsi="Times New Roman"/>
            <w:sz w:val="22"/>
          </w:rPr>
          <w:t>Source</w:t>
        </w:r>
      </w:hyperlink>
    </w:p>
    <w:p>
      <w:pPr>
        <w:spacing w:after="100"/>
        <w:ind w:left="259" w:hanging="259"/>
      </w:pPr>
      <w:r>
        <w:t>[25] “Easy Data Unlearning Bench,” arXiv:2602.16400, 2026. Preprint.</w:t>
      </w:r>
      <w:hyperlink r:id="rId30">
        <w:r>
          <w:rPr>
            <w:color w:val="2F5597"/>
            <w:u w:val="single"/>
            <w:rFonts w:ascii="Times New Roman" w:hAnsi="Times New Roman"/>
            <w:sz w:val="22"/>
          </w:rPr>
          <w:t>Source</w:t>
        </w:r>
      </w:hyperlink>
    </w:p>
    <w:p>
      <w:pPr>
        <w:spacing w:after="100"/>
        <w:ind w:left="259" w:hanging="259"/>
      </w:pPr>
      <w:r>
        <w:t>[26] M. R. Davari, S. Horoi, A. Natik, G. Lajoie, G. Wolf, and E. Belilovsky, “Reliability of CKA as a Similarity Measure in Deep Learning,” in International Conference on Learning Representations (ICLR), 2023.</w:t>
      </w:r>
      <w:hyperlink r:id="rId30">
        <w:r>
          <w:rPr>
            <w:color w:val="2F5597"/>
            <w:u w:val="single"/>
            <w:rFonts w:ascii="Times New Roman" w:hAnsi="Times New Roman"/>
            <w:sz w:val="22"/>
          </w:rPr>
          <w:t>Source</w:t>
        </w:r>
      </w:hyperlink>
    </w:p>
    <w:p>
      <w:pPr>
        <w:spacing w:after="100"/>
        <w:ind w:left="259" w:hanging="259"/>
      </w:pPr>
      <w:r>
        <w:t>[27] S. Zarifzadeh, P. Liu, and R. Shokri, “Low-Cost High-Power Membership Inference Attacks,” in Proc. 41st Int. Conf. Machine Learning (ICML), PMLR, vol. 235, pp. 58244–58282, 2024.</w:t>
      </w:r>
      <w:hyperlink r:id="rId30">
        <w:r>
          <w:rPr>
            <w:color w:val="2F5597"/>
            <w:u w:val="single"/>
            <w:rFonts w:ascii="Times New Roman" w:hAnsi="Times New Roman"/>
            <w:sz w:val="22"/>
          </w:rPr>
          <w:t>Source</w:t>
        </w:r>
      </w:hyperlink>
    </w:p>
    <w:p>
      <w:pPr>
        <w:spacing w:after="100"/>
        <w:ind w:left="259" w:hanging="259"/>
      </w:pPr>
      <w:r>
        <w:t>[28] “Unlearning as Distribution Restoration: A Controlled Counterfactual Study, a Validated Selective Screen, and the Limits of Oracle-Free Certification,” arXiv:2607.19442, 2026. Preprint.</w:t>
      </w:r>
      <w:hyperlink r:id="rId30">
        <w:r>
          <w:rPr>
            <w:color w:val="2F5597"/>
            <w:u w:val="single"/>
            <w:rFonts w:ascii="Times New Roman" w:hAnsi="Times New Roman"/>
            <w:sz w:val="22"/>
          </w:rPr>
          <w:t>Source</w:t>
        </w:r>
      </w:hyperlink>
    </w:p>
    <w:p>
      <w:pPr>
        <w:spacing w:after="100"/>
        <w:ind w:left="259" w:hanging="259"/>
      </w:pPr>
      <w:r>
        <w:t>[29] “Benchmarking Unlearning for Vision Transformers,” arXiv:2602.20114, 2026. Preprint.</w:t>
      </w:r>
      <w:hyperlink r:id="rId30">
        <w:r>
          <w:rPr>
            <w:color w:val="2F5597"/>
            <w:u w:val="single"/>
            <w:rFonts w:ascii="Times New Roman" w:hAnsi="Times New Roman"/>
            <w:sz w:val="22"/>
          </w:rPr>
          <w:t>Source</w:t>
        </w:r>
      </w:hyperlink>
    </w:p>
    <w:p>
      <w:pPr>
        <w:spacing w:after="100"/>
        <w:ind w:left="259" w:hanging="259"/>
      </w:pPr>
      <w:r>
        <w:t>[30] E. Triantafillou et al., “Are we making progress in unlearning? Findings from the first NeurIPS unlearning competition,” arXiv:2406.09073, 2024.</w:t>
      </w:r>
      <w:hyperlink r:id="rId30">
        <w:r>
          <w:rPr>
            <w:color w:val="2F5597"/>
            <w:u w:val="single"/>
            <w:rFonts w:ascii="Times New Roman" w:hAnsi="Times New Roman"/>
            <w:sz w:val="22"/>
          </w:rPr>
          <w:t>Source</w:t>
        </w:r>
      </w:hyperlink>
    </w:p>
    <w:p>
      <w:pPr>
        <w:spacing w:after="100"/>
        <w:ind w:left="259" w:hanging="259"/>
      </w:pPr>
      <w:r>
        <w:t>[31] K. Zhao, M. Kurmanji, G.-O. Barbulescu, E. Triantafillou, and P. Triantafillou, “Scalability of memorization-based machine unlearning,” in NeurIPS 2024 FITML Workshop, 2024.</w:t>
      </w:r>
      <w:hyperlink r:id="rId30">
        <w:r>
          <w:rPr>
            <w:color w:val="2F5597"/>
            <w:u w:val="single"/>
            <w:rFonts w:ascii="Times New Roman" w:hAnsi="Times New Roman"/>
            <w:sz w:val="22"/>
          </w:rPr>
          <w:t>Source</w:t>
        </w:r>
      </w:hyperlink>
    </w:p>
    <w:p>
      <w:pPr>
        <w:spacing w:after="100"/>
        <w:ind w:left="259" w:hanging="259"/>
      </w:pPr>
      <w:r>
        <w:t>[32] “On the importance of multiple training seeds for evaluating machine unlearning,” arXiv:2510.26714, 2025.</w:t>
      </w:r>
      <w:hyperlink r:id="rId30">
        <w:r>
          <w:rPr>
            <w:color w:val="2F5597"/>
            <w:u w:val="single"/>
            <w:rFonts w:ascii="Times New Roman" w:hAnsi="Times New Roman"/>
            <w:sz w:val="22"/>
          </w:rPr>
          <w:t>Source</w:t>
        </w:r>
      </w:hyperlink>
    </w:p>
    <w:p>
      <w:pPr>
        <w:spacing w:after="100"/>
        <w:ind w:left="259" w:hanging="259"/>
      </w:pPr>
      <w:r>
        <w:t>[33] Y. Tu, P. Hu, and J. W. Ma, “A Reliable Cryptographic Framework for Empirical Machine Unlearning Evaluation,” arXiv:2404.11577, 2024.</w:t>
      </w:r>
      <w:hyperlink r:id="rId30">
        <w:r>
          <w:rPr>
            <w:color w:val="2F5597"/>
            <w:u w:val="single"/>
            <w:rFonts w:ascii="Times New Roman" w:hAnsi="Times New Roman"/>
            <w:sz w:val="22"/>
          </w:rPr>
          <w:t>Source</w:t>
        </w:r>
      </w:hyperlink>
    </w:p>
    <w:p>
      <w:pPr>
        <w:spacing w:after="100"/>
        <w:ind w:left="259" w:hanging="259"/>
      </w:pPr>
      <w:r>
        <w:t>[34] “Unlearning Comparator: A Visual Analytics System for Comparative Evaluation of Machine Unlearning Methods,” arXiv:2508.12730, 2025.</w:t>
      </w:r>
      <w:hyperlink r:id="rId30">
        <w:r>
          <w:rPr>
            <w:color w:val="2F5597"/>
            <w:u w:val="single"/>
            <w:rFonts w:ascii="Times New Roman" w:hAnsi="Times New Roman"/>
            <w:sz w:val="22"/>
          </w:rPr>
          <w:t>Source</w:t>
        </w:r>
      </w:hyperlink>
    </w:p>
    <w:p>
      <w:pPr>
        <w:spacing w:after="100"/>
        <w:ind w:left="259" w:hanging="259"/>
      </w:pPr>
      <w:r>
        <w:t xml:space="preserve">[35] “Unlearning Evaluation through Subset Statistical Independence,” in International Conference on Learning Representations (ICLR), 2026; arXiv:2603.00587. </w:t>
      </w:r>
      <w:hyperlink r:id="rId36">
        <w:r>
          <w:rPr>
            <w:color w:val="2F5597"/>
            <w:u w:val="single"/>
            <w:rFonts w:ascii="Times New Roman" w:hAnsi="Times New Roman"/>
            <w:sz w:val="22"/>
          </w:rPr>
          <w:t>Source</w:t>
        </w:r>
      </w:hyperlink>
    </w:p>
    <w:p>
      <w:pPr>
        <w:spacing w:after="100"/>
        <w:ind w:left="259" w:hanging="259"/>
      </w:pPr>
      <w:r>
        <w:t xml:space="preserve">[36] S. Kornblith, M. Norouzi, H. Lee, and G. Hinton, “Similarity of Neural Network Representations Revisited,” in Proc. 36th Int. Conf. Machine Learning (ICML), PMLR, vol. 97, pp. 3519–3529, 2019. </w:t>
      </w:r>
      <w:hyperlink r:id="rId37">
        <w:r>
          <w:rPr>
            <w:color w:val="2F5597"/>
            <w:u w:val="single"/>
            <w:rFonts w:ascii="Times New Roman" w:hAnsi="Times New Roman"/>
            <w:sz w:val="22"/>
          </w:rPr>
          <w:t>Source</w:t>
        </w:r>
      </w:hyperlink>
    </w:p>
    <w:p>
      <w:pPr>
        <w:spacing w:after="100"/>
        <w:ind w:left="259" w:hanging="259"/>
      </w:pPr>
      <w:r>
        <w:t xml:space="preserve">[37] V. Feldman and C. Zhang, “What Neural Networks Memorize and Why: Discovering the Long Tail via Influence Estimation,” in Advances in Neural Information Processing Systems, vol. 33, pp. 2881–2891, 2020. </w:t>
      </w:r>
      <w:hyperlink r:id="rId38">
        <w:r>
          <w:rPr>
            <w:color w:val="2F5597"/>
            <w:u w:val="single"/>
            <w:rFonts w:ascii="Times New Roman" w:hAnsi="Times New Roman"/>
            <w:sz w:val="22"/>
          </w:rPr>
          <w:t>Source</w:t>
        </w:r>
      </w:hyperlink>
    </w:p>
    <w:p>
      <w:pPr>
        <w:pStyle w:val="Heading1"/>
        <w:keepNext/>
      </w:pPr>
      <w:r>
        <w:t>25. Code and Dataset Resources</w:t>
      </w:r>
    </w:p>
    <w:p>
      <w:pPr>
        <w:spacing w:after="120"/>
      </w:pPr>
      <w:r>
        <w:rPr>
          <w:i w:val="0"/>
        </w:rPr>
        <w:t>These resources reduce implementation risk. Their existence does not mean the project should copy results blindly; each imported component must be reproduced, validated and documented under the project’s common protocol.</w:t>
      </w:r>
    </w:p>
    <w:tbl>
      <w:tblPr>
        <w:tblStyle w:val="TableGrid"/>
        <w:tblW w:type="auto" w:w="0"/>
        <w:jc w:val="center"/>
        <w:tblLook w:firstColumn="1" w:firstRow="1" w:lastColumn="0" w:lastRow="0" w:noHBand="0" w:noVBand="1" w:val="04A0"/>
      </w:tblPr>
      <w:tblGrid>
        <w:gridCol w:w="3081"/>
        <w:gridCol w:w="3081"/>
        <w:gridCol w:w="3081"/>
      </w:tblGrid>
      <w:tr>
        <w:trPr>
          <w:cantSplit/>
        </w:trPr>
        <w:tc>
          <w:tcPr>
            <w:tcW w:type="dxa" w:w="3081"/>
            <w:shd w:fill="17324D"/>
          </w:tcPr>
          <w:p>
            <w:pPr>
              <w:keepNext/>
            </w:pPr>
            <w:r>
              <w:rPr>
                <w:rFonts w:ascii="Times New Roman" w:hAnsi="Times New Roman"/>
                <w:b/>
                <w:color w:val="FFFFFF"/>
                <w:sz w:val="18"/>
              </w:rPr>
              <w:t>Resource</w:t>
            </w:r>
          </w:p>
        </w:tc>
        <w:tc>
          <w:tcPr>
            <w:tcW w:type="dxa" w:w="3081"/>
            <w:shd w:fill="17324D"/>
          </w:tcPr>
          <w:p>
            <w:pPr>
              <w:keepNext/>
            </w:pPr>
            <w:r>
              <w:rPr>
                <w:rFonts w:ascii="Times New Roman" w:hAnsi="Times New Roman"/>
                <w:b/>
                <w:color w:val="FFFFFF"/>
                <w:sz w:val="18"/>
              </w:rPr>
              <w:t>Use in Project</w:t>
            </w:r>
          </w:p>
        </w:tc>
        <w:tc>
          <w:tcPr>
            <w:tcW w:type="dxa" w:w="3081"/>
            <w:shd w:fill="17324D"/>
          </w:tcPr>
          <w:p>
            <w:pPr>
              <w:keepNext/>
            </w:pPr>
            <w:r>
              <w:rPr>
                <w:rFonts w:ascii="Times New Roman" w:hAnsi="Times New Roman"/>
                <w:b/>
                <w:color w:val="FFFFFF"/>
                <w:sz w:val="18"/>
              </w:rPr>
              <w:t>Link</w:t>
            </w:r>
          </w:p>
        </w:tc>
      </w:tr>
      <w:tr>
        <w:trPr>
          <w:cantSplit/>
        </w:trPr>
        <w:tc>
          <w:tcPr>
            <w:tcW w:type="dxa" w:w="3081"/>
          </w:tcPr>
          <w:p>
            <w:r>
              <w:rPr>
                <w:rFonts w:ascii="Times New Roman" w:hAnsi="Times New Roman"/>
                <w:sz w:val="18"/>
              </w:rPr>
              <w:t>NeurIPS Machine Unlearning starting kit</w:t>
            </w:r>
          </w:p>
        </w:tc>
        <w:tc>
          <w:tcPr>
            <w:tcW w:type="dxa" w:w="3081"/>
          </w:tcPr>
          <w:p>
            <w:r>
              <w:rPr>
                <w:rFonts w:ascii="Times New Roman" w:hAnsi="Times New Roman"/>
                <w:sz w:val="18"/>
              </w:rPr>
              <w:t xml:space="preserve">CIFAR-10 loading, baseline training/unlearning and membership-inference scoring. As built: the model for the population attack.</w:t>
            </w:r>
          </w:p>
        </w:tc>
        <w:tc>
          <w:tcPr>
            <w:tcW w:type="dxa" w:w="3081"/>
          </w:tcPr>
          <w:p>
            <w:r>
              <w:t>Open resource</w:t>
            </w:r>
          </w:p>
        </w:tc>
      </w:tr>
      <w:tr>
        <w:trPr>
          <w:cantSplit/>
        </w:trPr>
        <w:tc>
          <w:tcPr>
            <w:tcW w:type="dxa" w:w="3081"/>
            <w:shd w:fill="F5F7F9"/>
          </w:tcPr>
          <w:p>
            <w:r>
              <w:rPr>
                <w:rFonts w:ascii="Times New Roman" w:hAnsi="Times New Roman"/>
                <w:sz w:val="18"/>
              </w:rPr>
              <w:t>SCRUB implementation</w:t>
            </w:r>
          </w:p>
        </w:tc>
        <w:tc>
          <w:tcPr>
            <w:tcW w:type="dxa" w:w="3081"/>
            <w:shd w:fill="F5F7F9"/>
          </w:tcPr>
          <w:p>
            <w:r>
              <w:rPr>
                <w:rFonts w:ascii="Times New Roman" w:hAnsi="Times New Roman"/>
                <w:sz w:val="18"/>
              </w:rPr>
              <w:t>Published SCRUB code and related MIA experiments.</w:t>
            </w:r>
          </w:p>
        </w:tc>
        <w:tc>
          <w:tcPr>
            <w:tcW w:type="dxa" w:w="3081"/>
            <w:shd w:fill="F5F7F9"/>
          </w:tcPr>
          <w:p>
            <w:r>
              <w:t>Open resource</w:t>
            </w:r>
          </w:p>
        </w:tc>
      </w:tr>
      <w:tr>
        <w:trPr>
          <w:cantSplit/>
        </w:trPr>
        <w:tc>
          <w:tcPr>
            <w:tcW w:type="dxa" w:w="3081"/>
          </w:tcPr>
          <w:p>
            <w:r>
              <w:rPr>
                <w:rFonts w:ascii="Times New Roman" w:hAnsi="Times New Roman"/>
                <w:sz w:val="18"/>
              </w:rPr>
              <w:t xml:space="preserve">RUM implementation</w:t>
            </w:r>
          </w:p>
        </w:tc>
        <w:tc>
          <w:tcPr>
            <w:tcW w:type="dxa" w:w="3081"/>
          </w:tcPr>
          <w:p>
            <w:r>
              <w:rPr>
                <w:rFonts w:ascii="Times New Roman" w:hAnsi="Times New Roman"/>
                <w:sz w:val="18"/>
              </w:rPr>
              <w:t xml:space="preserve">Planned as the experimental base. As built, the methods are implemented in the project's own package under one shared training loop, and RUM supplies the released CIFAR-10 memorization scores.</w:t>
            </w:r>
          </w:p>
        </w:tc>
        <w:tc>
          <w:tcPr>
            <w:tcW w:type="dxa" w:w="3081"/>
          </w:tcPr>
          <w:p>
            <w:r>
              <w:t>github.com/kairanzhao/RUM</w:t>
            </w:r>
          </w:p>
        </w:tc>
      </w:tr>
      <w:tr>
        <w:trPr>
          <w:cantSplit/>
        </w:trPr>
        <w:tc>
          <w:tcPr>
            <w:tcW w:type="dxa" w:w="3081"/>
            <w:shd w:fill="F5F7F9"/>
          </w:tcPr>
          <w:p>
            <w:r>
              <w:rPr>
                <w:rFonts w:ascii="Times New Roman" w:hAnsi="Times New Roman"/>
                <w:sz w:val="18"/>
              </w:rPr>
              <w:t>CIFAR-10 memorization scores</w:t>
            </w:r>
          </w:p>
        </w:tc>
        <w:tc>
          <w:tcPr>
            <w:tcW w:type="dxa" w:w="3081"/>
            <w:shd w:fill="F5F7F9"/>
          </w:tcPr>
          <w:p>
            <w:r>
              <w:rPr>
                <w:rFonts w:ascii="Times New Roman" w:hAnsi="Times New Roman"/>
                <w:sz w:val="18"/>
              </w:rPr>
              <w:t xml:space="preserve">Released with the RUM codebase and used to construct the difficulty axis (data/memorization/). The fallback proxies [31] were not needed.</w:t>
            </w:r>
          </w:p>
        </w:tc>
        <w:tc>
          <w:tcPr>
            <w:tcW w:type="dxa" w:w="3081"/>
            <w:shd w:fill="F5F7F9"/>
          </w:tcPr>
          <w:p>
            <w:r>
              <w:t>github.com/kairanzhao/RUM</w:t>
            </w:r>
          </w:p>
        </w:tc>
      </w:tr>
      <w:tr>
        <w:trPr>
          <w:cantSplit/>
        </w:trPr>
        <w:tc>
          <w:tcPr>
            <w:tcW w:type="dxa" w:w="3081"/>
          </w:tcPr>
          <w:p>
            <w:r>
              <w:rPr>
                <w:rFonts w:ascii="Times New Roman" w:hAnsi="Times New Roman"/>
                <w:sz w:val="18"/>
              </w:rPr>
              <w:t>torchunlearn (cross-check)</w:t>
            </w:r>
          </w:p>
        </w:tc>
        <w:tc>
          <w:tcPr>
            <w:tcW w:type="dxa" w:w="3081"/>
          </w:tcPr>
          <w:p>
            <w:r>
              <w:rPr>
                <w:rFonts w:ascii="Times New Roman" w:hAnsi="Times New Roman"/>
                <w:sz w:val="18"/>
              </w:rPr>
              <w:t xml:space="preserve">Not used. Methods were instead checked against their original implementations (SalUn against its official repository).</w:t>
            </w:r>
          </w:p>
        </w:tc>
        <w:tc>
          <w:tcPr>
            <w:tcW w:type="dxa" w:w="3081"/>
          </w:tcPr>
          <w:p>
            <w:r>
              <w:t>github.com/Harry24k/machine-unlearning-pytorch</w:t>
            </w:r>
          </w:p>
        </w:tc>
      </w:tr>
      <w:tr>
        <w:trPr>
          <w:cantSplit/>
        </w:trPr>
        <w:tc>
          <w:tcPr>
            <w:tcW w:type="dxa" w:w="3081"/>
          </w:tcPr>
          <w:p>
            <w:r>
              <w:rPr>
                <w:rFonts w:ascii="Times New Roman" w:hAnsi="Times New Roman"/>
                <w:sz w:val="18"/>
              </w:rPr>
              <w:t>EasyDUB checkpoints [25]</w:t>
            </w:r>
          </w:p>
        </w:tc>
        <w:tc>
          <w:tcPr>
            <w:tcW w:type="dxa" w:w="3081"/>
          </w:tcPr>
          <w:p>
            <w:r>
              <w:rPr>
                <w:rFonts w:ascii="Times New Roman" w:hAnsi="Times New Roman"/>
                <w:sz w:val="18"/>
              </w:rPr>
              <w:t xml:space="preserve">Not used: the project's own retrains (twelve at the primary condition, five paired retrains elsewhere) measure oracle-to-oracle variation directly.</w:t>
            </w:r>
          </w:p>
        </w:tc>
        <w:tc>
          <w:tcPr>
            <w:tcW w:type="dxa" w:w="3081"/>
          </w:tcPr>
          <w:p>
            <w:r>
              <w:t>Hugging Face</w:t>
            </w:r>
          </w:p>
        </w:tc>
      </w:tr>
      <w:tr>
        <w:trPr>
          <w:cantSplit/>
        </w:trPr>
        <w:tc>
          <w:tcPr>
            <w:tcW w:type="dxa" w:w="3081"/>
          </w:tcPr>
          <w:p>
            <w:r>
              <w:rPr>
                <w:rFonts w:ascii="Times New Roman" w:hAnsi="Times New Roman"/>
                <w:sz w:val="18"/>
              </w:rPr>
              <w:t>Selective Synaptic Dampening (optional)</w:t>
            </w:r>
          </w:p>
        </w:tc>
        <w:tc>
          <w:tcPr>
            <w:tcW w:type="dxa" w:w="3081"/>
          </w:tcPr>
          <w:p>
            <w:r>
              <w:rPr>
                <w:rFonts w:ascii="Times New Roman" w:hAnsi="Times New Roman"/>
                <w:sz w:val="18"/>
              </w:rPr>
              <w:t xml:space="preserve">Official SSD implementation. SSD was implemented behind the common interface; the optional class-unlearning side condition was not run.</w:t>
            </w:r>
          </w:p>
        </w:tc>
        <w:tc>
          <w:tcPr>
            <w:tcW w:type="dxa" w:w="3081"/>
          </w:tcPr>
          <w:p>
            <w:r>
              <w:t>github.com/if-loops/selective-synaptic-dampening</w:t>
            </w:r>
          </w:p>
        </w:tc>
      </w:tr>
    </w:tbl>
    <w:p>
      <w:r>
        <w:br w:type="page"/>
      </w:r>
    </w:p>
    <w:p>
      <w:pPr>
        <w:pStyle w:val="Heading1"/>
        <w:keepNext/>
      </w:pPr>
      <w:r>
        <w:t>Appendix A. Canonical Decision Sheet</w:t>
      </w:r>
    </w:p>
    <w:p>
      <w:pPr>
        <w:spacing w:after="120"/>
      </w:pPr>
      <w:r>
        <w:rPr>
          <w:i w:val="0"/>
        </w:rPr>
        <w:t>Use this page whenever a team member, mentor or evaluator asks what has actually been decided. Items marked “optional” should not be allowed to delay the core project.</w:t>
      </w:r>
    </w:p>
    <w:tbl>
      <w:tblPr>
        <w:tblStyle w:val="TableGrid"/>
        <w:tblW w:type="auto" w:w="0"/>
        <w:jc w:val="center"/>
        <w:tblLook w:firstColumn="1" w:firstRow="1" w:lastColumn="0" w:lastRow="0" w:noHBand="0" w:noVBand="1" w:val="04A0"/>
      </w:tblPr>
      <w:tblGrid>
        <w:gridCol w:w="4621"/>
        <w:gridCol w:w="4621"/>
      </w:tblGrid>
      <w:tr>
        <w:trPr>
          <w:tblHeader w:val="true"/>
          <w:cantSplit/>
        </w:trPr>
        <w:tc>
          <w:tcPr>
            <w:tcW w:type="dxa" w:w="2880"/>
            <w:shd w:fill="17324D"/>
            <w:vAlign w:val="center"/>
          </w:tcPr>
          <w:p>
            <w:pPr>
              <w:keepNext/>
            </w:pPr>
            <w:r>
              <w:rPr>
                <w:rFonts w:ascii="Times New Roman" w:hAnsi="Times New Roman"/>
                <w:b/>
                <w:color w:val="FFFFFF"/>
                <w:sz w:val="19"/>
              </w:rPr>
              <w:t>Decision</w:t>
            </w:r>
          </w:p>
        </w:tc>
        <w:tc>
          <w:tcPr>
            <w:tcW w:type="dxa" w:w="6336"/>
            <w:shd w:fill="17324D"/>
            <w:vAlign w:val="center"/>
          </w:tcPr>
          <w:p>
            <w:pPr>
              <w:keepNext/>
            </w:pPr>
            <w:r>
              <w:rPr>
                <w:rFonts w:ascii="Times New Roman" w:hAnsi="Times New Roman"/>
                <w:b/>
                <w:color w:val="FFFFFF"/>
                <w:sz w:val="19"/>
              </w:rPr>
              <w:t xml:space="preserve">Choice (as run)</w:t>
            </w:r>
          </w:p>
        </w:tc>
      </w:tr>
      <w:tr>
        <w:trPr>
          <w:cantSplit/>
        </w:trPr>
        <w:tc>
          <w:tcPr>
            <w:tcW w:type="dxa" w:w="2880"/>
            <w:vAlign w:val="top"/>
          </w:tcPr>
          <w:p>
            <w:pPr>
              <w:spacing w:after="40"/>
            </w:pPr>
            <w:r>
              <w:rPr>
                <w:rFonts w:ascii="Times New Roman" w:hAnsi="Times New Roman"/>
                <w:sz w:val="19"/>
              </w:rPr>
              <w:t>Topic</w:t>
            </w:r>
          </w:p>
        </w:tc>
        <w:tc>
          <w:tcPr>
            <w:tcW w:type="dxa" w:w="6336"/>
            <w:vAlign w:val="top"/>
          </w:tcPr>
          <w:p>
            <w:pPr>
              <w:spacing w:after="40"/>
            </w:pPr>
            <w:r>
              <w:rPr>
                <w:rFonts w:ascii="Times New Roman" w:hAnsi="Times New Roman"/>
                <w:sz w:val="19"/>
              </w:rPr>
              <w:t>ForgetCheck: A Retraining-Grounded Study of Audit Disagreement, Reversibility and Audit Validity in Approximate Machine Unlearning</w:t>
            </w:r>
          </w:p>
        </w:tc>
      </w:tr>
      <w:tr>
        <w:trPr>
          <w:cantSplit/>
        </w:trPr>
        <w:tc>
          <w:tcPr>
            <w:tcW w:type="dxa" w:w="2880"/>
            <w:vAlign w:val="top"/>
            <w:shd w:fill="F5F7F9"/>
          </w:tcPr>
          <w:p>
            <w:pPr>
              <w:spacing w:after="40"/>
            </w:pPr>
            <w:r>
              <w:rPr>
                <w:rFonts w:ascii="Times New Roman" w:hAnsi="Times New Roman"/>
                <w:sz w:val="19"/>
              </w:rPr>
              <w:t>Core contribution</w:t>
            </w:r>
          </w:p>
        </w:tc>
        <w:tc>
          <w:tcPr>
            <w:tcW w:type="dxa" w:w="6336"/>
            <w:vAlign w:val="top"/>
            <w:shd w:fill="F5F7F9"/>
          </w:tcPr>
          <w:p>
            <w:pPr>
              <w:spacing w:after="40"/>
            </w:pPr>
            <w:r>
              <w:rPr>
                <w:rFonts w:ascii="Times New Roman" w:hAnsi="Times New Roman"/>
                <w:sz w:val="19"/>
              </w:rPr>
              <w:t>Audit validity and cross-audit disagreement under oracle-ensemble grounding, with reversibility and forget-set difficulty as factors</w:t>
            </w:r>
          </w:p>
        </w:tc>
      </w:tr>
      <w:tr>
        <w:trPr>
          <w:cantSplit/>
        </w:trPr>
        <w:tc>
          <w:tcPr>
            <w:tcW w:type="dxa" w:w="2880"/>
            <w:vAlign w:val="top"/>
          </w:tcPr>
          <w:p>
            <w:pPr>
              <w:spacing w:after="40"/>
            </w:pPr>
            <w:r>
              <w:rPr>
                <w:rFonts w:ascii="Times New Roman" w:hAnsi="Times New Roman"/>
                <w:sz w:val="19"/>
              </w:rPr>
              <w:t>Primary dataset</w:t>
            </w:r>
          </w:p>
        </w:tc>
        <w:tc>
          <w:tcPr>
            <w:tcW w:type="dxa" w:w="6336"/>
            <w:vAlign w:val="top"/>
          </w:tcPr>
          <w:p>
            <w:pPr>
              <w:spacing w:after="40"/>
            </w:pPr>
            <w:r>
              <w:rPr>
                <w:rFonts w:ascii="Times New Roman" w:hAnsi="Times New Roman"/>
                <w:sz w:val="19"/>
              </w:rPr>
              <w:t>CIFAR-10</w:t>
            </w:r>
          </w:p>
        </w:tc>
      </w:tr>
      <w:tr>
        <w:trPr>
          <w:cantSplit/>
        </w:trPr>
        <w:tc>
          <w:tcPr>
            <w:tcW w:type="dxa" w:w="2880"/>
            <w:vAlign w:val="top"/>
            <w:shd w:fill="F5F7F9"/>
          </w:tcPr>
          <w:p>
            <w:pPr>
              <w:spacing w:after="40"/>
            </w:pPr>
            <w:r>
              <w:rPr>
                <w:rFonts w:ascii="Times New Roman" w:hAnsi="Times New Roman"/>
                <w:sz w:val="19"/>
              </w:rPr>
              <w:t>Secondary dataset</w:t>
            </w:r>
          </w:p>
        </w:tc>
        <w:tc>
          <w:tcPr>
            <w:tcW w:type="dxa" w:w="6336"/>
            <w:vAlign w:val="top"/>
            <w:shd w:fill="F5F7F9"/>
          </w:tcPr>
          <w:p>
            <w:pPr>
              <w:spacing w:after="40"/>
            </w:pPr>
            <w:r>
              <w:rPr>
                <w:rFonts w:ascii="Times New Roman" w:hAnsi="Times New Roman"/>
                <w:sz w:val="19"/>
              </w:rPr>
              <w:t xml:space="preserve">CIFAR-100 — optional; not run</w:t>
            </w:r>
          </w:p>
        </w:tc>
      </w:tr>
      <w:tr>
        <w:trPr>
          <w:cantSplit/>
        </w:trPr>
        <w:tc>
          <w:tcPr>
            <w:tcW w:type="dxa" w:w="2880"/>
            <w:vAlign w:val="top"/>
          </w:tcPr>
          <w:p>
            <w:pPr>
              <w:spacing w:after="40"/>
            </w:pPr>
            <w:r>
              <w:rPr>
                <w:rFonts w:ascii="Times New Roman" w:hAnsi="Times New Roman"/>
                <w:sz w:val="19"/>
              </w:rPr>
              <w:t>Base model</w:t>
            </w:r>
          </w:p>
        </w:tc>
        <w:tc>
          <w:tcPr>
            <w:tcW w:type="dxa" w:w="6336"/>
            <w:vAlign w:val="top"/>
          </w:tcPr>
          <w:p>
            <w:pPr>
              <w:spacing w:after="40"/>
            </w:pPr>
            <w:r>
              <w:rPr>
                <w:rFonts w:ascii="Times New Roman" w:hAnsi="Times New Roman"/>
                <w:sz w:val="19"/>
              </w:rPr>
              <w:t>ResNet-18</w:t>
            </w:r>
          </w:p>
        </w:tc>
      </w:tr>
      <w:tr>
        <w:trPr>
          <w:cantSplit/>
        </w:trPr>
        <w:tc>
          <w:tcPr>
            <w:tcW w:type="dxa" w:w="2880"/>
            <w:vAlign w:val="top"/>
            <w:shd w:fill="F5F7F9"/>
          </w:tcPr>
          <w:p>
            <w:pPr>
              <w:spacing w:after="40"/>
            </w:pPr>
            <w:r>
              <w:rPr>
                <w:rFonts w:ascii="Times New Roman" w:hAnsi="Times New Roman"/>
                <w:sz w:val="19"/>
              </w:rPr>
              <w:t>Unlearners</w:t>
            </w:r>
          </w:p>
        </w:tc>
        <w:tc>
          <w:tcPr>
            <w:tcW w:type="dxa" w:w="6336"/>
            <w:vAlign w:val="top"/>
            <w:shd w:fill="F5F7F9"/>
          </w:tcPr>
          <w:p>
            <w:pPr>
              <w:spacing w:after="40"/>
            </w:pPr>
            <w:r>
              <w:rPr>
                <w:rFonts w:ascii="Times New Roman" w:hAnsi="Times New Roman"/>
                <w:sz w:val="19"/>
              </w:rPr>
              <w:t xml:space="preserve">Fine-tune, NegGrad+, SCRUB, SalUn, L1-sparse (ranked); NegGrad (destructive control)</w:t>
            </w:r>
          </w:p>
        </w:tc>
      </w:tr>
      <w:tr>
        <w:trPr>
          <w:cantSplit/>
        </w:trPr>
        <w:tc>
          <w:tcPr>
            <w:tcW w:type="dxa" w:w="2880"/>
            <w:vAlign w:val="top"/>
          </w:tcPr>
          <w:p>
            <w:pPr>
              <w:spacing w:after="40"/>
            </w:pPr>
            <w:r>
              <w:rPr>
                <w:rFonts w:ascii="Times New Roman" w:hAnsi="Times New Roman"/>
                <w:sz w:val="19"/>
              </w:rPr>
              <w:t xml:space="preserve">Optional unlearners</w:t>
            </w:r>
          </w:p>
        </w:tc>
        <w:tc>
          <w:tcPr>
            <w:tcW w:type="dxa" w:w="6336"/>
            <w:vAlign w:val="top"/>
          </w:tcPr>
          <w:p>
            <w:pPr>
              <w:spacing w:after="40"/>
            </w:pPr>
            <w:r>
              <w:rPr>
                <w:rFonts w:ascii="Times New Roman" w:hAnsi="Times New Roman"/>
                <w:sz w:val="19"/>
              </w:rPr>
              <w:t xml:space="preserve">Incompetent Teacher — not added. SSD implemented but withdrawn from the core set (mechanism–task mismatch at instance level); its optional class-unlearning side condition was not run</w:t>
            </w:r>
          </w:p>
        </w:tc>
      </w:tr>
      <w:tr>
        <w:trPr>
          <w:cantSplit/>
        </w:trPr>
        <w:tc>
          <w:tcPr>
            <w:tcW w:type="dxa" w:w="2880"/>
            <w:vAlign w:val="top"/>
            <w:shd w:fill="F5F7F9"/>
          </w:tcPr>
          <w:p>
            <w:pPr>
              <w:spacing w:after="40"/>
            </w:pPr>
            <w:r>
              <w:rPr>
                <w:rFonts w:ascii="Times New Roman" w:hAnsi="Times New Roman"/>
                <w:sz w:val="19"/>
              </w:rPr>
              <w:t>Forget sets</w:t>
            </w:r>
          </w:p>
        </w:tc>
        <w:tc>
          <w:tcPr>
            <w:tcW w:type="dxa" w:w="6336"/>
            <w:vAlign w:val="top"/>
            <w:shd w:fill="F5F7F9"/>
          </w:tcPr>
          <w:p>
            <w:pPr>
              <w:spacing w:after="40"/>
            </w:pPr>
            <w:r>
              <w:rPr>
                <w:rFonts w:ascii="Times New Roman" w:hAnsi="Times New Roman"/>
                <w:sz w:val="19"/>
              </w:rPr>
              <w:t xml:space="preserve">Size axis: random 500 / 2,500 / 5,000 (1 / 5 / 10%), plus random 3,000 as the bridge. Difficulty axis at 3,000: low (negative control), medium, high memorization. Canary condition (500 mislabeled). Five seeds</w:t>
            </w:r>
          </w:p>
        </w:tc>
      </w:tr>
      <w:tr>
        <w:trPr>
          <w:cantSplit/>
        </w:trPr>
        <w:tc>
          <w:tcPr>
            <w:tcW w:type="dxa" w:w="2880"/>
            <w:vAlign w:val="top"/>
          </w:tcPr>
          <w:p>
            <w:pPr>
              <w:spacing w:after="40"/>
            </w:pPr>
            <w:r>
              <w:rPr>
                <w:rFonts w:ascii="Times New Roman" w:hAnsi="Times New Roman"/>
                <w:sz w:val="19"/>
              </w:rPr>
              <w:t>Core audits</w:t>
            </w:r>
          </w:p>
        </w:tc>
        <w:tc>
          <w:tcPr>
            <w:tcW w:type="dxa" w:w="6336"/>
            <w:vAlign w:val="top"/>
          </w:tcPr>
          <w:p>
            <w:pPr>
              <w:spacing w:after="40"/>
            </w:pPr>
            <w:r>
              <w:rPr>
                <w:rFonts w:ascii="Times New Roman" w:hAnsi="Times New Roman"/>
                <w:sz w:val="19"/>
              </w:rPr>
              <w:t xml:space="preserve">Utility/behavior; MIA privacy at two attack strengths (population, RMIA); linear CKA plus RBF-CKA; relearning with anchor arms; secondary SDE; audit validity calibration</w:t>
            </w:r>
          </w:p>
        </w:tc>
      </w:tr>
      <w:tr>
        <w:trPr>
          <w:cantSplit/>
        </w:trPr>
        <w:tc>
          <w:tcPr>
            <w:tcW w:type="dxa" w:w="2880"/>
            <w:vAlign w:val="top"/>
            <w:shd w:fill="F5F7F9"/>
          </w:tcPr>
          <w:p>
            <w:pPr>
              <w:spacing w:after="40"/>
            </w:pPr>
            <w:r>
              <w:rPr>
                <w:rFonts w:ascii="Times New Roman" w:hAnsi="Times New Roman"/>
                <w:sz w:val="19"/>
              </w:rPr>
              <w:t>Core statistics</w:t>
            </w:r>
          </w:p>
        </w:tc>
        <w:tc>
          <w:tcPr>
            <w:tcW w:type="dxa" w:w="6336"/>
            <w:vAlign w:val="top"/>
            <w:shd w:fill="F5F7F9"/>
          </w:tcPr>
          <w:p>
            <w:pPr>
              <w:spacing w:after="40"/>
            </w:pPr>
            <w:r>
              <w:rPr>
                <w:rFonts w:ascii="Times New Roman" w:hAnsi="Times New Roman"/>
                <w:sz w:val="19"/>
              </w:rPr>
              <w:t xml:space="preserve">Mean/SD across five seeds; instance-level Kendall tau and Spearman with bootstrap CIs (pooled, per condition, within conditions); linear mixed-effects models on log G; disagreement rate. Rank correlation over methods is descriptive only.</w:t>
            </w:r>
          </w:p>
        </w:tc>
      </w:tr>
      <w:tr>
        <w:trPr>
          <w:cantSplit/>
        </w:trPr>
        <w:tc>
          <w:tcPr>
            <w:tcW w:type="dxa" w:w="2880"/>
            <w:vAlign w:val="top"/>
          </w:tcPr>
          <w:p>
            <w:pPr>
              <w:spacing w:after="40"/>
            </w:pPr>
            <w:r>
              <w:rPr>
                <w:rFonts w:ascii="Times New Roman" w:hAnsi="Times New Roman"/>
                <w:sz w:val="19"/>
              </w:rPr>
              <w:t>Reference</w:t>
            </w:r>
          </w:p>
        </w:tc>
        <w:tc>
          <w:tcPr>
            <w:tcW w:type="dxa" w:w="6336"/>
            <w:vAlign w:val="top"/>
          </w:tcPr>
          <w:p>
            <w:pPr>
              <w:spacing w:after="40"/>
            </w:pPr>
            <w:r>
              <w:rPr>
                <w:rFonts w:ascii="Times New Roman" w:hAnsi="Times New Roman"/>
                <w:sz w:val="19"/>
              </w:rPr>
              <w:t xml:space="preserve">Original model plus twelve independently retrained oracles at the primary condition (three pre-registered as held out) and five paired retrains elsewhere; every retrain enters the validity rates by leave-one-out</w:t>
            </w:r>
          </w:p>
        </w:tc>
      </w:tr>
      <w:tr>
        <w:trPr>
          <w:cantSplit/>
        </w:trPr>
        <w:tc>
          <w:tcPr>
            <w:tcW w:type="dxa" w:w="2880"/>
            <w:vAlign w:val="top"/>
            <w:shd w:fill="F5F7F9"/>
          </w:tcPr>
          <w:p>
            <w:pPr>
              <w:spacing w:after="40"/>
            </w:pPr>
            <w:r>
              <w:rPr>
                <w:rFonts w:ascii="Times New Roman" w:hAnsi="Times New Roman"/>
                <w:sz w:val="19"/>
              </w:rPr>
              <w:t xml:space="preserve">Calibration band</w:t>
            </w:r>
          </w:p>
        </w:tc>
        <w:tc>
          <w:tcPr>
            <w:tcW w:type="dxa" w:w="6336"/>
            <w:vAlign w:val="top"/>
            <w:shd w:fill="F5F7F9"/>
          </w:tcPr>
          <w:p>
            <w:pPr>
              <w:spacing w:after="40"/>
            </w:pPr>
            <w:r>
              <w:rPr>
                <w:rFonts w:ascii="Times New Roman" w:hAnsi="Times New Roman"/>
                <w:sz w:val="19"/>
              </w:rPr>
              <w:t xml:space="preserve">95.45% prediction interval from the retrains, mean ± t·s·√(1 + 1/n); one-sided for metrics with a direction</w:t>
            </w:r>
          </w:p>
        </w:tc>
      </w:tr>
      <w:tr>
        <w:trPr>
          <w:cantSplit/>
        </w:trPr>
        <w:tc>
          <w:tcPr>
            <w:tcW w:type="dxa" w:w="2880"/>
            <w:vAlign w:val="top"/>
          </w:tcPr>
          <w:p>
            <w:pPr>
              <w:spacing w:after="40"/>
            </w:pPr>
            <w:r>
              <w:rPr>
                <w:rFonts w:ascii="Times New Roman" w:hAnsi="Times New Roman"/>
                <w:sz w:val="19"/>
              </w:rPr>
              <w:t xml:space="preserve">Utility guard</w:t>
            </w:r>
          </w:p>
        </w:tc>
        <w:tc>
          <w:tcPr>
            <w:tcW w:type="dxa" w:w="6336"/>
            <w:vAlign w:val="top"/>
          </w:tcPr>
          <w:p>
            <w:pPr>
              <w:spacing w:after="40"/>
            </w:pPr>
            <w:r>
              <w:rPr>
                <w:rFonts w:ascii="Times New Roman" w:hAnsi="Times New Roman"/>
                <w:sz w:val="19"/>
              </w:rPr>
              <w:t xml:space="preserve">A model more than 5 points below the retrains' test accuracy is damaged; a flag on it is read as damage</w:t>
            </w:r>
          </w:p>
        </w:tc>
      </w:tr>
      <w:tr>
        <w:trPr>
          <w:cantSplit/>
        </w:trPr>
        <w:tc>
          <w:tcPr>
            <w:tcW w:type="dxa" w:w="2880"/>
            <w:vAlign w:val="top"/>
            <w:shd w:fill="F5F7F9"/>
          </w:tcPr>
          <w:p>
            <w:pPr>
              <w:spacing w:after="40"/>
            </w:pPr>
            <w:r>
              <w:rPr>
                <w:rFonts w:ascii="Times New Roman" w:hAnsi="Times New Roman"/>
                <w:sz w:val="19"/>
              </w:rPr>
              <w:t xml:space="preserve">Minimum effect</w:t>
            </w:r>
          </w:p>
        </w:tc>
        <w:tc>
          <w:tcPr>
            <w:tcW w:type="dxa" w:w="6336"/>
            <w:vAlign w:val="top"/>
            <w:shd w:fill="F5F7F9"/>
          </w:tcPr>
          <w:p>
            <w:pPr>
              <w:spacing w:after="40"/>
            </w:pPr>
            <w:r>
              <w:rPr>
                <w:rFonts w:ascii="Times New Roman" w:hAnsi="Times New Roman"/>
                <w:sz w:val="19"/>
              </w:rPr>
              <w:t xml:space="preserve">Low-discriminability cell: the original within 1 retrain sd of the retrain mean, or within 2 points for proportions</w:t>
            </w:r>
          </w:p>
        </w:tc>
      </w:tr>
      <w:tr>
        <w:trPr>
          <w:cantSplit/>
        </w:trPr>
        <w:tc>
          <w:tcPr>
            <w:tcW w:type="dxa" w:w="2880"/>
            <w:vAlign w:val="top"/>
          </w:tcPr>
          <w:p>
            <w:pPr>
              <w:spacing w:after="40"/>
            </w:pPr>
            <w:r>
              <w:rPr>
                <w:rFonts w:ascii="Times New Roman" w:hAnsi="Times New Roman"/>
                <w:sz w:val="19"/>
              </w:rPr>
              <w:t xml:space="preserve">Canary ground truth</w:t>
            </w:r>
          </w:p>
        </w:tc>
        <w:tc>
          <w:tcPr>
            <w:tcW w:type="dxa" w:w="6336"/>
            <w:vAlign w:val="top"/>
          </w:tcPr>
          <w:p>
            <w:pPr>
              <w:spacing w:after="40"/>
            </w:pPr>
            <w:r>
              <w:rPr>
                <w:rFonts w:ascii="Times New Roman" w:hAnsi="Times New Roman"/>
                <w:sz w:val="19"/>
              </w:rPr>
              <w:t xml:space="preserve">canary_top_wrong (approved 27 September 2026)</w:t>
            </w:r>
          </w:p>
        </w:tc>
      </w:tr>
      <w:tr>
        <w:trPr>
          <w:cantSplit/>
        </w:trPr>
        <w:tc>
          <w:tcPr>
            <w:tcW w:type="dxa" w:w="2880"/>
            <w:vAlign w:val="top"/>
            <w:shd w:fill="F5F7F9"/>
          </w:tcPr>
          <w:p>
            <w:pPr>
              <w:spacing w:after="40"/>
            </w:pPr>
            <w:r>
              <w:rPr>
                <w:rFonts w:ascii="Times New Roman" w:hAnsi="Times New Roman"/>
                <w:sz w:val="19"/>
              </w:rPr>
              <w:t xml:space="preserve">Low-FPR operating point</w:t>
            </w:r>
          </w:p>
        </w:tc>
        <w:tc>
          <w:tcPr>
            <w:tcW w:type="dxa" w:w="6336"/>
            <w:vAlign w:val="top"/>
            <w:shd w:fill="F5F7F9"/>
          </w:tcPr>
          <w:p>
            <w:pPr>
              <w:spacing w:after="40"/>
            </w:pPr>
            <w:r>
              <w:rPr>
                <w:rFonts w:ascii="Times New Roman" w:hAnsi="Times New Roman"/>
                <w:sz w:val="19"/>
              </w:rPr>
              <w:t xml:space="preserve">TPR at 1% FPR</w:t>
            </w:r>
          </w:p>
        </w:tc>
      </w:tr>
      <w:tr>
        <w:trPr>
          <w:cantSplit/>
        </w:trPr>
        <w:tc>
          <w:tcPr>
            <w:tcW w:type="dxa" w:w="2880"/>
            <w:vAlign w:val="top"/>
          </w:tcPr>
          <w:p>
            <w:pPr>
              <w:spacing w:after="40"/>
            </w:pPr>
            <w:r>
              <w:rPr>
                <w:rFonts w:ascii="Times New Roman" w:hAnsi="Times New Roman"/>
                <w:sz w:val="19"/>
              </w:rPr>
              <w:t xml:space="preserve">H3 measure</w:t>
            </w:r>
          </w:p>
        </w:tc>
        <w:tc>
          <w:tcPr>
            <w:tcW w:type="dxa" w:w="6336"/>
            <w:vAlign w:val="top"/>
          </w:tcPr>
          <w:p>
            <w:pPr>
              <w:spacing w:after="40"/>
            </w:pPr>
            <w:r>
              <w:rPr>
                <w:rFonts w:ascii="Times New Roman" w:hAnsi="Times New Roman"/>
                <w:sz w:val="19"/>
              </w:rPr>
              <w:t xml:space="preserve">Signed G on cka_to_original, layer 4 (approved 1 October 2026)</w:t>
            </w:r>
          </w:p>
        </w:tc>
      </w:tr>
      <w:tr>
        <w:trPr>
          <w:cantSplit/>
        </w:trPr>
        <w:tc>
          <w:tcPr>
            <w:tcW w:type="dxa" w:w="2880"/>
            <w:vAlign w:val="top"/>
            <w:shd w:fill="F5F7F9"/>
          </w:tcPr>
          <w:p>
            <w:pPr>
              <w:spacing w:after="40"/>
            </w:pPr>
            <w:r>
              <w:rPr>
                <w:rFonts w:ascii="Times New Roman" w:hAnsi="Times New Roman"/>
                <w:sz w:val="19"/>
              </w:rPr>
              <w:t xml:space="preserve">Primary metric per family</w:t>
            </w:r>
          </w:p>
        </w:tc>
        <w:tc>
          <w:tcPr>
            <w:tcW w:type="dxa" w:w="6336"/>
            <w:vAlign w:val="top"/>
            <w:shd w:fill="F5F7F9"/>
          </w:tcPr>
          <w:p>
            <w:pPr>
              <w:spacing w:after="40"/>
            </w:pPr>
            <w:r>
              <w:rPr>
                <w:rFonts w:ascii="Times New Roman" w:hAnsi="Times New Roman"/>
                <w:sz w:val="19"/>
              </w:rPr>
              <w:t xml:space="preserve">Behavior js_to_oracle; privacy mia_auc_pop and mia_auc_rmia; representation linear CKA at layer 4; relearning relearn_auc; SDE secondary, unranked</w:t>
            </w:r>
          </w:p>
        </w:tc>
      </w:tr>
      <w:tr>
        <w:trPr>
          <w:cantSplit/>
        </w:trPr>
        <w:tc>
          <w:tcPr>
            <w:tcW w:type="dxa" w:w="2880"/>
            <w:vAlign w:val="top"/>
          </w:tcPr>
          <w:p>
            <w:pPr>
              <w:spacing w:after="40"/>
            </w:pPr>
            <w:r>
              <w:rPr>
                <w:rFonts w:ascii="Times New Roman" w:hAnsi="Times New Roman"/>
                <w:sz w:val="19"/>
              </w:rPr>
              <w:t>Demo</w:t>
            </w:r>
          </w:p>
        </w:tc>
        <w:tc>
          <w:tcPr>
            <w:tcW w:type="dxa" w:w="6336"/>
            <w:vAlign w:val="top"/>
          </w:tcPr>
          <w:p>
            <w:pPr>
              <w:spacing w:after="40"/>
            </w:pPr>
            <w:r>
              <w:rPr>
                <w:rFonts w:ascii="Times New Roman" w:hAnsi="Times New Roman"/>
                <w:sz w:val="19"/>
              </w:rPr>
              <w:t xml:space="preserve">Streamlit dashboard, a visualization layer over the completed results, for the 5 November presentation</w:t>
            </w:r>
          </w:p>
        </w:tc>
      </w:tr>
      <w:tr>
        <w:trPr>
          <w:cantSplit/>
        </w:trPr>
        <w:tc>
          <w:tcPr>
            <w:tcW w:type="dxa" w:w="2880"/>
            <w:vAlign w:val="top"/>
            <w:shd w:fill="F5F7F9"/>
          </w:tcPr>
          <w:p>
            <w:pPr>
              <w:spacing w:after="40"/>
            </w:pPr>
            <w:r>
              <w:rPr>
                <w:rFonts w:ascii="Times New Roman" w:hAnsi="Times New Roman"/>
                <w:sz w:val="19"/>
              </w:rPr>
              <w:t>LLM/TOFU extension</w:t>
            </w:r>
          </w:p>
        </w:tc>
        <w:tc>
          <w:tcPr>
            <w:tcW w:type="dxa" w:w="6336"/>
            <w:vAlign w:val="top"/>
            <w:shd w:fill="F5F7F9"/>
          </w:tcPr>
          <w:p>
            <w:pPr>
              <w:spacing w:after="40"/>
            </w:pPr>
            <w:r>
              <w:rPr>
                <w:rFonts w:ascii="Times New Roman" w:hAnsi="Times New Roman"/>
                <w:sz w:val="19"/>
              </w:rPr>
              <w:t>Withdrawn — compute and effort reallocated to calibration and the canary condition</w:t>
            </w:r>
          </w:p>
        </w:tc>
      </w:tr>
      <w:tr>
        <w:trPr>
          <w:cantSplit/>
        </w:trPr>
        <w:tc>
          <w:tcPr>
            <w:tcW w:type="dxa" w:w="2880"/>
            <w:vAlign w:val="top"/>
          </w:tcPr>
          <w:p>
            <w:pPr>
              <w:spacing w:after="40"/>
            </w:pPr>
            <w:r>
              <w:rPr>
                <w:rFonts w:ascii="Times New Roman" w:hAnsi="Times New Roman"/>
                <w:sz w:val="19"/>
              </w:rPr>
              <w:t>Synthetic user deletion</w:t>
            </w:r>
          </w:p>
        </w:tc>
        <w:tc>
          <w:tcPr>
            <w:tcW w:type="dxa" w:w="6336"/>
            <w:vAlign w:val="top"/>
          </w:tcPr>
          <w:p>
            <w:pPr>
              <w:spacing w:after="40"/>
            </w:pPr>
            <w:r>
              <w:rPr>
                <w:rFonts w:ascii="Times New Roman" w:hAnsi="Times New Roman"/>
                <w:sz w:val="19"/>
              </w:rPr>
              <w:t xml:space="preserve">Optional — not run</w:t>
            </w:r>
          </w:p>
        </w:tc>
      </w:tr>
      <w:tr>
        <w:trPr>
          <w:cantSplit/>
        </w:trPr>
        <w:tc>
          <w:tcPr>
            <w:tcW w:type="dxa" w:w="2880"/>
            <w:vAlign w:val="top"/>
            <w:shd w:fill="F5F7F9"/>
          </w:tcPr>
          <w:p>
            <w:pPr>
              <w:spacing w:after="40"/>
            </w:pPr>
            <w:r>
              <w:rPr>
                <w:rFonts w:ascii="Times New Roman" w:hAnsi="Times New Roman"/>
                <w:sz w:val="19"/>
              </w:rPr>
              <w:t>Formal certification / crypto proofs</w:t>
            </w:r>
          </w:p>
        </w:tc>
        <w:tc>
          <w:tcPr>
            <w:tcW w:type="dxa" w:w="6336"/>
            <w:vAlign w:val="top"/>
            <w:shd w:fill="F5F7F9"/>
          </w:tcPr>
          <w:p>
            <w:pPr>
              <w:spacing w:after="40"/>
            </w:pPr>
            <w:r>
              <w:rPr>
                <w:rFonts w:ascii="Times New Roman" w:hAnsi="Times New Roman"/>
                <w:sz w:val="19"/>
              </w:rPr>
              <w:t>Out of scope</w:t>
            </w:r>
          </w:p>
        </w:tc>
      </w:tr>
      <w:tr>
        <w:trPr>
          <w:cantSplit/>
        </w:trPr>
        <w:tc>
          <w:tcPr>
            <w:tcW w:type="dxa" w:w="2880"/>
            <w:vAlign w:val="top"/>
          </w:tcPr>
          <w:p>
            <w:pPr>
              <w:spacing w:after="40"/>
            </w:pPr>
            <w:r>
              <w:rPr>
                <w:rFonts w:ascii="Times New Roman" w:hAnsi="Times New Roman"/>
                <w:sz w:val="19"/>
              </w:rPr>
              <w:t>Problem formulation</w:t>
            </w:r>
          </w:p>
        </w:tc>
        <w:tc>
          <w:tcPr>
            <w:tcW w:type="dxa" w:w="6336"/>
            <w:vAlign w:val="top"/>
          </w:tcPr>
          <w:p>
            <w:pPr>
              <w:spacing w:after="40"/>
            </w:pPr>
            <w:r>
              <w:rPr>
                <w:rFonts w:ascii="Times New Roman" w:hAnsi="Times New Roman"/>
                <w:sz w:val="19"/>
              </w:rPr>
              <w:t>Untraining [19], not concept-level Unlearning</w:t>
            </w:r>
          </w:p>
        </w:tc>
      </w:tr>
      <w:tr>
        <w:trPr>
          <w:cantSplit/>
        </w:trPr>
        <w:tc>
          <w:tcPr>
            <w:tcW w:type="dxa" w:w="2880"/>
            <w:vAlign w:val="top"/>
            <w:shd w:fill="F5F7F9"/>
          </w:tcPr>
          <w:p>
            <w:pPr>
              <w:spacing w:after="40"/>
            </w:pPr>
            <w:r>
              <w:rPr>
                <w:rFonts w:ascii="Times New Roman" w:hAnsi="Times New Roman"/>
                <w:sz w:val="19"/>
              </w:rPr>
              <w:t>Training compute</w:t>
            </w:r>
          </w:p>
        </w:tc>
        <w:tc>
          <w:tcPr>
            <w:tcW w:type="dxa" w:w="6336"/>
            <w:vAlign w:val="top"/>
            <w:shd w:fill="F5F7F9"/>
          </w:tcPr>
          <w:p>
            <w:pPr>
              <w:spacing w:after="40"/>
            </w:pPr>
            <w:r>
              <w:rPr>
                <w:rFonts w:ascii="Times New Roman" w:hAnsi="Times New Roman"/>
                <w:sz w:val="19"/>
              </w:rPr>
              <w:t xml:space="preserve">Kaggle GPU (three accounts, about 30–35 GPU-hours); local machines are CPU-only and are used for audits and analysis, not training</w:t>
            </w:r>
          </w:p>
        </w:tc>
      </w:tr>
      <w:tr>
        <w:trPr>
          <w:cantSplit/>
        </w:trPr>
        <w:tc>
          <w:tcPr>
            <w:tcW w:type="dxa" w:w="2880"/>
            <w:vAlign w:val="top"/>
          </w:tcPr>
          <w:p>
            <w:pPr>
              <w:spacing w:after="40"/>
            </w:pPr>
            <w:r>
              <w:rPr>
                <w:rFonts w:ascii="Times New Roman" w:hAnsi="Times New Roman"/>
                <w:sz w:val="19"/>
              </w:rPr>
              <w:t>Team ownership</w:t>
            </w:r>
          </w:p>
        </w:tc>
        <w:tc>
          <w:tcPr>
            <w:tcW w:type="dxa" w:w="6336"/>
            <w:vAlign w:val="top"/>
          </w:tcPr>
          <w:p>
            <w:pPr>
              <w:spacing w:after="40"/>
            </w:pPr>
            <w:r>
              <w:rPr>
                <w:rFonts w:ascii="Times New Roman" w:hAnsi="Times New Roman"/>
                <w:sz w:val="19"/>
              </w:rPr>
              <w:t>A substrate; B behavior and privacy; C representation and relearning; D calibration, statistics and delivery</w:t>
            </w:r>
          </w:p>
        </w:tc>
      </w:tr>
    </w:tbl>
    <w:p>
      <w:pPr>
        <w:spacing w:after="20"/>
      </w:pPr>
    </w:p>
    <w:p>
      <w:pPr>
        <w:pStyle w:val="Heading1"/>
        <w:keepNext/>
      </w:pPr>
      <w:r>
        <w:t>Appendix B. Evaluation Metric Cheat Sheet</w:t>
      </w:r>
    </w:p>
    <w:tbl>
      <w:tblPr>
        <w:tblStyle w:val="TableGrid"/>
        <w:tblW w:type="auto" w:w="0"/>
        <w:jc w:val="center"/>
        <w:tblLook w:firstColumn="1" w:firstRow="1" w:lastColumn="0" w:lastRow="0" w:noHBand="0" w:noVBand="1" w:val="04A0"/>
      </w:tblPr>
      <w:tblGrid>
        <w:gridCol w:w="3081"/>
        <w:gridCol w:w="3081"/>
        <w:gridCol w:w="3081"/>
      </w:tblGrid>
      <w:tr>
        <w:trPr>
          <w:tblHeader w:val="true"/>
          <w:cantSplit/>
        </w:trPr>
        <w:tc>
          <w:tcPr>
            <w:tcW w:type="dxa" w:w="2232"/>
            <w:shd w:fill="17324D"/>
            <w:vAlign w:val="center"/>
          </w:tcPr>
          <w:p>
            <w:pPr>
              <w:keepNext/>
            </w:pPr>
            <w:r>
              <w:rPr>
                <w:rFonts w:ascii="Times New Roman" w:hAnsi="Times New Roman"/>
                <w:b/>
                <w:color w:val="FFFFFF"/>
                <w:sz w:val="17"/>
              </w:rPr>
              <w:t>Question</w:t>
            </w:r>
          </w:p>
        </w:tc>
        <w:tc>
          <w:tcPr>
            <w:tcW w:type="dxa" w:w="3384"/>
            <w:shd w:fill="17324D"/>
            <w:vAlign w:val="center"/>
          </w:tcPr>
          <w:p>
            <w:pPr>
              <w:keepNext/>
            </w:pPr>
            <w:r>
              <w:rPr>
                <w:rFonts w:ascii="Times New Roman" w:hAnsi="Times New Roman"/>
                <w:b/>
                <w:color w:val="FFFFFF"/>
                <w:sz w:val="17"/>
              </w:rPr>
              <w:t>Metric / Tool</w:t>
            </w:r>
          </w:p>
        </w:tc>
        <w:tc>
          <w:tcPr>
            <w:tcW w:type="dxa" w:w="3600"/>
            <w:shd w:fill="17324D"/>
            <w:vAlign w:val="center"/>
          </w:tcPr>
          <w:p>
            <w:pPr>
              <w:keepNext/>
            </w:pPr>
            <w:r>
              <w:rPr>
                <w:rFonts w:ascii="Times New Roman" w:hAnsi="Times New Roman"/>
                <w:b/>
                <w:color w:val="FFFFFF"/>
                <w:sz w:val="17"/>
              </w:rPr>
              <w:t>Interpretation Caution</w:t>
            </w:r>
          </w:p>
        </w:tc>
      </w:tr>
      <w:tr>
        <w:trPr>
          <w:cantSplit/>
        </w:trPr>
        <w:tc>
          <w:tcPr>
            <w:tcW w:type="dxa" w:w="2232"/>
            <w:vAlign w:val="top"/>
          </w:tcPr>
          <w:p>
            <w:pPr>
              <w:spacing w:after="40"/>
            </w:pPr>
            <w:r>
              <w:rPr>
                <w:rFonts w:ascii="Times New Roman" w:hAnsi="Times New Roman"/>
                <w:sz w:val="17"/>
              </w:rPr>
              <w:t>Did normal utility survive?</w:t>
            </w:r>
          </w:p>
        </w:tc>
        <w:tc>
          <w:tcPr>
            <w:tcW w:type="dxa" w:w="3384"/>
            <w:vAlign w:val="top"/>
          </w:tcPr>
          <w:p>
            <w:pPr>
              <w:spacing w:after="40"/>
            </w:pPr>
            <w:r>
              <w:rPr>
                <w:rFonts w:ascii="Times New Roman" w:hAnsi="Times New Roman"/>
                <w:sz w:val="17"/>
              </w:rPr>
              <w:t>Retain/test accuracy, F1, CE loss</w:t>
            </w:r>
          </w:p>
        </w:tc>
        <w:tc>
          <w:tcPr>
            <w:tcW w:type="dxa" w:w="3600"/>
            <w:vAlign w:val="top"/>
          </w:tcPr>
          <w:p>
            <w:pPr>
              <w:spacing w:after="40"/>
            </w:pPr>
            <w:r>
              <w:rPr>
                <w:rFonts w:ascii="Times New Roman" w:hAnsi="Times New Roman"/>
                <w:sz w:val="17"/>
              </w:rPr>
              <w:t>A damaged model can look “forgotten.”</w:t>
            </w:r>
          </w:p>
        </w:tc>
      </w:tr>
      <w:tr>
        <w:trPr>
          <w:cantSplit/>
        </w:trPr>
        <w:tc>
          <w:tcPr>
            <w:tcW w:type="dxa" w:w="2232"/>
            <w:vAlign w:val="top"/>
            <w:shd w:fill="F5F7F9"/>
          </w:tcPr>
          <w:p>
            <w:pPr>
              <w:spacing w:after="40"/>
            </w:pPr>
            <w:r>
              <w:rPr>
                <w:rFonts w:ascii="Times New Roman" w:hAnsi="Times New Roman"/>
                <w:sz w:val="17"/>
              </w:rPr>
              <w:t>Does forget behavior resemble retraining?</w:t>
            </w:r>
          </w:p>
        </w:tc>
        <w:tc>
          <w:tcPr>
            <w:tcW w:type="dxa" w:w="3384"/>
            <w:vAlign w:val="top"/>
            <w:shd w:fill="F5F7F9"/>
          </w:tcPr>
          <w:p>
            <w:pPr>
              <w:spacing w:after="40"/>
            </w:pPr>
            <w:r>
              <w:rPr>
                <w:rFonts w:ascii="Times New Roman" w:hAnsi="Times New Roman"/>
                <w:sz w:val="17"/>
              </w:rPr>
              <w:t>Forget loss/accuracy, prediction agreement</w:t>
            </w:r>
          </w:p>
        </w:tc>
        <w:tc>
          <w:tcPr>
            <w:tcW w:type="dxa" w:w="3600"/>
            <w:vAlign w:val="top"/>
            <w:shd w:fill="F5F7F9"/>
          </w:tcPr>
          <w:p>
            <w:pPr>
              <w:spacing w:after="40"/>
            </w:pPr>
            <w:r>
              <w:rPr>
                <w:rFonts w:ascii="Times New Roman" w:hAnsi="Times New Roman"/>
                <w:sz w:val="17"/>
              </w:rPr>
              <w:t>Wrong predictions are not automatically good unlearning.</w:t>
            </w:r>
          </w:p>
        </w:tc>
      </w:tr>
      <w:tr>
        <w:trPr>
          <w:cantSplit/>
        </w:trPr>
        <w:tc>
          <w:tcPr>
            <w:tcW w:type="dxa" w:w="2232"/>
            <w:vAlign w:val="top"/>
          </w:tcPr>
          <w:p>
            <w:pPr>
              <w:spacing w:after="40"/>
            </w:pPr>
            <w:r>
              <w:rPr>
                <w:rFonts w:ascii="Times New Roman" w:hAnsi="Times New Roman"/>
                <w:sz w:val="17"/>
              </w:rPr>
              <w:t>Are output distributions close?</w:t>
            </w:r>
          </w:p>
        </w:tc>
        <w:tc>
          <w:tcPr>
            <w:tcW w:type="dxa" w:w="3384"/>
            <w:vAlign w:val="top"/>
          </w:tcPr>
          <w:p>
            <w:pPr>
              <w:spacing w:after="40"/>
            </w:pPr>
            <w:r>
              <w:rPr>
                <w:rFonts w:ascii="Times New Roman" w:hAnsi="Times New Roman"/>
                <w:sz w:val="17"/>
              </w:rPr>
              <w:t>JS divergence, logit distance</w:t>
            </w:r>
          </w:p>
        </w:tc>
        <w:tc>
          <w:tcPr>
            <w:tcW w:type="dxa" w:w="3600"/>
            <w:vAlign w:val="top"/>
          </w:tcPr>
          <w:p>
            <w:pPr>
              <w:spacing w:after="40"/>
            </w:pPr>
            <w:r>
              <w:rPr>
                <w:rFonts w:ascii="Times New Roman" w:hAnsi="Times New Roman"/>
                <w:sz w:val="17"/>
              </w:rPr>
              <w:t>Account for stochastic retraining variation.</w:t>
            </w:r>
          </w:p>
        </w:tc>
      </w:tr>
      <w:tr>
        <w:trPr>
          <w:cantSplit/>
        </w:trPr>
        <w:tc>
          <w:tcPr>
            <w:tcW w:type="dxa" w:w="2232"/>
            <w:vAlign w:val="top"/>
            <w:shd w:fill="F5F7F9"/>
          </w:tcPr>
          <w:p>
            <w:pPr>
              <w:spacing w:after="40"/>
            </w:pPr>
            <w:r>
              <w:rPr>
                <w:rFonts w:ascii="Times New Roman" w:hAnsi="Times New Roman"/>
                <w:sz w:val="17"/>
              </w:rPr>
              <w:t>Can membership be inferred?</w:t>
            </w:r>
          </w:p>
        </w:tc>
        <w:tc>
          <w:tcPr>
            <w:tcW w:type="dxa" w:w="3384"/>
            <w:vAlign w:val="top"/>
            <w:shd w:fill="F5F7F9"/>
          </w:tcPr>
          <w:p>
            <w:pPr>
              <w:spacing w:after="40"/>
            </w:pPr>
            <w:r>
              <w:rPr>
                <w:rFonts w:ascii="Times New Roman" w:hAnsi="Times New Roman"/>
                <w:sz w:val="17"/>
              </w:rPr>
              <w:t xml:space="preserve">MIA ROC-AUC, attack accuracy and TPR at 1% FPR; population attack and RMIA</w:t>
            </w:r>
          </w:p>
        </w:tc>
        <w:tc>
          <w:tcPr>
            <w:tcW w:type="dxa" w:w="3600"/>
            <w:vAlign w:val="top"/>
            <w:shd w:fill="F5F7F9"/>
          </w:tcPr>
          <w:p>
            <w:pPr>
              <w:spacing w:after="40"/>
            </w:pPr>
            <w:r>
              <w:rPr>
                <w:rFonts w:ascii="Times New Roman" w:hAnsi="Times New Roman"/>
                <w:sz w:val="17"/>
              </w:rPr>
              <w:t xml:space="preserve">Read against the retrains' value, not 0.5: on atypical forget sets a retrain's own AUC is far from 0.5.</w:t>
            </w:r>
          </w:p>
        </w:tc>
      </w:tr>
      <w:tr>
        <w:trPr>
          <w:cantSplit/>
        </w:trPr>
        <w:tc>
          <w:tcPr>
            <w:tcW w:type="dxa" w:w="2232"/>
            <w:vAlign w:val="top"/>
          </w:tcPr>
          <w:p>
            <w:pPr>
              <w:spacing w:after="40"/>
            </w:pPr>
            <w:r>
              <w:rPr>
                <w:rFonts w:ascii="Times New Roman" w:hAnsi="Times New Roman"/>
                <w:sz w:val="17"/>
              </w:rPr>
              <w:t>Are internal representations retraining-like?</w:t>
            </w:r>
          </w:p>
        </w:tc>
        <w:tc>
          <w:tcPr>
            <w:tcW w:type="dxa" w:w="3384"/>
            <w:vAlign w:val="top"/>
          </w:tcPr>
          <w:p>
            <w:pPr>
              <w:spacing w:after="40"/>
            </w:pPr>
            <w:r>
              <w:rPr>
                <w:rFonts w:ascii="Times New Roman" w:hAnsi="Times New Roman"/>
                <w:sz w:val="17"/>
              </w:rPr>
              <w:t xml:space="preserve">Linear and RBF CKA by layer; CKA to the original</w:t>
            </w:r>
          </w:p>
        </w:tc>
        <w:tc>
          <w:tcPr>
            <w:tcW w:type="dxa" w:w="3600"/>
            <w:vAlign w:val="top"/>
          </w:tcPr>
          <w:p>
            <w:pPr>
              <w:spacing w:after="40"/>
            </w:pPr>
            <w:r>
              <w:rPr>
                <w:rFonts w:ascii="Times New Roman" w:hAnsi="Times New Roman"/>
                <w:sz w:val="17"/>
              </w:rPr>
              <w:t xml:space="preserve">Similarity is diagnostic, not direct privacy leakage. Raw activation distance is retired: it tracks shared initialisation.</w:t>
            </w:r>
          </w:p>
        </w:tc>
      </w:tr>
      <w:tr>
        <w:trPr>
          <w:cantSplit/>
        </w:trPr>
        <w:tc>
          <w:tcPr>
            <w:tcW w:type="dxa" w:w="2232"/>
            <w:vAlign w:val="top"/>
            <w:shd w:fill="F5F7F9"/>
          </w:tcPr>
          <w:p>
            <w:pPr>
              <w:spacing w:after="40"/>
            </w:pPr>
            <w:r>
              <w:rPr>
                <w:rFonts w:ascii="Times New Roman" w:hAnsi="Times New Roman"/>
                <w:sz w:val="17"/>
              </w:rPr>
              <w:t>Can forgotten behavior return quickly?</w:t>
            </w:r>
          </w:p>
        </w:tc>
        <w:tc>
          <w:tcPr>
            <w:tcW w:type="dxa" w:w="3384"/>
            <w:vAlign w:val="top"/>
            <w:shd w:fill="F5F7F9"/>
          </w:tcPr>
          <w:p>
            <w:pPr>
              <w:spacing w:after="40"/>
            </w:pPr>
            <w:r>
              <w:rPr>
                <w:rFonts w:ascii="Times New Roman" w:hAnsi="Times New Roman"/>
                <w:sz w:val="17"/>
              </w:rPr>
              <w:t xml:space="preserve">Relearning AUC, T80, normalised recovery</w:t>
            </w:r>
          </w:p>
        </w:tc>
        <w:tc>
          <w:tcPr>
            <w:tcW w:type="dxa" w:w="3600"/>
            <w:vAlign w:val="top"/>
            <w:shd w:fill="F5F7F9"/>
          </w:tcPr>
          <w:p>
            <w:pPr>
              <w:spacing w:after="40"/>
            </w:pPr>
            <w:r>
              <w:rPr>
                <w:rFonts w:ascii="Times New Roman" w:hAnsi="Times New Roman"/>
                <w:sz w:val="17"/>
              </w:rPr>
              <w:t xml:space="preserve">Use the identical protocol for Mu and Mr; AUC mostly repeats starting forget accuracy.</w:t>
            </w:r>
          </w:p>
        </w:tc>
      </w:tr>
      <w:tr>
        <w:trPr>
          <w:cantSplit/>
        </w:trPr>
        <w:tc>
          <w:tcPr>
            <w:tcW w:type="dxa" w:w="2232"/>
            <w:vAlign w:val="top"/>
          </w:tcPr>
          <w:p>
            <w:pPr>
              <w:spacing w:after="40"/>
            </w:pPr>
            <w:r>
              <w:rPr>
                <w:rFonts w:ascii="Times New Roman" w:hAnsi="Times New Roman"/>
                <w:sz w:val="17"/>
              </w:rPr>
              <w:t>Do audit families agree?</w:t>
            </w:r>
          </w:p>
        </w:tc>
        <w:tc>
          <w:tcPr>
            <w:tcW w:type="dxa" w:w="3384"/>
            <w:vAlign w:val="top"/>
          </w:tcPr>
          <w:p>
            <w:pPr>
              <w:spacing w:after="40"/>
            </w:pPr>
            <w:r>
              <w:rPr>
                <w:rFonts w:ascii="Times New Roman" w:hAnsi="Times New Roman"/>
                <w:sz w:val="17"/>
              </w:rPr>
              <w:t>Kendall tau, disagreement rate</w:t>
            </w:r>
          </w:p>
        </w:tc>
        <w:tc>
          <w:tcPr>
            <w:tcW w:type="dxa" w:w="3600"/>
            <w:vAlign w:val="top"/>
          </w:tcPr>
          <w:p>
            <w:pPr>
              <w:spacing w:after="40"/>
            </w:pPr>
            <w:r>
              <w:rPr>
                <w:rFonts w:ascii="Times New Roman" w:hAnsi="Times New Roman"/>
                <w:sz w:val="17"/>
              </w:rPr>
              <w:t>Define metric direction and thresholds before analysis.</w:t>
            </w:r>
          </w:p>
        </w:tc>
      </w:tr>
      <w:tr>
        <w:trPr>
          <w:cantSplit/>
        </w:trPr>
        <w:tc>
          <w:tcPr>
            <w:tcW w:type="dxa" w:w="2232"/>
            <w:vAlign w:val="top"/>
            <w:shd w:fill="F5F7F9"/>
          </w:tcPr>
          <w:p>
            <w:pPr>
              <w:spacing w:after="40"/>
            </w:pPr>
            <w:r>
              <w:rPr>
                <w:rFonts w:ascii="Times New Roman" w:hAnsi="Times New Roman"/>
                <w:sz w:val="17"/>
              </w:rPr>
              <w:t>Is the metric informative?</w:t>
            </w:r>
          </w:p>
        </w:tc>
        <w:tc>
          <w:tcPr>
            <w:tcW w:type="dxa" w:w="3384"/>
            <w:vAlign w:val="top"/>
            <w:shd w:fill="F5F7F9"/>
          </w:tcPr>
          <w:p>
            <w:pPr>
              <w:spacing w:after="40"/>
            </w:pPr>
            <w:r>
              <w:rPr>
                <w:rFonts w:ascii="Times New Roman" w:hAnsi="Times New Roman"/>
                <w:sz w:val="17"/>
              </w:rPr>
              <w:t>Original-vs-retrained discriminability</w:t>
            </w:r>
          </w:p>
        </w:tc>
        <w:tc>
          <w:tcPr>
            <w:tcW w:type="dxa" w:w="3600"/>
            <w:vAlign w:val="top"/>
            <w:shd w:fill="F5F7F9"/>
          </w:tcPr>
          <w:p>
            <w:pPr>
              <w:spacing w:after="40"/>
            </w:pPr>
            <w:r>
              <w:rPr>
                <w:rFonts w:ascii="Times New Roman" w:hAnsi="Times New Roman"/>
                <w:sz w:val="17"/>
              </w:rPr>
              <w:t>Flag near-zero reference gap instead of forcing a score.</w:t>
            </w:r>
          </w:p>
        </w:tc>
      </w:tr>
      <w:tr>
        <w:trPr>
          <w:cantSplit/>
        </w:trPr>
        <w:tc>
          <w:tcPr>
            <w:tcW w:type="dxa" w:w="2232"/>
            <w:vAlign w:val="top"/>
          </w:tcPr>
          <w:p>
            <w:pPr>
              <w:spacing w:after="40"/>
            </w:pPr>
            <w:r>
              <w:rPr>
                <w:rFonts w:ascii="Times New Roman" w:hAnsi="Times New Roman"/>
                <w:sz w:val="17"/>
              </w:rPr>
              <w:t>Does this audit ever flag a genuine retrained model?</w:t>
            </w:r>
          </w:p>
        </w:tc>
        <w:tc>
          <w:tcPr>
            <w:tcW w:type="dxa" w:w="3384"/>
            <w:vAlign w:val="top"/>
          </w:tcPr>
          <w:p>
            <w:pPr>
              <w:spacing w:after="40"/>
            </w:pPr>
            <w:r>
              <w:rPr>
                <w:rFonts w:ascii="Times New Roman" w:hAnsi="Times New Roman"/>
                <w:sz w:val="17"/>
              </w:rPr>
              <w:t xml:space="preserve">Oracle false-positive rate over all retrains (leave-one-out)</w:t>
            </w:r>
          </w:p>
        </w:tc>
        <w:tc>
          <w:tcPr>
            <w:tcW w:type="dxa" w:w="3600"/>
            <w:vAlign w:val="top"/>
          </w:tcPr>
          <w:p>
            <w:pPr>
              <w:spacing w:after="40"/>
            </w:pPr>
            <w:r>
              <w:rPr>
                <w:rFonts w:ascii="Times New Roman" w:hAnsi="Times New Roman"/>
                <w:sz w:val="17"/>
              </w:rPr>
              <w:t>An audit that fails a true retrain is broken, not strict.</w:t>
            </w:r>
          </w:p>
        </w:tc>
      </w:tr>
      <w:tr>
        <w:trPr>
          <w:cantSplit/>
        </w:trPr>
        <w:tc>
          <w:tcPr>
            <w:tcW w:type="dxa" w:w="2232"/>
            <w:vAlign w:val="top"/>
            <w:shd w:fill="F5F7F9"/>
          </w:tcPr>
          <w:p>
            <w:pPr>
              <w:spacing w:after="40"/>
            </w:pPr>
            <w:r>
              <w:rPr>
                <w:rFonts w:ascii="Times New Roman" w:hAnsi="Times New Roman"/>
                <w:sz w:val="17"/>
              </w:rPr>
              <w:t>Is this audit right, not just different?</w:t>
            </w:r>
          </w:p>
        </w:tc>
        <w:tc>
          <w:tcPr>
            <w:tcW w:type="dxa" w:w="3384"/>
            <w:vAlign w:val="top"/>
            <w:shd w:fill="F5F7F9"/>
          </w:tcPr>
          <w:p>
            <w:pPr>
              <w:spacing w:after="40"/>
            </w:pPr>
            <w:r>
              <w:rPr>
                <w:rFonts w:ascii="Times New Roman" w:hAnsi="Times New Roman"/>
                <w:sz w:val="17"/>
              </w:rPr>
              <w:t xml:space="preserve">Canary balanced accuracy against canary_top_wrong</w:t>
            </w:r>
          </w:p>
        </w:tc>
        <w:tc>
          <w:tcPr>
            <w:tcW w:type="dxa" w:w="3600"/>
            <w:vAlign w:val="top"/>
            <w:shd w:fill="F5F7F9"/>
          </w:tcPr>
          <w:p>
            <w:pPr>
              <w:spacing w:after="40"/>
            </w:pPr>
            <w:r>
              <w:rPr>
                <w:rFonts w:ascii="Times New Roman" w:hAnsi="Times New Roman"/>
                <w:sz w:val="17"/>
              </w:rPr>
              <w:t xml:space="preserve">Only valid where residual influence is known by construction; read with the utility guard.</w:t>
            </w:r>
          </w:p>
        </w:tc>
      </w:tr>
      <w:tr>
        <w:trPr>
          <w:cantSplit/>
        </w:trPr>
        <w:tc>
          <w:tcPr>
            <w:tcW w:type="dxa" w:w="2232"/>
            <w:vAlign w:val="top"/>
          </w:tcPr>
          <w:p>
            <w:pPr>
              <w:spacing w:after="40"/>
            </w:pPr>
            <w:r>
              <w:rPr>
                <w:rFonts w:ascii="Times New Roman" w:hAnsi="Times New Roman"/>
                <w:sz w:val="17"/>
              </w:rPr>
              <w:t>Do two privacy attacks of different strength agree?</w:t>
            </w:r>
          </w:p>
        </w:tc>
        <w:tc>
          <w:tcPr>
            <w:tcW w:type="dxa" w:w="3384"/>
            <w:vAlign w:val="top"/>
          </w:tcPr>
          <w:p>
            <w:pPr>
              <w:spacing w:after="40"/>
            </w:pPr>
            <w:r>
              <w:rPr>
                <w:rFonts w:ascii="Times New Roman" w:hAnsi="Times New Roman"/>
                <w:sz w:val="17"/>
              </w:rPr>
              <w:t>Population attack vs per-example attack (RMIA)</w:t>
            </w:r>
          </w:p>
        </w:tc>
        <w:tc>
          <w:tcPr>
            <w:tcW w:type="dxa" w:w="3600"/>
            <w:vAlign w:val="top"/>
          </w:tcPr>
          <w:p>
            <w:pPr>
              <w:spacing w:after="40"/>
            </w:pPr>
            <w:r>
              <w:rPr>
                <w:rFonts w:ascii="Times New Roman" w:hAnsi="Times New Roman"/>
                <w:sz w:val="17"/>
              </w:rPr>
              <w:t>A population attack systematically overstates privacy [21].</w:t>
            </w:r>
          </w:p>
        </w:tc>
      </w:tr>
      <w:tr>
        <w:trPr>
          <w:cantSplit/>
        </w:trPr>
        <w:tc>
          <w:tcPr>
            <w:tcW w:type="dxa" w:w="2232"/>
            <w:vAlign w:val="top"/>
            <w:shd w:fill="F5F7F9"/>
          </w:tcPr>
          <w:p>
            <w:pPr>
              <w:spacing w:after="40"/>
            </w:pPr>
            <w:r>
              <w:rPr>
                <w:rFonts w:ascii="Times New Roman" w:hAnsi="Times New Roman"/>
                <w:sz w:val="17"/>
              </w:rPr>
              <w:t xml:space="preserve">Does the model still prefer the planted canary label?</w:t>
            </w:r>
          </w:p>
        </w:tc>
        <w:tc>
          <w:tcPr>
            <w:tcW w:type="dxa" w:w="3384"/>
            <w:vAlign w:val="top"/>
            <w:shd w:fill="F5F7F9"/>
          </w:tcPr>
          <w:p>
            <w:pPr>
              <w:spacing w:after="40"/>
            </w:pPr>
            <w:r>
              <w:rPr>
                <w:rFonts w:ascii="Times New Roman" w:hAnsi="Times New Roman"/>
                <w:sz w:val="17"/>
              </w:rPr>
              <w:t xml:space="preserve">canary_top_wrong: among the nine wrong labels, how often the planted one is the model's favourite</w:t>
            </w:r>
          </w:p>
        </w:tc>
        <w:tc>
          <w:tcPr>
            <w:tcW w:type="dxa" w:w="3600"/>
            <w:vAlign w:val="top"/>
            <w:shd w:fill="F5F7F9"/>
          </w:tcPr>
          <w:p>
            <w:pPr>
              <w:spacing w:after="40"/>
            </w:pPr>
            <w:r>
              <w:rPr>
                <w:rFonts w:ascii="Times New Roman" w:hAnsi="Times New Roman"/>
                <w:sz w:val="17"/>
              </w:rPr>
              <w:t xml:space="preserve">Retrains score about 1 in 9 (0.128); M0 scores 0.710. canary_acc and canary_prob mis-score a destroyed model.</w:t>
            </w:r>
          </w:p>
        </w:tc>
      </w:tr>
      <w:tr>
        <w:trPr>
          <w:cantSplit/>
        </w:trPr>
        <w:tc>
          <w:tcPr>
            <w:tcW w:type="dxa" w:w="2232"/>
            <w:vAlign w:val="top"/>
          </w:tcPr>
          <w:p>
            <w:pPr>
              <w:spacing w:after="40"/>
            </w:pPr>
            <w:r>
              <w:rPr>
                <w:rFonts w:ascii="Times New Roman" w:hAnsi="Times New Roman"/>
                <w:sz w:val="17"/>
              </w:rPr>
              <w:t xml:space="preserve">Is the model merely damaged?</w:t>
            </w:r>
          </w:p>
        </w:tc>
        <w:tc>
          <w:tcPr>
            <w:tcW w:type="dxa" w:w="3384"/>
            <w:vAlign w:val="top"/>
          </w:tcPr>
          <w:p>
            <w:pPr>
              <w:spacing w:after="40"/>
            </w:pPr>
            <w:r>
              <w:rPr>
                <w:rFonts w:ascii="Times New Roman" w:hAnsi="Times New Roman"/>
                <w:sz w:val="17"/>
              </w:rPr>
              <w:t xml:space="preserve">Test accuracy against the retrains (the utility guard, 5 points)</w:t>
            </w:r>
          </w:p>
        </w:tc>
        <w:tc>
          <w:tcPr>
            <w:tcW w:type="dxa" w:w="3600"/>
            <w:vAlign w:val="top"/>
          </w:tcPr>
          <w:p>
            <w:pPr>
              <w:spacing w:after="40"/>
            </w:pPr>
            <w:r>
              <w:rPr>
                <w:rFonts w:ascii="Times New Roman" w:hAnsi="Times New Roman"/>
                <w:sz w:val="17"/>
              </w:rPr>
              <w:t xml:space="preserve">A damaged model is also unlike a retrain; a flag on it is read as damage, not memory.</w:t>
            </w:r>
          </w:p>
        </w:tc>
      </w:tr>
    </w:tbl>
    <w:p>
      <w:pPr>
        <w:spacing w:after="20"/>
      </w:pPr>
    </w:p>
    <w:tbl>
      <w:tblPr>
        <w:tblStyle w:val="TableGrid"/>
        <w:tblW w:type="auto" w:w="0"/>
        <w:jc w:val="center"/>
        <w:tblLook w:firstColumn="1" w:firstRow="1" w:lastColumn="0" w:lastRow="0" w:noHBand="0" w:noVBand="1" w:val="04A0"/>
      </w:tblPr>
      <w:tblGrid>
        <w:gridCol w:w="9242"/>
      </w:tblGrid>
      <w:tr>
        <w:trPr>
          <w:cantSplit/>
        </w:trPr>
        <w:tc>
          <w:tcPr>
            <w:tcW w:type="dxa" w:w="9242"/>
            <w:shd w:fill="DDE1F6"/>
          </w:tcPr>
          <w:p>
            <w:pPr>
              <w:spacing w:after="60"/>
            </w:pPr>
            <w:r>
              <w:rPr>
                <w:b/>
                <w:color w:val="17324D"/>
                <w:sz w:val="23"/>
              </w:rPr>
              <w:t>Project-wide final reference sentence</w:t>
            </w:r>
          </w:p>
          <w:p>
            <w:pPr>
              <w:spacing w:after="20"/>
            </w:pPr>
            <w:r>
              <w:rPr>
                <w:sz w:val="21"/>
              </w:rPr>
              <w:t>ForgetCheck does not attempt to prove absolute erasure. It asks whether different empirical audits provide consistent evidence that an approximate unlearned model behaves like a model retrained without the forgotten data, which of those audits can be trusted when they disagree, and whether both answers remain stable as deletion requests become harder.</w:t>
            </w:r>
          </w:p>
        </w:tc>
      </w:tr>
    </w:tbl>
    <w:p>
      <w:pPr>
        <w:spacing w:after="20"/>
      </w:pPr>
    </w:p>
    <w:sectPr w:rsidR="00FC693F" w:rsidRPr="0006063C" w:rsidSect="00034616">
      <w:headerReference w:type="default" r:id="rId9"/>
      <w:footerReference w:type="default" r:id="rId10"/>
      <w:pgSz w:w="11906" w:h="16838"/>
      <w:pgMar w:top="1276"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76571"/>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76571"/>
        <w:sz w:val="17"/>
      </w:rPr>
      <w:t>ForgetCheck — Master Project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324A89"/>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2973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80"/>
    </w:pPr>
    <w:rPr>
      <w:rFonts w:ascii="Times New Roman" w:hAnsi="Times New Roman"/>
      <w:b/>
      <w:color w:val="17324D"/>
      <w:sz w:val="22"/>
    </w:rPr>
  </w:style>
  <w:style w:type="paragraph" w:customStyle="1" w:styleId="KeyPoint">
    <w:name w:val="KeyPoint"/>
    <w:pPr>
      <w:spacing w:before="80" w:after="80"/>
    </w:pPr>
    <w:rPr>
      <w:rFonts w:ascii="Times New Roman" w:hAnsi="Times New Roman"/>
      <w:b/>
      <w:color w:val="29738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proceedings.mlr.press/v119/guo20c.html" TargetMode="External"/><Relationship Id="rId14" Type="http://schemas.openxmlformats.org/officeDocument/2006/relationships/hyperlink" Target="https://doi.org/10.1109/SP40001.2021.00019" TargetMode="External"/><Relationship Id="rId15" Type="http://schemas.openxmlformats.org/officeDocument/2006/relationships/hyperlink" Target="https://ojs.aaai.org/index.php/AAAI/article/view/25879" TargetMode="External"/><Relationship Id="rId16" Type="http://schemas.openxmlformats.org/officeDocument/2006/relationships/hyperlink" Target="https://papers.nips.cc/paper_files/paper/2023/hash/062d711fb777322e2152435459e6e9d9-Abstract-Conference.html" TargetMode="External"/><Relationship Id="rId17" Type="http://schemas.openxmlformats.org/officeDocument/2006/relationships/hyperlink" Target="https://papers.nips.cc/paper_files/paper/2023/hash/a204aa68ab4e970e1ceccfb5b5cdc5e4-Abstract-Conference.html" TargetMode="External"/><Relationship Id="rId18" Type="http://schemas.openxmlformats.org/officeDocument/2006/relationships/hyperlink" Target="https://ojs.aaai.org/index.php/AAAI/article/view/29092" TargetMode="External"/><Relationship Id="rId19" Type="http://schemas.openxmlformats.org/officeDocument/2006/relationships/hyperlink" Target="https://aclanthology.org/2024.findings-emnlp.271/" TargetMode="External"/><Relationship Id="rId20" Type="http://schemas.openxmlformats.org/officeDocument/2006/relationships/hyperlink" Target="https://papers.neurips.cc/paper_files/paper/2024/hash/16e18fa3b3add076c30f2a2598f03031-Abstract-Conference.html" TargetMode="External"/><Relationship Id="rId21" Type="http://schemas.openxmlformats.org/officeDocument/2006/relationships/hyperlink" Target="https://openreview.net/forum?id=B41hNBoWLo" TargetMode="External"/><Relationship Id="rId22" Type="http://schemas.openxmlformats.org/officeDocument/2006/relationships/hyperlink" Target="https://aclanthology.org/2024.findings-emnlp.706/" TargetMode="External"/><Relationship Id="rId23" Type="http://schemas.openxmlformats.org/officeDocument/2006/relationships/hyperlink" Target="https://proceedings.iclr.cc/paper_files/paper/2025/hash/4556f5398bd2c61bd7500e306b4e560a-Abstract-Conference.html" TargetMode="External"/><Relationship Id="rId24" Type="http://schemas.openxmlformats.org/officeDocument/2006/relationships/hyperlink" Target="https://doi.org/10.1038/s42256-025-00985-0" TargetMode="External"/><Relationship Id="rId25" Type="http://schemas.openxmlformats.org/officeDocument/2006/relationships/hyperlink" Target="https://openreview.net/forum?id=E5SVowO13b" TargetMode="External"/><Relationship Id="rId26" Type="http://schemas.openxmlformats.org/officeDocument/2006/relationships/hyperlink" Target="https://arxiv.org/abs/2601.19755" TargetMode="External"/><Relationship Id="rId27" Type="http://schemas.openxmlformats.org/officeDocument/2006/relationships/hyperlink" Target="https://research.google/blog/new-framework-for-auditing-machine-unlearning/" TargetMode="External"/><Relationship Id="rId28" Type="http://schemas.openxmlformats.org/officeDocument/2006/relationships/hyperlink" Target="https://arxiv.org/abs/2606.16110" TargetMode="External"/><Relationship Id="rId29" Type="http://schemas.openxmlformats.org/officeDocument/2006/relationships/hyperlink" Target="https://neurips.cc/virtual/2023/competition/66581" TargetMode="External"/><Relationship Id="rId30" Type="http://schemas.openxmlformats.org/officeDocument/2006/relationships/hyperlink" Target="https://doi.org/10.1145/3749987" TargetMode="External"/><Relationship Id="rId31" Type="http://schemas.openxmlformats.org/officeDocument/2006/relationships/hyperlink" Target="https://github.com/unlearning-challenge/starting-kit" TargetMode="External"/><Relationship Id="rId32" Type="http://schemas.openxmlformats.org/officeDocument/2006/relationships/hyperlink" Target="https://github.com/meghdadk/SCRUB" TargetMode="External"/><Relationship Id="rId33" Type="http://schemas.openxmlformats.org/officeDocument/2006/relationships/hyperlink" Target="https://github.com/kairanzhao/RUM" TargetMode="External"/><Relationship Id="rId34" Type="http://schemas.openxmlformats.org/officeDocument/2006/relationships/hyperlink" Target="https://github.com/if-loops/selective-synaptic-dampening" TargetMode="External"/><Relationship Id="rId35" Type="http://schemas.openxmlformats.org/officeDocument/2006/relationships/hyperlink" Target="https://locuslab.github.io/tofu/" TargetMode="External"/><Relationship Id="rId36" Type="http://schemas.openxmlformats.org/officeDocument/2006/relationships/hyperlink" Target="https://arxiv.org/abs/2603.00587" TargetMode="External"/><Relationship Id="rId37" Type="http://schemas.openxmlformats.org/officeDocument/2006/relationships/hyperlink" Target="https://proceedings.mlr.press/v97/kornblith19a.html" TargetMode="External"/><Relationship Id="rId38" Type="http://schemas.openxmlformats.org/officeDocument/2006/relationships/hyperlink" Target="https://arxiv.org/abs/2008.037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ForgetCheck: Master Project Details and Architecture Reference</dc:title>
  <dc:subject>Machine Unlearning Undergraduate Research Project</dc:subject>
  <dc:creator>python-docx</dc:creator>
  <cp:keywords>machine unlearning, audit disagreement, reversibility, SCRUB, SSD, membership inference, CKA, CIFAR-10</cp:keywords>
  <dc:description>Master project reference version 1.0</dc:description>
  <cp:lastModifiedBy/>
  <cp:revision>1</cp:revision>
  <dcterms:created xsi:type="dcterms:W3CDTF">2013-12-23T23:15:00Z</dcterms:created>
  <dcterms:modified xsi:type="dcterms:W3CDTF">2013-12-23T23:15:00Z</dcterms:modified>
  <cp:category/>
</cp:coreProperties>
</file>