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17324D"/>
          <w:sz w:val="60"/>
        </w:rPr>
        <w:t>FORGETCHECK</w:t>
      </w:r>
    </w:p>
    <w:p>
      <w:pPr>
        <w:jc w:val="center"/>
      </w:pPr>
      <w:r>
        <w:rPr>
          <w:rFonts w:ascii="Times New Roman" w:hAnsi="Times New Roman"/>
          <w:b/>
          <w:color w:val="324A89"/>
          <w:sz w:val="36"/>
        </w:rPr>
        <w:t>A Retraining-Grounded Study of Audit Disagreement and Reversibility</w:t>
        <w:br/>
        <w:t>in Approximate Machine Unlearning</w:t>
      </w:r>
    </w:p>
    <w:p>
      <w:pPr>
        <w:spacing w:before="440"/>
        <w:jc w:val="center"/>
      </w:pPr>
      <w:r>
        <w:rPr>
          <w:b/>
          <w:color w:val="297380"/>
          <w:sz w:val="26"/>
        </w:rPr>
        <w:t>MASTER PROJECT DETAILS &amp; ARCHITECTURE REFERENCE</w:t>
      </w:r>
    </w:p>
    <w:p>
      <w:pPr>
        <w:spacing w:before="360"/>
        <w:jc w:val="center"/>
      </w:pPr>
      <w:r>
        <w:rPr>
          <w:i/>
        </w:rPr>
        <w:t>Domain: Trustworthy AI / Machine Learning Privacy / Deep Learning / AI Security</w:t>
      </w:r>
    </w:p>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304"/>
            <w:shd w:fill="17324D"/>
            <w:vAlign w:val="center"/>
          </w:tcPr>
          <w:p>
            <w:r>
              <w:rPr>
                <w:rFonts w:ascii="Times New Roman" w:hAnsi="Times New Roman"/>
                <w:b/>
                <w:color w:val="FFFFFF"/>
                <w:sz w:val="19"/>
              </w:rPr>
              <w:t>Document Field</w:t>
            </w:r>
          </w:p>
        </w:tc>
        <w:tc>
          <w:tcPr>
            <w:tcW w:type="dxa" w:w="6912"/>
            <w:shd w:fill="17324D"/>
            <w:vAlign w:val="center"/>
          </w:tcPr>
          <w:p>
            <w:r>
              <w:rPr>
                <w:rFonts w:ascii="Times New Roman" w:hAnsi="Times New Roman"/>
                <w:b/>
                <w:color w:val="FFFFFF"/>
                <w:sz w:val="19"/>
              </w:rPr>
              <w:t>Value</w:t>
            </w:r>
          </w:p>
        </w:tc>
      </w:tr>
      <w:tr>
        <w:trPr>
          <w:cantSplit/>
        </w:trPr>
        <w:tc>
          <w:tcPr>
            <w:tcW w:type="dxa" w:w="2304"/>
            <w:vAlign w:val="top"/>
          </w:tcPr>
          <w:p>
            <w:pPr>
              <w:spacing w:after="40"/>
            </w:pPr>
            <w:r>
              <w:rPr>
                <w:rFonts w:ascii="Times New Roman" w:hAnsi="Times New Roman"/>
                <w:sz w:val="19"/>
              </w:rPr>
              <w:t>Status</w:t>
            </w:r>
          </w:p>
        </w:tc>
        <w:tc>
          <w:tcPr>
            <w:tcW w:type="dxa" w:w="6912"/>
            <w:vAlign w:val="top"/>
          </w:tcPr>
          <w:p>
            <w:pPr>
              <w:spacing w:after="40"/>
            </w:pPr>
            <w:r>
              <w:rPr>
                <w:rFonts w:ascii="Times New Roman" w:hAnsi="Times New Roman"/>
                <w:sz w:val="19"/>
              </w:rPr>
              <w:t>Working Master Reference — use as the canonical project description unless the mentor approves a change</w:t>
            </w:r>
          </w:p>
        </w:tc>
      </w:tr>
      <w:tr>
        <w:trPr>
          <w:cantSplit/>
        </w:trPr>
        <w:tc>
          <w:tcPr>
            <w:tcW w:type="dxa" w:w="2304"/>
            <w:vAlign w:val="top"/>
            <w:shd w:fill="F5F7F9"/>
          </w:tcPr>
          <w:p>
            <w:pPr>
              <w:spacing w:after="40"/>
            </w:pPr>
            <w:r>
              <w:rPr>
                <w:rFonts w:ascii="Times New Roman" w:hAnsi="Times New Roman"/>
                <w:sz w:val="19"/>
              </w:rPr>
              <w:t>Version</w:t>
            </w:r>
          </w:p>
        </w:tc>
        <w:tc>
          <w:tcPr>
            <w:tcW w:type="dxa" w:w="6912"/>
            <w:vAlign w:val="top"/>
            <w:shd w:fill="F5F7F9"/>
          </w:tcPr>
          <w:p>
            <w:pPr>
              <w:spacing w:after="40"/>
            </w:pPr>
            <w:r>
              <w:rPr>
                <w:rFonts w:ascii="Times New Roman" w:hAnsi="Times New Roman"/>
                <w:sz w:val="19"/>
              </w:rPr>
              <w:t>2.0</w:t>
            </w:r>
          </w:p>
        </w:tc>
      </w:tr>
      <w:tr>
        <w:trPr>
          <w:cantSplit/>
        </w:trPr>
        <w:tc>
          <w:tcPr>
            <w:tcW w:type="dxa" w:w="2304"/>
            <w:vAlign w:val="top"/>
          </w:tcPr>
          <w:p>
            <w:pPr>
              <w:spacing w:after="40"/>
            </w:pPr>
            <w:r>
              <w:rPr>
                <w:rFonts w:ascii="Times New Roman" w:hAnsi="Times New Roman"/>
                <w:sz w:val="19"/>
              </w:rPr>
              <w:t>Research position frozen as of</w:t>
            </w:r>
          </w:p>
        </w:tc>
        <w:tc>
          <w:tcPr>
            <w:tcW w:type="dxa" w:w="6912"/>
            <w:vAlign w:val="top"/>
          </w:tcPr>
          <w:p>
            <w:pPr>
              <w:spacing w:after="40"/>
            </w:pPr>
            <w:r>
              <w:rPr>
                <w:rFonts w:ascii="Times New Roman" w:hAnsi="Times New Roman"/>
                <w:sz w:val="19"/>
              </w:rPr>
              <w:t>7 August 2026 (v1.0); repositioned 25 August 2026 (v2.0) — see Changelog</w:t>
            </w:r>
          </w:p>
        </w:tc>
      </w:tr>
      <w:tr>
        <w:trPr>
          <w:cantSplit/>
        </w:trPr>
        <w:tc>
          <w:tcPr>
            <w:tcW w:type="dxa" w:w="2304"/>
            <w:vAlign w:val="top"/>
            <w:shd w:fill="F5F7F9"/>
          </w:tcPr>
          <w:p>
            <w:pPr>
              <w:spacing w:after="40"/>
            </w:pPr>
            <w:r>
              <w:rPr>
                <w:rFonts w:ascii="Times New Roman" w:hAnsi="Times New Roman"/>
                <w:sz w:val="19"/>
              </w:rPr>
              <w:t>Primary benchmark</w:t>
            </w:r>
          </w:p>
        </w:tc>
        <w:tc>
          <w:tcPr>
            <w:tcW w:type="dxa" w:w="6912"/>
            <w:vAlign w:val="top"/>
            <w:shd w:fill="F5F7F9"/>
          </w:tcPr>
          <w:p>
            <w:pPr>
              <w:spacing w:after="40"/>
            </w:pPr>
            <w:r>
              <w:rPr>
                <w:rFonts w:ascii="Times New Roman" w:hAnsi="Times New Roman"/>
                <w:sz w:val="19"/>
              </w:rPr>
              <w:t>CIFAR-10</w:t>
            </w:r>
          </w:p>
        </w:tc>
      </w:tr>
      <w:tr>
        <w:trPr>
          <w:cantSplit/>
        </w:trPr>
        <w:tc>
          <w:tcPr>
            <w:tcW w:type="dxa" w:w="2304"/>
            <w:vAlign w:val="top"/>
          </w:tcPr>
          <w:p>
            <w:pPr>
              <w:spacing w:after="40"/>
            </w:pPr>
            <w:r>
              <w:rPr>
                <w:rFonts w:ascii="Times New Roman" w:hAnsi="Times New Roman"/>
                <w:sz w:val="19"/>
              </w:rPr>
              <w:t>Primary model</w:t>
            </w:r>
          </w:p>
        </w:tc>
        <w:tc>
          <w:tcPr>
            <w:tcW w:type="dxa" w:w="6912"/>
            <w:vAlign w:val="top"/>
          </w:tcPr>
          <w:p>
            <w:pPr>
              <w:spacing w:after="40"/>
            </w:pPr>
            <w:r>
              <w:rPr>
                <w:rFonts w:ascii="Times New Roman" w:hAnsi="Times New Roman"/>
                <w:sz w:val="19"/>
              </w:rPr>
              <w:t>ResNet-18</w:t>
            </w:r>
          </w:p>
        </w:tc>
      </w:tr>
      <w:tr>
        <w:trPr>
          <w:cantSplit/>
        </w:trPr>
        <w:tc>
          <w:tcPr>
            <w:tcW w:type="dxa" w:w="2304"/>
            <w:vAlign w:val="top"/>
            <w:shd w:fill="F5F7F9"/>
          </w:tcPr>
          <w:p>
            <w:pPr>
              <w:spacing w:after="40"/>
            </w:pPr>
            <w:r>
              <w:rPr>
                <w:rFonts w:ascii="Times New Roman" w:hAnsi="Times New Roman"/>
                <w:sz w:val="19"/>
              </w:rPr>
              <w:t>Core unlearning methods</w:t>
            </w:r>
          </w:p>
        </w:tc>
        <w:tc>
          <w:tcPr>
            <w:tcW w:type="dxa" w:w="6912"/>
            <w:vAlign w:val="top"/>
            <w:shd w:fill="F5F7F9"/>
          </w:tcPr>
          <w:p>
            <w:pPr>
              <w:spacing w:after="40"/>
            </w:pPr>
            <w:r>
              <w:rPr>
                <w:rFonts w:ascii="Times New Roman" w:hAnsi="Times New Roman"/>
                <w:sz w:val="19"/>
              </w:rPr>
              <w:t>Fine-tuning, NegGrad+, NegGrad (destructive control), SCRUB, SalUn, L1-sparse</w:t>
            </w:r>
          </w:p>
        </w:tc>
      </w:tr>
      <w:tr>
        <w:trPr>
          <w:cantSplit/>
        </w:trPr>
        <w:tc>
          <w:tcPr>
            <w:tcW w:type="dxa" w:w="2304"/>
            <w:vAlign w:val="top"/>
          </w:tcPr>
          <w:p>
            <w:pPr>
              <w:spacing w:after="40"/>
            </w:pPr>
            <w:r>
              <w:rPr>
                <w:rFonts w:ascii="Times New Roman" w:hAnsi="Times New Roman"/>
                <w:sz w:val="19"/>
              </w:rPr>
              <w:t>Core audit families</w:t>
            </w:r>
          </w:p>
        </w:tc>
        <w:tc>
          <w:tcPr>
            <w:tcW w:type="dxa" w:w="6912"/>
            <w:vAlign w:val="top"/>
          </w:tcPr>
          <w:p>
            <w:pPr>
              <w:spacing w:after="40"/>
            </w:pPr>
            <w:r>
              <w:rPr>
                <w:rFonts w:ascii="Times New Roman" w:hAnsi="Times New Roman"/>
                <w:sz w:val="19"/>
              </w:rPr>
              <w:t>Behavioral, Privacy (two attack strengths), Representation, Relearning / Reversibility</w:t>
            </w:r>
          </w:p>
        </w:tc>
      </w:tr>
      <w:tr>
        <w:trPr>
          <w:cantSplit/>
        </w:trPr>
        <w:tc>
          <w:tcPr>
            <w:tcW w:type="dxa" w:w="2304"/>
            <w:vAlign w:val="top"/>
            <w:shd w:fill="F5F7F9"/>
          </w:tcPr>
          <w:p>
            <w:pPr>
              <w:spacing w:after="40"/>
            </w:pPr>
            <w:r>
              <w:rPr>
                <w:rFonts w:ascii="Times New Roman" w:hAnsi="Times New Roman"/>
                <w:sz w:val="19"/>
              </w:rPr>
              <w:t>Primary contribution</w:t>
            </w:r>
          </w:p>
        </w:tc>
        <w:tc>
          <w:tcPr>
            <w:tcW w:type="dxa" w:w="6912"/>
            <w:vAlign w:val="top"/>
            <w:shd w:fill="F5F7F9"/>
          </w:tcPr>
          <w:p>
            <w:pPr>
              <w:spacing w:after="40"/>
            </w:pPr>
            <w:r>
              <w:rPr>
                <w:rFonts w:ascii="Times New Roman" w:hAnsi="Times New Roman"/>
                <w:sz w:val="19"/>
              </w:rPr>
              <w:t>Reversibility-inclusive, difficulty-stratified, oracle-calibrated cross-audit analysis</w:t>
            </w:r>
          </w:p>
        </w:tc>
      </w:tr>
      <w:tr>
        <w:trPr>
          <w:cantSplit/>
        </w:trPr>
        <w:tc>
          <w:tcPr>
            <w:tcW w:type="dxa" w:w="2304"/>
            <w:vAlign w:val="top"/>
            <w:shd w:fill="F5F7F9"/>
          </w:tcPr>
          <w:p>
            <w:pPr>
              <w:spacing w:after="40"/>
            </w:pPr>
            <w:r>
              <w:rPr>
                <w:rFonts w:ascii="Times New Roman" w:hAnsi="Times New Roman"/>
                <w:sz w:val="19"/>
              </w:rPr>
              <w:t>Problem formulation</w:t>
            </w:r>
          </w:p>
        </w:tc>
        <w:tc>
          <w:tcPr>
            <w:tcW w:type="dxa" w:w="6912"/>
            <w:vAlign w:val="top"/>
            <w:shd w:fill="F5F7F9"/>
          </w:tcPr>
          <w:p>
            <w:pPr>
              <w:spacing w:after="40"/>
            </w:pPr>
            <w:r>
              <w:rPr>
                <w:rFonts w:ascii="Times New Roman" w:hAnsi="Times New Roman"/>
                <w:sz w:val="19"/>
              </w:rPr>
              <w:t>Untraining (instance-level influence removal), per Triantafillou et al., 2026 [19]</w:t>
            </w:r>
          </w:p>
        </w:tc>
      </w:tr>
    </w:tbl>
    <w:p>
      <w:pPr>
        <w:spacing w:after="20"/>
      </w:pPr>
    </w:p>
    <w:p>
      <w:pPr>
        <w:spacing w:before="240"/>
        <w:jc w:val="center"/>
      </w:pPr>
      <w:r>
        <w:rPr>
          <w:i/>
          <w:color w:val="576571"/>
        </w:rPr>
        <w:t>Prepared as a project-wide reference for synopsis, implementation, progress reviews, final report, IEEE paper and presentation.</w:t>
      </w:r>
    </w:p>
    <w:p>
      <w:r>
        <w:br w:type="page"/>
      </w:r>
    </w:p>
    <w:p>
      <w:pPr>
        <w:pStyle w:val="Heading1"/>
        <w:keepNext/>
      </w:pPr>
      <w:r>
        <w:t>How to Use This Document</w:t>
      </w:r>
    </w:p>
    <w:p>
      <w:pPr>
        <w:spacing w:after="120"/>
      </w:pPr>
      <w:r>
        <w:rPr>
          <w:i w:val="0"/>
        </w:rPr>
        <w:t>This document is intended to be the single source of truth for the project. It consolidates the final topic, research motivation, literature position, experimental architecture, audit definitions, datasets, methods, evaluation metrics, implementation decisions, risks, timetable, deliverables and working references. When preparing the synopsis, weekly progress reports, research paper or presentation, terminology should remain consistent with this document unless the project mentor formally approves a change.</w:t>
      </w:r>
    </w:p>
    <w:tbl>
      <w:tblPr>
        <w:tblStyle w:val="TableGrid"/>
        <w:tblW w:type="auto" w:w="0"/>
        <w:jc w:val="center"/>
        <w:tblLook w:firstColumn="1" w:firstRow="1" w:lastColumn="0" w:lastRow="0" w:noHBand="0" w:noVBand="1" w:val="04A0"/>
      </w:tblPr>
      <w:tblGrid>
        <w:gridCol w:w="9242"/>
      </w:tblGrid>
      <w:tr>
        <w:trPr>
          <w:cantSplit/>
        </w:trPr>
        <w:tc>
          <w:tcPr>
            <w:tcW w:type="dxa" w:w="9242"/>
            <w:shd w:fill="FFF4D6"/>
          </w:tcPr>
          <w:p>
            <w:pPr>
              <w:spacing w:after="60"/>
            </w:pPr>
            <w:r>
              <w:rPr>
                <w:b/>
                <w:color w:val="17324D"/>
                <w:sz w:val="23"/>
              </w:rPr>
              <w:t>Project discipline rule</w:t>
            </w:r>
          </w:p>
          <w:p>
            <w:pPr>
              <w:spacing w:after="20"/>
            </w:pPr>
            <w:r>
              <w:rPr>
                <w:sz w:val="21"/>
              </w:rPr>
              <w:t>Do not change the research claim merely because an experiment gives an inconvenient result. The project investigates whether audits agree; both agreement and disagreement are valid scientific outcomes. Likewise, do not claim that any empirical audit proves complete erasure of information unless a formal guarantee actually exists.</w:t>
            </w:r>
          </w:p>
        </w:tc>
      </w:tr>
    </w:tbl>
    <w:p>
      <w:pPr>
        <w:spacing w:after="20"/>
      </w:pPr>
    </w:p>
    <w:p>
      <w:pPr>
        <w:pStyle w:val="Heading1"/>
        <w:keepNext/>
      </w:pPr>
      <w:r>
        <w:t>Document Contents</w:t>
      </w:r>
    </w:p>
    <w:p>
      <w:pPr>
        <w:pStyle w:val="Heading1"/>
        <w:keepNext/>
      </w:pPr>
      <w:r>
        <w:t>Changelog: v1.0 → v2.0 (25 August 2026)</w:t>
      </w:r>
    </w:p>
    <w:p>
      <w:pPr>
        <w:pStyle w:val="Heading1"/>
        <w:keepNext/>
      </w:pPr>
      <w:r>
        <w:t>Version 2.0 follows an independent review of the frozen v1.0 position against literature published between February and August 2026. The review is archived in the project repository at docs/FORGETCHECK_REVIEW.md, with the full evidence trail and reasoning in docs/RESEARCH_LOG.md. Nothing in the project’s scientific discipline changed; the research claim, four experimental decisions and the statistical backbone did.</w:t>
      </w:r>
    </w:p>
    <w:p>
      <w:pPr>
        <w:pStyle w:val="Heading1"/>
        <w:keepNext/>
      </w:pPr>
      <w:r>
        <w:t>Why the claim moved. Three papers published after the freeze date establish parts of what v1.0 proposed to discover. Metric Unreliability in Multimodal Machine Unlearning [20] performs cross-metric Kendall-tau disagreement analysis against a retrained oracle across five metric families, including a CIFAR-10 / ResNet-18 arm. RULER [22] and Are We Truly Forgetting? [23] independently establish former hypothesis H1. Section 6 is therefore narrowed to the parts that remain open: reversibility as a ranked audit family, disagreement within the privacy family, forget-set difficulty as a factor, and calibration of audits against an oracle ensemble and a ground-truth canary condition.</w:t>
      </w:r>
    </w:p>
    <w:p>
      <w:pPr>
        <w:pStyle w:val="Heading1"/>
        <w:keepNext/>
      </w:pPr>
      <w:r>
        <w:t>Substantive changes in v2.0:</w:t>
      </w:r>
    </w:p>
    <w:p>
      <w:pPr>
        <w:pStyle w:val="ListParagraph"/>
        <w:keepNext/>
      </w:pPr>
      <w:r>
        <w:t>Section 1 and 3 — the project is now explicitly framed as an Untraining study in the sense of [19], which fixes retraining-from-scratch as the correct reference and makes membership inference an appropriate metric for this setting.</w:t>
      </w:r>
    </w:p>
    <w:p>
      <w:pPr>
        <w:pStyle w:val="ListParagraph"/>
        <w:keepNext/>
      </w:pPr>
      <w:r>
        <w:t>Section 6 — novelty statement replaced. Section 8 — H1 demoted to a replication target, H2 split into inter-family and intra-family forms, H5 added for audit validity.</w:t>
      </w:r>
    </w:p>
    <w:p>
      <w:pPr>
        <w:pStyle w:val="ListParagraph"/>
        <w:keepNext/>
      </w:pPr>
      <w:r>
        <w:t>Section 12 — Selective Synaptic Dampening removed from the core method set. Its Fisher-importance mechanism cannot separate a random i.i.d. forget set from the retain set, and it is reported to fail at all forget fractions under random forgetting [24]. Replaced by SalUn and L1-sparse; NegGrad+ replaces plain NegGrad as the primary gradient-ascent method, with plain NegGrad retained as a labelled destructive control. Six methods total.</w:t>
      </w:r>
    </w:p>
    <w:p>
      <w:pPr>
        <w:pStyle w:val="ListParagraph"/>
        <w:keepNext/>
      </w:pPr>
      <w:r>
        <w:t>Section 13 — forget-set design split into two orthogonal factors: a deletion-size axis (demoted to a scaling check) and a memorization-difficulty axis (promoted to primary), plus a mislabeled-canary condition providing ground truth by construction.</w:t>
      </w:r>
    </w:p>
    <w:p>
      <w:pPr>
        <w:pStyle w:val="ListParagraph"/>
        <w:keepNext/>
      </w:pPr>
      <w:r>
        <w:t>Section 14.4 — two membership-inference attacks of different strength, not one. Section 14.5 — a second, non-CKA representation measure and an oracle-vs-oracle baseline. Section 14.7 — anchor arms added to the relearning protocol.</w:t>
      </w:r>
    </w:p>
    <w:p>
      <w:pPr>
        <w:pStyle w:val="ListParagraph"/>
        <w:keepNext/>
      </w:pPr>
      <w:r>
        <w:t>Section 15 — new subsection 15.5 on audit calibration and validity. Section 16 — the primary agreement statistic changes: correlation is computed over model instances rather than over four method ranks, because Kendall’s tau over four items cannot attain p &lt; 0.05 under any possible data (minimum two-sided p = 0.0833).</w:t>
      </w:r>
    </w:p>
    <w:p>
      <w:pPr>
        <w:pStyle w:val="ListParagraph"/>
        <w:keepNext/>
      </w:pPr>
      <w:r>
        <w:t>Section 17, 19, 21 — compute plan corrected. Training moves to Kaggle GPU; the local Ryzen AI 9 HX 370 machine cannot train PyTorch models on its Radeon 890M iGPU (unsupported by ROCm) and is measured at 4.76 hours per 30-epoch CIFAR-10 run on CPU. Gantt rebalanced.</w:t>
      </w:r>
    </w:p>
    <w:p>
      <w:pPr>
        <w:pStyle w:val="ListParagraph"/>
        <w:keepNext/>
      </w:pPr>
      <w:r>
        <w:t>The optional LLM / TOFU extension is withdrawn to fund the calibration and canary work.</w:t>
      </w:r>
    </w:p>
    <w:p>
      <w:pPr>
        <w:spacing w:after="40"/>
        <w:ind w:left="288"/>
      </w:pPr>
      <w:r>
        <w:t>1. Project Identity and One-Sentence Definition</w:t>
      </w:r>
    </w:p>
    <w:p>
      <w:pPr>
        <w:spacing w:after="40"/>
        <w:ind w:left="288"/>
      </w:pPr>
      <w:r>
        <w:t>2. Executive Summary</w:t>
      </w:r>
    </w:p>
    <w:p>
      <w:pPr>
        <w:spacing w:after="40"/>
        <w:ind w:left="288"/>
      </w:pPr>
      <w:r>
        <w:t>3. Background: What Machine Unlearning Is</w:t>
      </w:r>
    </w:p>
    <w:p>
      <w:pPr>
        <w:spacing w:after="40"/>
        <w:ind w:left="288"/>
      </w:pPr>
      <w:r>
        <w:t>4. Why the Problem Matters</w:t>
      </w:r>
    </w:p>
    <w:p>
      <w:pPr>
        <w:spacing w:after="40"/>
        <w:ind w:left="288"/>
      </w:pPr>
      <w:r>
        <w:t>5. Existing Research and Where ForgetCheck Fits</w:t>
      </w:r>
    </w:p>
    <w:p>
      <w:pPr>
        <w:spacing w:after="40"/>
        <w:ind w:left="288"/>
      </w:pPr>
      <w:r>
        <w:t>6. Final Research Gap and Novelty</w:t>
      </w:r>
    </w:p>
    <w:p>
      <w:pPr>
        <w:spacing w:after="40"/>
        <w:ind w:left="288"/>
      </w:pPr>
      <w:r>
        <w:t>7. Research Problem Statement</w:t>
      </w:r>
    </w:p>
    <w:p>
      <w:pPr>
        <w:spacing w:after="40"/>
        <w:ind w:left="288"/>
      </w:pPr>
      <w:r>
        <w:t>8. Objectives, Research Questions and Hypotheses</w:t>
      </w:r>
    </w:p>
    <w:p>
      <w:pPr>
        <w:spacing w:after="40"/>
        <w:ind w:left="288"/>
      </w:pPr>
      <w:r>
        <w:t>9. Scope and Out-of-Scope Boundaries</w:t>
      </w:r>
    </w:p>
    <w:p>
      <w:pPr>
        <w:spacing w:after="40"/>
        <w:ind w:left="288"/>
      </w:pPr>
      <w:r>
        <w:t>10. Experimental Architecture</w:t>
      </w:r>
    </w:p>
    <w:p>
      <w:pPr>
        <w:spacing w:after="40"/>
        <w:ind w:left="288"/>
      </w:pPr>
      <w:r>
        <w:t>11. Dataset and Model Decisions</w:t>
      </w:r>
    </w:p>
    <w:p>
      <w:pPr>
        <w:spacing w:after="40"/>
        <w:ind w:left="288"/>
      </w:pPr>
      <w:r>
        <w:t>12. Unlearning Methods</w:t>
      </w:r>
    </w:p>
    <w:p>
      <w:pPr>
        <w:spacing w:after="40"/>
        <w:ind w:left="288"/>
      </w:pPr>
      <w:r>
        <w:t>13. Forget-Set Design</w:t>
      </w:r>
    </w:p>
    <w:p>
      <w:pPr>
        <w:spacing w:after="40"/>
        <w:ind w:left="288"/>
      </w:pPr>
      <w:r>
        <w:t>14. ForgetCheck Audit Architecture</w:t>
      </w:r>
    </w:p>
    <w:p>
      <w:pPr>
        <w:spacing w:after="40"/>
        <w:ind w:left="288"/>
      </w:pPr>
      <w:r>
        <w:t>15. Cross-Audit Disagreement Analysis</w:t>
      </w:r>
    </w:p>
    <w:p>
      <w:pPr>
        <w:spacing w:after="40"/>
        <w:ind w:left="288"/>
      </w:pPr>
      <w:r>
        <w:t>16. Experimental Matrix and Statistical Methodology</w:t>
      </w:r>
    </w:p>
    <w:p>
      <w:pPr>
        <w:pStyle w:val="Heading2"/>
        <w:spacing w:after="40"/>
        <w:ind w:left="288"/>
      </w:pPr>
      <w:r>
        <w:t>15.5 Audit Calibration and Validity</w:t>
      </w:r>
    </w:p>
    <w:p>
      <w:pPr>
        <w:pStyle w:val="Heading2"/>
        <w:spacing w:after="40"/>
        <w:ind w:left="288"/>
      </w:pPr>
      <w:r>
        <w:t>Sections 15.1 to 15.4 measure whether audits agree. This section measures whether they are right, which is a different and stronger question. Two checks make it answerable, and both are run before any disagreement result is interpreted.</w:t>
      </w:r>
    </w:p>
    <w:p>
      <w:pPr>
        <w:pStyle w:val="Heading2"/>
        <w:spacing w:after="40"/>
        <w:ind w:left="288"/>
      </w:pPr>
      <w:r>
        <w:t>Oracle false-positive rate. Each independently retrained oracle held out from the reference set is passed through every audit as though it were a candidate unlearned model. A genuine from-scratch retrain is, by definition, perfectly untrained on the forget set, so any audit that returns a "not forgotten" verdict for it has a false-positive problem. The proportion of held-out oracles that each audit wrongly flags is reported per audit family as that audit’s false-positive rate. This is not a formality: recent work found a proposed certification criterion that its own retraining reference passed in only one case out of forty-five [28].</w:t>
      </w:r>
    </w:p>
    <w:p>
      <w:pPr>
        <w:pStyle w:val="Heading2"/>
        <w:spacing w:after="40"/>
        <w:ind w:left="288"/>
      </w:pPr>
      <w:r>
        <w:t>Canary accuracy. In the canary condition of Section 13, residual influence is known by construction: a model retrained without the mislabeled canaries provably carries no canary-label association, so any residual canary behavior is unambiguously residual influence. Each audit’s verdict can therefore be scored against a known answer, and reported as accuracy, sensitivity and specificity rather than merely as agreement with other audits.</w:t>
      </w:r>
    </w:p>
    <w:p>
      <w:pPr>
        <w:pStyle w:val="Heading2"/>
        <w:spacing w:after="40"/>
        <w:ind w:left="288"/>
      </w:pPr>
      <w:r>
        <w:t>Reporting rule. An audit family that shows a high oracle false-positive rate or poor canary accuracy is reported as unreliable in that setting, and its contribution to the disagreement analysis is interpreted accordingly. Disagreement between a validated audit and an unreliable one is not evidence that the question is hard; it is evidence about the unreliable audit.</w:t>
      </w:r>
    </w:p>
    <w:p>
      <w:pPr>
        <w:spacing w:after="40"/>
        <w:ind w:left="288"/>
      </w:pPr>
      <w:r>
        <w:t>17. Implementation Plan and Repository Structure</w:t>
      </w:r>
    </w:p>
    <w:p>
      <w:pPr>
        <w:spacing w:after="40"/>
        <w:ind w:left="288"/>
      </w:pPr>
      <w:r>
        <w:t>18. Reproducibility and Experiment Logging</w:t>
      </w:r>
    </w:p>
    <w:p>
      <w:pPr>
        <w:spacing w:after="40"/>
        <w:ind w:left="288"/>
      </w:pPr>
      <w:r>
        <w:t>19. Risks and Mitigation</w:t>
      </w:r>
    </w:p>
    <w:p>
      <w:pPr>
        <w:spacing w:after="40"/>
        <w:ind w:left="288"/>
      </w:pPr>
      <w:r>
        <w:t>20. Expected Deliverables and Demo</w:t>
      </w:r>
    </w:p>
    <w:p>
      <w:pPr>
        <w:spacing w:after="40"/>
        <w:ind w:left="288"/>
      </w:pPr>
      <w:r>
        <w:t>21. Semester Plan / Gantt</w:t>
      </w:r>
    </w:p>
    <w:p>
      <w:pPr>
        <w:spacing w:after="40"/>
        <w:ind w:left="288"/>
      </w:pPr>
      <w:r>
        <w:t>The schedule assumes four contributors. Ownership: member A holds the experimental substrate (weeks 3 to 7) and is on the critical path alone until the oracle ensemble exists; member B holds the behavioral and privacy audits; member C holds the representation and relearning audits; member D holds calibration, statistics, figures, the dashboard and paper assembly, starting in week 7 rather than at the end. Member A owns the training queue even though all four accounts contribute compute, so that checkpoint provenance is never ambiguous.</w:t>
      </w:r>
    </w:p>
    <w:p>
      <w:pPr>
        <w:spacing w:after="40"/>
        <w:ind w:left="288"/>
      </w:pPr>
      <w:r>
        <w:t>If the schedule slips, the order of sacrifice is: secondary dataset, then the 1% and 10% size conditions, then the canary condition. The oracle ensemble and the relearning audit are never sacrificed, because they carry the contribution.</w:t>
      </w:r>
    </w:p>
    <w:p>
      <w:pPr>
        <w:spacing w:after="40"/>
        <w:ind w:left="288"/>
      </w:pPr>
      <w:r>
        <w:t>22. Working Abstract and Mentor Explanation</w:t>
      </w:r>
    </w:p>
    <w:p>
      <w:pPr>
        <w:spacing w:after="40"/>
        <w:ind w:left="288"/>
      </w:pPr>
      <w:r>
        <w:t>23. Literature Map</w:t>
      </w:r>
    </w:p>
    <w:p>
      <w:pPr>
        <w:spacing w:after="40"/>
        <w:ind w:left="288"/>
      </w:pPr>
      <w:r>
        <w:t>24. IEEE-Style Working References</w:t>
      </w:r>
    </w:p>
    <w:p>
      <w:pPr>
        <w:spacing w:after="40"/>
        <w:ind w:left="288"/>
      </w:pPr>
      <w:r>
        <w:t>25. Code and Dataset Resources</w:t>
      </w:r>
    </w:p>
    <w:p>
      <w:pPr>
        <w:spacing w:after="40"/>
        <w:ind w:left="288"/>
      </w:pPr>
      <w:r>
        <w:t>Appendix A. Canonical Decision Sheet</w:t>
      </w:r>
    </w:p>
    <w:p>
      <w:pPr>
        <w:spacing w:after="40"/>
        <w:ind w:left="288"/>
      </w:pPr>
      <w:r>
        <w:t>Appendix B. Evaluation Metric Cheat Sheet</w:t>
      </w:r>
    </w:p>
    <w:p>
      <w:pPr>
        <w:pStyle w:val="Heading1"/>
        <w:keepNext/>
      </w:pPr>
      <w:r>
        <w:t>1. Project Identity and One-Sentence Definition</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592"/>
            <w:shd w:fill="17324D"/>
            <w:vAlign w:val="center"/>
          </w:tcPr>
          <w:p>
            <w:r>
              <w:rPr>
                <w:rFonts w:ascii="Times New Roman" w:hAnsi="Times New Roman"/>
                <w:b/>
                <w:color w:val="FFFFFF"/>
                <w:sz w:val="19"/>
              </w:rPr>
              <w:t>Field</w:t>
            </w:r>
          </w:p>
        </w:tc>
        <w:tc>
          <w:tcPr>
            <w:tcW w:type="dxa" w:w="6768"/>
            <w:shd w:fill="17324D"/>
            <w:vAlign w:val="center"/>
          </w:tcPr>
          <w:p>
            <w:r>
              <w:rPr>
                <w:rFonts w:ascii="Times New Roman" w:hAnsi="Times New Roman"/>
                <w:b/>
                <w:color w:val="FFFFFF"/>
                <w:sz w:val="19"/>
              </w:rPr>
              <w:t>Final Project Decision</w:t>
            </w:r>
          </w:p>
        </w:tc>
      </w:tr>
      <w:tr>
        <w:trPr>
          <w:cantSplit/>
        </w:trPr>
        <w:tc>
          <w:tcPr>
            <w:tcW w:type="dxa" w:w="2592"/>
            <w:vAlign w:val="top"/>
          </w:tcPr>
          <w:p>
            <w:pPr>
              <w:spacing w:after="40"/>
            </w:pPr>
            <w:r>
              <w:rPr>
                <w:rFonts w:ascii="Times New Roman" w:hAnsi="Times New Roman"/>
                <w:sz w:val="19"/>
              </w:rPr>
              <w:t>Final Topic</w:t>
            </w:r>
          </w:p>
        </w:tc>
        <w:tc>
          <w:tcPr>
            <w:tcW w:type="dxa" w:w="6768"/>
            <w:vAlign w:val="top"/>
          </w:tcPr>
          <w:p>
            <w:pPr>
              <w:spacing w:after="40"/>
            </w:pPr>
            <w:r>
              <w:rPr>
                <w:rFonts w:ascii="Times New Roman" w:hAnsi="Times New Roman"/>
                <w:sz w:val="19"/>
              </w:rPr>
              <w:t>ForgetCheck: A Retraining-Grounded Study of Audit Disagreement, Reversibility and Audit Validity in Approximate Machine Unlearning</w:t>
            </w:r>
          </w:p>
        </w:tc>
      </w:tr>
      <w:tr>
        <w:trPr>
          <w:cantSplit/>
        </w:trPr>
        <w:tc>
          <w:tcPr>
            <w:tcW w:type="dxa" w:w="2592"/>
            <w:vAlign w:val="top"/>
            <w:shd w:fill="F5F7F9"/>
          </w:tcPr>
          <w:p>
            <w:pPr>
              <w:spacing w:after="40"/>
            </w:pPr>
            <w:r>
              <w:rPr>
                <w:rFonts w:ascii="Times New Roman" w:hAnsi="Times New Roman"/>
                <w:sz w:val="19"/>
              </w:rPr>
              <w:t>Extended Paper Title</w:t>
            </w:r>
          </w:p>
        </w:tc>
        <w:tc>
          <w:tcPr>
            <w:tcW w:type="dxa" w:w="6768"/>
            <w:vAlign w:val="top"/>
            <w:shd w:fill="F5F7F9"/>
          </w:tcPr>
          <w:p>
            <w:pPr>
              <w:spacing w:after="40"/>
            </w:pPr>
            <w:r>
              <w:rPr>
                <w:rFonts w:ascii="Times New Roman" w:hAnsi="Times New Roman"/>
                <w:sz w:val="19"/>
              </w:rPr>
              <w:t>ForgetCheck: Do Behavioral, Privacy, Representation and Relearning Audits Agree — and Which of Them Can Be Trusted?</w:t>
            </w:r>
          </w:p>
        </w:tc>
      </w:tr>
      <w:tr>
        <w:trPr>
          <w:cantSplit/>
        </w:trPr>
        <w:tc>
          <w:tcPr>
            <w:tcW w:type="dxa" w:w="2592"/>
            <w:vAlign w:val="top"/>
          </w:tcPr>
          <w:p>
            <w:pPr>
              <w:spacing w:after="40"/>
            </w:pPr>
            <w:r>
              <w:rPr>
                <w:rFonts w:ascii="Times New Roman" w:hAnsi="Times New Roman"/>
                <w:sz w:val="19"/>
              </w:rPr>
              <w:t>Domain</w:t>
            </w:r>
          </w:p>
        </w:tc>
        <w:tc>
          <w:tcPr>
            <w:tcW w:type="dxa" w:w="6768"/>
            <w:vAlign w:val="top"/>
          </w:tcPr>
          <w:p>
            <w:pPr>
              <w:spacing w:after="40"/>
            </w:pPr>
            <w:r>
              <w:rPr>
                <w:rFonts w:ascii="Times New Roman" w:hAnsi="Times New Roman"/>
                <w:sz w:val="19"/>
              </w:rPr>
              <w:t>Trustworthy Artificial Intelligence / Machine Learning Privacy / Deep Learning / AI Security</w:t>
            </w:r>
          </w:p>
        </w:tc>
      </w:tr>
      <w:tr>
        <w:trPr>
          <w:cantSplit/>
        </w:trPr>
        <w:tc>
          <w:tcPr>
            <w:tcW w:type="dxa" w:w="2592"/>
            <w:vAlign w:val="top"/>
            <w:shd w:fill="F5F7F9"/>
          </w:tcPr>
          <w:p>
            <w:pPr>
              <w:spacing w:after="40"/>
            </w:pPr>
            <w:r>
              <w:rPr>
                <w:rFonts w:ascii="Times New Roman" w:hAnsi="Times New Roman"/>
                <w:sz w:val="19"/>
              </w:rPr>
              <w:t>Primary Research Object</w:t>
            </w:r>
          </w:p>
        </w:tc>
        <w:tc>
          <w:tcPr>
            <w:tcW w:type="dxa" w:w="6768"/>
            <w:vAlign w:val="top"/>
            <w:shd w:fill="F5F7F9"/>
          </w:tcPr>
          <w:p>
            <w:pPr>
              <w:spacing w:after="40"/>
            </w:pPr>
            <w:r>
              <w:rPr>
                <w:rFonts w:ascii="Times New Roman" w:hAnsi="Times New Roman"/>
                <w:sz w:val="19"/>
              </w:rPr>
              <w:t>Approximate machine-unlearning algorithms</w:t>
            </w:r>
          </w:p>
        </w:tc>
      </w:tr>
      <w:tr>
        <w:trPr>
          <w:cantSplit/>
        </w:trPr>
        <w:tc>
          <w:tcPr>
            <w:tcW w:type="dxa" w:w="2592"/>
            <w:vAlign w:val="top"/>
          </w:tcPr>
          <w:p>
            <w:pPr>
              <w:spacing w:after="40"/>
            </w:pPr>
            <w:r>
              <w:rPr>
                <w:rFonts w:ascii="Times New Roman" w:hAnsi="Times New Roman"/>
                <w:sz w:val="19"/>
              </w:rPr>
              <w:t>Primary Research Question</w:t>
            </w:r>
          </w:p>
        </w:tc>
        <w:tc>
          <w:tcPr>
            <w:tcW w:type="dxa" w:w="6768"/>
            <w:vAlign w:val="top"/>
          </w:tcPr>
          <w:p>
            <w:pPr>
              <w:spacing w:after="40"/>
            </w:pPr>
            <w:r>
              <w:rPr>
                <w:rFonts w:ascii="Times New Roman" w:hAnsi="Times New Roman"/>
                <w:sz w:val="19"/>
              </w:rPr>
              <w:t>When audit families disagree about whether approximate unlearning succeeded, which audit is right — and does the answer depend on how hard the deletion request is?</w:t>
            </w:r>
          </w:p>
        </w:tc>
      </w:tr>
      <w:tr>
        <w:trPr>
          <w:cantSplit/>
        </w:trPr>
        <w:tc>
          <w:tcPr>
            <w:tcW w:type="dxa" w:w="2592"/>
            <w:vAlign w:val="top"/>
            <w:shd w:fill="F5F7F9"/>
          </w:tcPr>
          <w:p>
            <w:pPr>
              <w:spacing w:after="40"/>
            </w:pPr>
            <w:r>
              <w:rPr>
                <w:rFonts w:ascii="Times New Roman" w:hAnsi="Times New Roman"/>
                <w:sz w:val="19"/>
              </w:rPr>
              <w:t>Reference Standard</w:t>
            </w:r>
          </w:p>
        </w:tc>
        <w:tc>
          <w:tcPr>
            <w:tcW w:type="dxa" w:w="6768"/>
            <w:vAlign w:val="top"/>
            <w:shd w:fill="F5F7F9"/>
          </w:tcPr>
          <w:p>
            <w:pPr>
              <w:spacing w:after="40"/>
            </w:pPr>
            <w:r>
              <w:rPr>
                <w:rFonts w:ascii="Times New Roman" w:hAnsi="Times New Roman"/>
                <w:sz w:val="19"/>
              </w:rPr>
              <w:t>An ensemble of models retrained from scratch without the forget set, treated as a reference distribution rather than a single model</w:t>
            </w:r>
          </w:p>
        </w:tc>
      </w:tr>
      <w:tr>
        <w:trPr>
          <w:cantSplit/>
        </w:trPr>
        <w:tc>
          <w:tcPr>
            <w:tcW w:type="dxa" w:w="2592"/>
            <w:vAlign w:val="top"/>
          </w:tcPr>
          <w:p>
            <w:pPr>
              <w:spacing w:after="40"/>
            </w:pPr>
            <w:r>
              <w:rPr>
                <w:rFonts w:ascii="Times New Roman" w:hAnsi="Times New Roman"/>
                <w:sz w:val="19"/>
              </w:rPr>
              <w:t>Primary Benchmark</w:t>
            </w:r>
          </w:p>
        </w:tc>
        <w:tc>
          <w:tcPr>
            <w:tcW w:type="dxa" w:w="6768"/>
            <w:vAlign w:val="top"/>
          </w:tcPr>
          <w:p>
            <w:pPr>
              <w:spacing w:after="40"/>
            </w:pPr>
            <w:r>
              <w:rPr>
                <w:rFonts w:ascii="Times New Roman" w:hAnsi="Times New Roman"/>
                <w:sz w:val="19"/>
              </w:rPr>
              <w:t>CIFAR-10 with ResNet-18</w:t>
            </w:r>
          </w:p>
        </w:tc>
      </w:tr>
      <w:tr>
        <w:trPr>
          <w:cantSplit/>
        </w:trPr>
        <w:tc>
          <w:tcPr>
            <w:tcW w:type="dxa" w:w="2592"/>
            <w:vAlign w:val="top"/>
            <w:shd w:fill="F5F7F9"/>
          </w:tcPr>
          <w:p>
            <w:pPr>
              <w:spacing w:after="40"/>
            </w:pPr>
            <w:r>
              <w:rPr>
                <w:rFonts w:ascii="Times New Roman" w:hAnsi="Times New Roman"/>
                <w:sz w:val="19"/>
              </w:rPr>
              <w:t>Publication Format</w:t>
            </w:r>
          </w:p>
        </w:tc>
        <w:tc>
          <w:tcPr>
            <w:tcW w:type="dxa" w:w="6768"/>
            <w:vAlign w:val="top"/>
            <w:shd w:fill="F5F7F9"/>
          </w:tcPr>
          <w:p>
            <w:pPr>
              <w:spacing w:after="40"/>
            </w:pPr>
            <w:r>
              <w:rPr>
                <w:rFonts w:ascii="Times New Roman" w:hAnsi="Times New Roman"/>
                <w:sz w:val="19"/>
              </w:rPr>
              <w:t>IEEE-style research paper</w:t>
            </w:r>
          </w:p>
        </w:tc>
      </w:tr>
      <w:tr>
        <w:trPr>
          <w:cantSplit/>
        </w:trPr>
        <w:tc>
          <w:tcPr>
            <w:tcW w:type="dxa" w:w="2592"/>
            <w:vAlign w:val="top"/>
            <w:shd w:fill="F5F7F9"/>
          </w:tcPr>
          <w:p>
            <w:pPr>
              <w:spacing w:after="40"/>
            </w:pPr>
            <w:r>
              <w:rPr>
                <w:rFonts w:ascii="Times New Roman" w:hAnsi="Times New Roman"/>
                <w:sz w:val="19"/>
              </w:rPr>
              <w:t>Problem formulation</w:t>
            </w:r>
          </w:p>
        </w:tc>
        <w:tc>
          <w:tcPr>
            <w:tcW w:type="dxa" w:w="6768"/>
            <w:vAlign w:val="top"/>
            <w:shd w:fill="F5F7F9"/>
          </w:tcPr>
          <w:p>
            <w:pPr>
              <w:spacing w:after="40"/>
            </w:pPr>
            <w:r>
              <w:rPr>
                <w:rFonts w:ascii="Times New Roman" w:hAnsi="Times New Roman"/>
                <w:sz w:val="19"/>
              </w:rPr>
              <w:t>Untraining [19] — removal of the influence of specific forget-set examples, not removal of an underlying concept</w:t>
            </w:r>
          </w:p>
        </w:tc>
      </w:tr>
    </w:tbl>
    <w:p>
      <w:pPr>
        <w:spacing w:after="20"/>
      </w:pPr>
    </w:p>
    <w:tbl>
      <w:tblPr>
        <w:tblStyle w:val="TableGrid"/>
        <w:tblW w:type="auto" w:w="0"/>
        <w:jc w:val="center"/>
        <w:tblLook w:firstColumn="1" w:firstRow="1" w:lastColumn="0" w:lastRow="0" w:noHBand="0" w:noVBand="1" w:val="04A0"/>
      </w:tblPr>
      <w:tblGrid>
        <w:gridCol w:w="9242"/>
      </w:tblGrid>
      <w:tr>
        <w:trPr>
          <w:cantSplit/>
        </w:trPr>
        <w:tc>
          <w:tcPr>
            <w:tcW w:type="dxa" w:w="9242"/>
            <w:shd w:fill="EAF3F8"/>
          </w:tcPr>
          <w:p>
            <w:pPr>
              <w:spacing w:after="60"/>
            </w:pPr>
            <w:r>
              <w:rPr>
                <w:b/>
                <w:color w:val="17324D"/>
                <w:sz w:val="23"/>
              </w:rPr>
              <w:t>Project in one sentence</w:t>
            </w:r>
          </w:p>
          <w:p>
            <w:pPr>
              <w:spacing w:after="20"/>
            </w:pPr>
            <w:r>
              <w:rPr>
                <w:sz w:val="21"/>
              </w:rPr>
              <w:t>We will apply six existing machine-unlearning algorithms to forget sets of controlled difficulty, audit each resulting model behaviorally, for membership privacy under two attack strengths, at the representation level and under controlled relearning, and determine not only whether these audits agree but which of them can be trusted — calibrating each against an ensemble of independently retrained models and against a canary condition where the correct answer is known by construction.</w:t>
            </w:r>
          </w:p>
        </w:tc>
      </w:tr>
    </w:tbl>
    <w:p>
      <w:pPr>
        <w:spacing w:after="20"/>
      </w:pPr>
    </w:p>
    <w:p>
      <w:pPr>
        <w:pStyle w:val="Heading1"/>
        <w:keepNext/>
      </w:pPr>
      <w:r>
        <w:t>2. Executive Summary</w:t>
      </w:r>
    </w:p>
    <w:p>
      <w:pPr>
        <w:spacing w:after="120"/>
      </w:pPr>
      <w:r>
        <w:rPr>
          <w:i w:val="0"/>
        </w:rPr>
        <w:t>Machine unlearning aims to remove the influence of selected training data from an already trained model without paying the full computational cost of retraining the model from scratch. The central difficulty is not only how to unlearn, but how to determine whether unlearning actually worked. A model may stop producing a previously learned output while still retaining internal structure that allows the behavior to be recovered quickly. Conversely, an unlearning method may make the forget set look forgotten only because it has damaged the model more generally.</w:t>
      </w:r>
    </w:p>
    <w:p>
      <w:pPr>
        <w:spacing w:after="120"/>
      </w:pPr>
      <w:r>
        <w:rPr>
          <w:i w:val="0"/>
        </w:rPr>
        <w:t>ForgetCheck does not claim to invent machine unlearning, membership inference, representation analysis or relearning diagnostics, and it does not claim to be the first to observe that evaluation metrics disagree — that has been reported in recent work [20]. Its contribution is to extend cross-audit analysis with a reversibility axis that prior studies identified as missing but could not scale, to compare attacks of different strength within the privacy family rather than treating privacy as a single verdict, to treat forget-set difficulty as an experimental factor, and to calibrate each audit for validity so that disagreement can be adjudicated instead of merely counted.</w:t>
      </w:r>
    </w:p>
    <w:p>
      <w:pPr>
        <w:spacing w:after="120"/>
      </w:pPr>
      <w:r>
        <w:rPr>
          <w:i w:val="0"/>
        </w:rPr>
        <w:t>The core experiment uses CIFAR-10 and ResNet-18. The original model is trained on the full training dataset. Forget sets are then selected along two axes: deletion size, and memorization difficulty at fixed size, together with a canary condition in which residual influence is known by construction. An ensemble of oracle models is retrained from scratch on the retained data only, providing a reference distribution rather than a single reference model, while six approximate unlearning methods are applied to the original model. Each resulting model is evaluated under a layered audit comprising retained utility, forget-set behavior, output-distribution similarity, membership privacy under two attack strengths, internal representation similarity and controlled relearning. Audits are then compared with one another, and separately calibrated for validity against held-out oracles and the canary condition, so that the study can report not only where audits disagree but which of them to believe.</w:t>
      </w:r>
    </w:p>
    <w:p>
      <w:pPr>
        <w:pStyle w:val="Heading1"/>
        <w:keepNext/>
      </w:pPr>
      <w:r>
        <w:t>3. Background: What Machine Unlearning Is</w:t>
      </w:r>
    </w:p>
    <w:p>
      <w:pPr>
        <w:pStyle w:val="Heading2"/>
        <w:keepNext/>
      </w:pPr>
      <w:r>
        <w:t>3.1 Formal Setup</w:t>
      </w:r>
    </w:p>
    <w:p>
      <w:pPr>
        <w:spacing w:after="120"/>
      </w:pPr>
      <w:r>
        <w:rPr>
          <w:i w:val="0"/>
        </w:rPr>
        <w:t>Let the original training dataset be D. After a deletion request, D is divided into a forget set F and a retain set R, such that D = R ∪ F. The original model M0 is trained on D. A full retraining reference Mr is trained from scratch on R only. An approximate unlearning algorithm U modifies M0 to obtain an unlearned model Mu.</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1440"/>
            <w:shd w:fill="17324D"/>
            <w:vAlign w:val="center"/>
          </w:tcPr>
          <w:p>
            <w:r>
              <w:rPr>
                <w:rFonts w:ascii="Times New Roman" w:hAnsi="Times New Roman"/>
                <w:b/>
                <w:color w:val="FFFFFF"/>
                <w:sz w:val="19"/>
              </w:rPr>
              <w:t>Symbol</w:t>
            </w:r>
          </w:p>
        </w:tc>
        <w:tc>
          <w:tcPr>
            <w:tcW w:type="dxa" w:w="7776"/>
            <w:shd w:fill="17324D"/>
            <w:vAlign w:val="center"/>
          </w:tcPr>
          <w:p>
            <w:r>
              <w:rPr>
                <w:rFonts w:ascii="Times New Roman" w:hAnsi="Times New Roman"/>
                <w:b/>
                <w:color w:val="FFFFFF"/>
                <w:sz w:val="19"/>
              </w:rPr>
              <w:t>Meaning</w:t>
            </w:r>
          </w:p>
        </w:tc>
      </w:tr>
      <w:tr>
        <w:trPr>
          <w:cantSplit/>
        </w:trPr>
        <w:tc>
          <w:tcPr>
            <w:tcW w:type="dxa" w:w="1440"/>
            <w:vAlign w:val="top"/>
          </w:tcPr>
          <w:p>
            <w:pPr>
              <w:spacing w:after="40"/>
            </w:pPr>
            <w:r>
              <w:rPr>
                <w:rFonts w:ascii="Times New Roman" w:hAnsi="Times New Roman"/>
                <w:sz w:val="19"/>
              </w:rPr>
              <w:t>D</w:t>
            </w:r>
          </w:p>
        </w:tc>
        <w:tc>
          <w:tcPr>
            <w:tcW w:type="dxa" w:w="7776"/>
            <w:vAlign w:val="top"/>
          </w:tcPr>
          <w:p>
            <w:pPr>
              <w:spacing w:after="40"/>
            </w:pPr>
            <w:r>
              <w:rPr>
                <w:rFonts w:ascii="Times New Roman" w:hAnsi="Times New Roman"/>
                <w:sz w:val="19"/>
              </w:rPr>
              <w:t>Original full training dataset</w:t>
            </w:r>
          </w:p>
        </w:tc>
      </w:tr>
      <w:tr>
        <w:trPr>
          <w:cantSplit/>
        </w:trPr>
        <w:tc>
          <w:tcPr>
            <w:tcW w:type="dxa" w:w="1440"/>
            <w:vAlign w:val="top"/>
            <w:shd w:fill="F5F7F9"/>
          </w:tcPr>
          <w:p>
            <w:pPr>
              <w:spacing w:after="40"/>
            </w:pPr>
            <w:r>
              <w:rPr>
                <w:rFonts w:ascii="Times New Roman" w:hAnsi="Times New Roman"/>
                <w:sz w:val="19"/>
              </w:rPr>
              <w:t>F</w:t>
            </w:r>
          </w:p>
        </w:tc>
        <w:tc>
          <w:tcPr>
            <w:tcW w:type="dxa" w:w="7776"/>
            <w:vAlign w:val="top"/>
            <w:shd w:fill="F5F7F9"/>
          </w:tcPr>
          <w:p>
            <w:pPr>
              <w:spacing w:after="40"/>
            </w:pPr>
            <w:r>
              <w:rPr>
                <w:rFonts w:ascii="Times New Roman" w:hAnsi="Times New Roman"/>
                <w:sz w:val="19"/>
              </w:rPr>
              <w:t>Forget set: training examples whose influence is requested to be removed</w:t>
            </w:r>
          </w:p>
        </w:tc>
      </w:tr>
      <w:tr>
        <w:trPr>
          <w:cantSplit/>
        </w:trPr>
        <w:tc>
          <w:tcPr>
            <w:tcW w:type="dxa" w:w="1440"/>
            <w:vAlign w:val="top"/>
          </w:tcPr>
          <w:p>
            <w:pPr>
              <w:spacing w:after="40"/>
            </w:pPr>
            <w:r>
              <w:rPr>
                <w:rFonts w:ascii="Times New Roman" w:hAnsi="Times New Roman"/>
                <w:sz w:val="19"/>
              </w:rPr>
              <w:t>R</w:t>
            </w:r>
          </w:p>
        </w:tc>
        <w:tc>
          <w:tcPr>
            <w:tcW w:type="dxa" w:w="7776"/>
            <w:vAlign w:val="top"/>
          </w:tcPr>
          <w:p>
            <w:pPr>
              <w:spacing w:after="40"/>
            </w:pPr>
            <w:r>
              <w:rPr>
                <w:rFonts w:ascii="Times New Roman" w:hAnsi="Times New Roman"/>
                <w:sz w:val="19"/>
              </w:rPr>
              <w:t>Retain set: all training examples that remain</w:t>
            </w:r>
          </w:p>
        </w:tc>
      </w:tr>
      <w:tr>
        <w:trPr>
          <w:cantSplit/>
        </w:trPr>
        <w:tc>
          <w:tcPr>
            <w:tcW w:type="dxa" w:w="1440"/>
            <w:vAlign w:val="top"/>
            <w:shd w:fill="F5F7F9"/>
          </w:tcPr>
          <w:p>
            <w:pPr>
              <w:spacing w:after="40"/>
            </w:pPr>
            <w:r>
              <w:rPr>
                <w:rFonts w:ascii="Times New Roman" w:hAnsi="Times New Roman"/>
                <w:sz w:val="19"/>
              </w:rPr>
              <w:t>M0</w:t>
            </w:r>
          </w:p>
        </w:tc>
        <w:tc>
          <w:tcPr>
            <w:tcW w:type="dxa" w:w="7776"/>
            <w:vAlign w:val="top"/>
            <w:shd w:fill="F5F7F9"/>
          </w:tcPr>
          <w:p>
            <w:pPr>
              <w:spacing w:after="40"/>
            </w:pPr>
            <w:r>
              <w:rPr>
                <w:rFonts w:ascii="Times New Roman" w:hAnsi="Times New Roman"/>
                <w:sz w:val="19"/>
              </w:rPr>
              <w:t>Original model trained on D</w:t>
            </w:r>
          </w:p>
        </w:tc>
      </w:tr>
      <w:tr>
        <w:trPr>
          <w:cantSplit/>
        </w:trPr>
        <w:tc>
          <w:tcPr>
            <w:tcW w:type="dxa" w:w="1440"/>
            <w:vAlign w:val="top"/>
          </w:tcPr>
          <w:p>
            <w:pPr>
              <w:spacing w:after="40"/>
            </w:pPr>
            <w:r>
              <w:rPr>
                <w:rFonts w:ascii="Times New Roman" w:hAnsi="Times New Roman"/>
                <w:sz w:val="19"/>
              </w:rPr>
              <w:t>Mr</w:t>
            </w:r>
          </w:p>
        </w:tc>
        <w:tc>
          <w:tcPr>
            <w:tcW w:type="dxa" w:w="7776"/>
            <w:vAlign w:val="top"/>
          </w:tcPr>
          <w:p>
            <w:pPr>
              <w:spacing w:after="40"/>
            </w:pPr>
            <w:r>
              <w:rPr>
                <w:rFonts w:ascii="Times New Roman" w:hAnsi="Times New Roman"/>
                <w:sz w:val="19"/>
              </w:rPr>
              <w:t>Retrained oracle model trained from scratch on R</w:t>
            </w:r>
          </w:p>
        </w:tc>
      </w:tr>
      <w:tr>
        <w:trPr>
          <w:cantSplit/>
        </w:trPr>
        <w:tc>
          <w:tcPr>
            <w:tcW w:type="dxa" w:w="1440"/>
            <w:vAlign w:val="top"/>
            <w:shd w:fill="F5F7F9"/>
          </w:tcPr>
          <w:p>
            <w:pPr>
              <w:spacing w:after="40"/>
            </w:pPr>
            <w:r>
              <w:rPr>
                <w:rFonts w:ascii="Times New Roman" w:hAnsi="Times New Roman"/>
                <w:sz w:val="19"/>
              </w:rPr>
              <w:t>U</w:t>
            </w:r>
          </w:p>
        </w:tc>
        <w:tc>
          <w:tcPr>
            <w:tcW w:type="dxa" w:w="7776"/>
            <w:vAlign w:val="top"/>
            <w:shd w:fill="F5F7F9"/>
          </w:tcPr>
          <w:p>
            <w:pPr>
              <w:spacing w:after="40"/>
            </w:pPr>
            <w:r>
              <w:rPr>
                <w:rFonts w:ascii="Times New Roman" w:hAnsi="Times New Roman"/>
                <w:sz w:val="19"/>
              </w:rPr>
              <w:t>Approximate unlearning algorithm</w:t>
            </w:r>
          </w:p>
        </w:tc>
      </w:tr>
      <w:tr>
        <w:trPr>
          <w:cantSplit/>
        </w:trPr>
        <w:tc>
          <w:tcPr>
            <w:tcW w:type="dxa" w:w="1440"/>
            <w:vAlign w:val="top"/>
          </w:tcPr>
          <w:p>
            <w:pPr>
              <w:spacing w:after="40"/>
            </w:pPr>
            <w:r>
              <w:rPr>
                <w:rFonts w:ascii="Times New Roman" w:hAnsi="Times New Roman"/>
                <w:sz w:val="19"/>
              </w:rPr>
              <w:t>Mu</w:t>
            </w:r>
          </w:p>
        </w:tc>
        <w:tc>
          <w:tcPr>
            <w:tcW w:type="dxa" w:w="7776"/>
            <w:vAlign w:val="top"/>
          </w:tcPr>
          <w:p>
            <w:pPr>
              <w:spacing w:after="40"/>
            </w:pPr>
            <w:r>
              <w:rPr>
                <w:rFonts w:ascii="Times New Roman" w:hAnsi="Times New Roman"/>
                <w:sz w:val="19"/>
              </w:rPr>
              <w:t>Unlearned model obtained by applying U to M0</w:t>
            </w:r>
          </w:p>
        </w:tc>
      </w:tr>
    </w:tbl>
    <w:p>
      <w:pPr>
        <w:spacing w:after="20"/>
      </w:pPr>
    </w:p>
    <w:p>
      <w:pPr>
        <w:spacing w:after="120"/>
      </w:pPr>
      <w:r>
        <w:rPr>
          <w:i w:val="0"/>
        </w:rPr>
        <w:t>The practical goal is not necessarily to make Mu perform badly on F. Instead, Mu should behave as closely as possible to the model that would have existed had F never been used for training. This is why Mr is treated as the practical oracle/reference rather than “zero accuracy on forgotten samples.” Certified-removal research established the much stronger formal notion that the post-removal model should be statistically indistinguishable from a model trained without the removed data [1].</w:t>
      </w:r>
    </w:p>
    <w:p>
      <w:pPr>
        <w:pStyle w:val="Heading2"/>
        <w:keepNext/>
      </w:pPr>
      <w:r>
        <w:t>3.2 Why “Low Forget Accuracy” Is Not the Goal</w:t>
      </w:r>
    </w:p>
    <w:p>
      <w:pPr>
        <w:spacing w:after="120"/>
      </w:pPr>
      <w:r>
        <w:rPr>
          <w:i w:val="0"/>
        </w:rPr>
        <w:t>If a single dog image is removed from a classifier’s training set, a fully retrained model may still classify that exact image correctly because it learned the general concept “dog” from many other examples. Therefore, successful instance unlearning cannot be defined as making the model wrong on the deleted image. The meaningful target is retraining-consistent behavior: the unlearned model should resemble the counterfactual model trained without that example.</w:t>
      </w:r>
    </w:p>
    <w:tbl>
      <w:tblPr>
        <w:tblStyle w:val="TableGrid"/>
        <w:tblW w:type="auto" w:w="0"/>
        <w:jc w:val="center"/>
        <w:tblLook w:firstColumn="1" w:firstRow="1" w:lastColumn="0" w:lastRow="0" w:noHBand="0" w:noVBand="1" w:val="04A0"/>
      </w:tblPr>
      <w:tblGrid>
        <w:gridCol w:w="9242"/>
      </w:tblGrid>
      <w:tr>
        <w:trPr>
          <w:cantSplit/>
        </w:trPr>
        <w:tc>
          <w:tcPr>
            <w:tcW w:type="dxa" w:w="9242"/>
            <w:shd w:fill="E7F2EC"/>
          </w:tcPr>
          <w:p>
            <w:pPr>
              <w:spacing w:after="60"/>
            </w:pPr>
            <w:r>
              <w:rPr>
                <w:b/>
                <w:color w:val="17324D"/>
                <w:sz w:val="23"/>
              </w:rPr>
              <w:t>Canonical concept to remember</w:t>
            </w:r>
          </w:p>
          <w:p>
            <w:pPr>
              <w:spacing w:after="20"/>
            </w:pPr>
            <w:r>
              <w:rPr>
                <w:sz w:val="21"/>
              </w:rPr>
              <w:t>Machine unlearning does not mean “make the model fail on deleted examples.” It means “make the model behave as if those examples had not participated in training,” subject to the limits of the selected unlearning definition and audit.</w:t>
            </w:r>
          </w:p>
        </w:tc>
      </w:tr>
    </w:tbl>
    <w:p>
      <w:pPr>
        <w:spacing w:after="20"/>
      </w:pPr>
    </w:p>
    <w:p>
      <w:pPr>
        <w:pStyle w:val="Heading2"/>
        <w:keepNext/>
      </w:pPr>
      <w:r>
        <w:t>3.3 Forgetting Versus Suppression</w:t>
      </w:r>
    </w:p>
    <w:p>
      <w:pPr>
        <w:spacing w:after="120"/>
      </w:pPr>
      <w:r>
        <w:rPr>
          <w:i w:val="0"/>
        </w:rPr>
        <w:t>A model may appear to forget at the output level while latent information or a recoverable representation remains inside the network. Recent work on LLM unlearning shows that conventional task-level metrics can be misleading: supposedly forgotten behavior can sometimes be recovered with limited fine-tuning, motivating representation-level and relearning analysis [13]. ForgetCheck studies the analogous diagnostic question in a smaller, retraining-feasible setting rather than claiming that every remaining representation constitutes private information.</w:t>
      </w:r>
    </w:p>
    <w:p>
      <w:pPr>
        <w:pStyle w:val="Heading1"/>
        <w:keepNext/>
      </w:pPr>
      <w:r>
        <w:t>4. Why the Problem Matters</w:t>
      </w:r>
    </w:p>
    <w:p>
      <w:pPr>
        <w:spacing w:after="120"/>
      </w:pPr>
      <w:r>
        <w:rPr>
          <w:i w:val="0"/>
        </w:rPr>
        <w:t>Machine unlearning is motivated by practical data-governance, privacy, safety and model-maintenance needs. Examples include user deletion requests, copyrighted or sensitive content, erroneous records, poisoned examples, outdated data and training data that should no longer influence deployed models. Regulations such as GDPR Article 17 establish rights to erasure in defined circumstances, but the project will not claim that machine unlearning is the legally mandated implementation mechanism. Rather, data-erasure requirements are one motivation for technical research into removing training influence.</w:t>
      </w:r>
    </w:p>
    <w:p>
      <w:pPr>
        <w:spacing w:after="120"/>
      </w:pPr>
      <w:r>
        <w:rPr>
          <w:i w:val="0"/>
        </w:rPr>
        <w:t>The research community has also recognized evaluation as a bottleneck. The NeurIPS 2023 Machine Unlearning Competition was explicitly designed to advance standardized evaluation, and its starter kit includes CIFAR-10 training, a baseline unlearning procedure and membership-inference-based scoring [17]. This makes the field unusually suitable for an undergraduate project: the central research questions are current, while reproducible public infrastructure already exists.</w:t>
      </w:r>
    </w:p>
    <w:p>
      <w:pPr>
        <w:pStyle w:val="Heading1"/>
        <w:keepNext/>
      </w:pPr>
      <w:r>
        <w:t>5. Existing Research and Where ForgetCheck Fits</w:t>
      </w:r>
    </w:p>
    <w:p>
      <w:pPr>
        <w:spacing w:after="120"/>
      </w:pPr>
      <w:r>
        <w:rPr>
          <w:i w:val="0"/>
        </w:rPr>
        <w:t>The project sits at the intersection of two mature subproblems: designing unlearning algorithms and verifying whether unlearning succeeded. Because several recent works already propose multi-metric evaluation and even general-purpose auditing, ForgetCheck must be positioned carefully. The table below states what is already similar and what remains distinct in our project.</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2232"/>
            <w:shd w:fill="17324D"/>
            <w:vAlign w:val="center"/>
          </w:tcPr>
          <w:p>
            <w:r>
              <w:rPr>
                <w:rFonts w:ascii="Times New Roman" w:hAnsi="Times New Roman"/>
                <w:b/>
                <w:color w:val="FFFFFF"/>
                <w:sz w:val="17"/>
              </w:rPr>
              <w:t>Existing Research</w:t>
            </w:r>
          </w:p>
        </w:tc>
        <w:tc>
          <w:tcPr>
            <w:tcW w:type="dxa" w:w="3456"/>
            <w:shd w:fill="17324D"/>
            <w:vAlign w:val="center"/>
          </w:tcPr>
          <w:p>
            <w:r>
              <w:rPr>
                <w:rFonts w:ascii="Times New Roman" w:hAnsi="Times New Roman"/>
                <w:b/>
                <w:color w:val="FFFFFF"/>
                <w:sz w:val="17"/>
              </w:rPr>
              <w:t>What Is Similar</w:t>
            </w:r>
          </w:p>
        </w:tc>
        <w:tc>
          <w:tcPr>
            <w:tcW w:type="dxa" w:w="3528"/>
            <w:shd w:fill="17324D"/>
            <w:vAlign w:val="center"/>
          </w:tcPr>
          <w:p>
            <w:r>
              <w:rPr>
                <w:rFonts w:ascii="Times New Roman" w:hAnsi="Times New Roman"/>
                <w:b/>
                <w:color w:val="FFFFFF"/>
                <w:sz w:val="17"/>
              </w:rPr>
              <w:t>ForgetCheck Position</w:t>
            </w:r>
          </w:p>
        </w:tc>
      </w:tr>
      <w:tr>
        <w:trPr>
          <w:cantSplit/>
        </w:trPr>
        <w:tc>
          <w:tcPr>
            <w:tcW w:type="dxa" w:w="2232"/>
            <w:vAlign w:val="top"/>
          </w:tcPr>
          <w:p>
            <w:pPr>
              <w:spacing w:after="40"/>
            </w:pPr>
            <w:r>
              <w:rPr>
                <w:rFonts w:ascii="Times New Roman" w:hAnsi="Times New Roman"/>
                <w:sz w:val="17"/>
              </w:rPr>
              <w:t>Certified Data Removal [1]</w:t>
            </w:r>
          </w:p>
        </w:tc>
        <w:tc>
          <w:tcPr>
            <w:tcW w:type="dxa" w:w="3456"/>
            <w:vAlign w:val="top"/>
          </w:tcPr>
          <w:p>
            <w:pPr>
              <w:spacing w:after="40"/>
            </w:pPr>
            <w:r>
              <w:rPr>
                <w:rFonts w:ascii="Times New Roman" w:hAnsi="Times New Roman"/>
                <w:sz w:val="17"/>
              </w:rPr>
              <w:t>Defines a strong counterfactual/certified removal target.</w:t>
            </w:r>
          </w:p>
        </w:tc>
        <w:tc>
          <w:tcPr>
            <w:tcW w:type="dxa" w:w="3528"/>
            <w:vAlign w:val="top"/>
          </w:tcPr>
          <w:p>
            <w:pPr>
              <w:spacing w:after="40"/>
            </w:pPr>
            <w:r>
              <w:rPr>
                <w:rFonts w:ascii="Times New Roman" w:hAnsi="Times New Roman"/>
                <w:sz w:val="17"/>
              </w:rPr>
              <w:t>Provides conceptual foundation; ForgetCheck is an empirical study on deep approximate unlearning, not a new certificate.</w:t>
            </w:r>
          </w:p>
        </w:tc>
      </w:tr>
      <w:tr>
        <w:trPr>
          <w:cantSplit/>
        </w:trPr>
        <w:tc>
          <w:tcPr>
            <w:tcW w:type="dxa" w:w="2232"/>
            <w:vAlign w:val="top"/>
            <w:shd w:fill="F5F7F9"/>
          </w:tcPr>
          <w:p>
            <w:pPr>
              <w:spacing w:after="40"/>
            </w:pPr>
            <w:r>
              <w:rPr>
                <w:rFonts w:ascii="Times New Roman" w:hAnsi="Times New Roman"/>
                <w:sz w:val="17"/>
              </w:rPr>
              <w:t>SISA / Machine Unlearning [2]</w:t>
            </w:r>
          </w:p>
        </w:tc>
        <w:tc>
          <w:tcPr>
            <w:tcW w:type="dxa" w:w="3456"/>
            <w:vAlign w:val="top"/>
            <w:shd w:fill="F5F7F9"/>
          </w:tcPr>
          <w:p>
            <w:pPr>
              <w:spacing w:after="40"/>
            </w:pPr>
            <w:r>
              <w:rPr>
                <w:rFonts w:ascii="Times New Roman" w:hAnsi="Times New Roman"/>
                <w:sz w:val="17"/>
              </w:rPr>
              <w:t>Makes deletion cheaper using sharding, slicing and selective retraining.</w:t>
            </w:r>
          </w:p>
        </w:tc>
        <w:tc>
          <w:tcPr>
            <w:tcW w:type="dxa" w:w="3528"/>
            <w:vAlign w:val="top"/>
            <w:shd w:fill="F5F7F9"/>
          </w:tcPr>
          <w:p>
            <w:pPr>
              <w:spacing w:after="40"/>
            </w:pPr>
            <w:r>
              <w:rPr>
                <w:rFonts w:ascii="Times New Roman" w:hAnsi="Times New Roman"/>
                <w:sz w:val="17"/>
              </w:rPr>
              <w:t>SISA is an unlearning mechanism; ForgetCheck is primarily an evaluation study.</w:t>
            </w:r>
          </w:p>
        </w:tc>
      </w:tr>
      <w:tr>
        <w:trPr>
          <w:cantSplit/>
        </w:trPr>
        <w:tc>
          <w:tcPr>
            <w:tcW w:type="dxa" w:w="2232"/>
            <w:vAlign w:val="top"/>
          </w:tcPr>
          <w:p>
            <w:pPr>
              <w:spacing w:after="40"/>
            </w:pPr>
            <w:r>
              <w:rPr>
                <w:rFonts w:ascii="Times New Roman" w:hAnsi="Times New Roman"/>
                <w:sz w:val="17"/>
              </w:rPr>
              <w:t>Incompetent Teacher [3]</w:t>
            </w:r>
          </w:p>
        </w:tc>
        <w:tc>
          <w:tcPr>
            <w:tcW w:type="dxa" w:w="3456"/>
            <w:vAlign w:val="top"/>
          </w:tcPr>
          <w:p>
            <w:pPr>
              <w:spacing w:after="40"/>
            </w:pPr>
            <w:r>
              <w:rPr>
                <w:rFonts w:ascii="Times New Roman" w:hAnsi="Times New Roman"/>
                <w:sz w:val="17"/>
              </w:rPr>
              <w:t>Deep-network unlearning method with retraining-independent evaluation ideas.</w:t>
            </w:r>
          </w:p>
        </w:tc>
        <w:tc>
          <w:tcPr>
            <w:tcW w:type="dxa" w:w="3528"/>
            <w:vAlign w:val="top"/>
          </w:tcPr>
          <w:p>
            <w:pPr>
              <w:spacing w:after="40"/>
            </w:pPr>
            <w:r>
              <w:rPr>
                <w:rFonts w:ascii="Times New Roman" w:hAnsi="Times New Roman"/>
                <w:sz w:val="17"/>
              </w:rPr>
              <w:t>Can be an optional baseline, not our main contribution.</w:t>
            </w:r>
          </w:p>
        </w:tc>
      </w:tr>
      <w:tr>
        <w:trPr>
          <w:cantSplit/>
        </w:trPr>
        <w:tc>
          <w:tcPr>
            <w:tcW w:type="dxa" w:w="2232"/>
            <w:vAlign w:val="top"/>
            <w:shd w:fill="F5F7F9"/>
          </w:tcPr>
          <w:p>
            <w:pPr>
              <w:spacing w:after="40"/>
            </w:pPr>
            <w:r>
              <w:rPr>
                <w:rFonts w:ascii="Times New Roman" w:hAnsi="Times New Roman"/>
                <w:sz w:val="17"/>
              </w:rPr>
              <w:t>SCRUB [4]</w:t>
            </w:r>
          </w:p>
        </w:tc>
        <w:tc>
          <w:tcPr>
            <w:tcW w:type="dxa" w:w="3456"/>
            <w:vAlign w:val="top"/>
            <w:shd w:fill="F5F7F9"/>
          </w:tcPr>
          <w:p>
            <w:pPr>
              <w:spacing w:after="40"/>
            </w:pPr>
            <w:r>
              <w:rPr>
                <w:rFonts w:ascii="Times New Roman" w:hAnsi="Times New Roman"/>
                <w:sz w:val="17"/>
              </w:rPr>
              <w:t>Proposes unlearning with teacher/student optimization and uses MIA for privacy evaluation.</w:t>
            </w:r>
          </w:p>
        </w:tc>
        <w:tc>
          <w:tcPr>
            <w:tcW w:type="dxa" w:w="3528"/>
            <w:vAlign w:val="top"/>
            <w:shd w:fill="F5F7F9"/>
          </w:tcPr>
          <w:p>
            <w:pPr>
              <w:spacing w:after="40"/>
            </w:pPr>
            <w:r>
              <w:rPr>
                <w:rFonts w:ascii="Times New Roman" w:hAnsi="Times New Roman"/>
                <w:sz w:val="17"/>
              </w:rPr>
              <w:t>SCRUB is one audited method; MIA itself is not novel in our work.</w:t>
            </w:r>
          </w:p>
        </w:tc>
      </w:tr>
      <w:tr>
        <w:trPr>
          <w:cantSplit/>
        </w:trPr>
        <w:tc>
          <w:tcPr>
            <w:tcW w:type="dxa" w:w="2232"/>
            <w:vAlign w:val="top"/>
          </w:tcPr>
          <w:p>
            <w:pPr>
              <w:spacing w:after="40"/>
            </w:pPr>
            <w:r>
              <w:rPr>
                <w:rFonts w:ascii="Times New Roman" w:hAnsi="Times New Roman"/>
                <w:sz w:val="17"/>
              </w:rPr>
              <w:t>Model Sparsity [5]</w:t>
            </w:r>
          </w:p>
        </w:tc>
        <w:tc>
          <w:tcPr>
            <w:tcW w:type="dxa" w:w="3456"/>
            <w:vAlign w:val="top"/>
          </w:tcPr>
          <w:p>
            <w:pPr>
              <w:spacing w:after="40"/>
            </w:pPr>
            <w:r>
              <w:rPr>
                <w:rFonts w:ascii="Times New Roman" w:hAnsi="Times New Roman"/>
                <w:sz w:val="17"/>
              </w:rPr>
              <w:t>Studies prune-first-then-unlearn and approximation to retraining.</w:t>
            </w:r>
          </w:p>
        </w:tc>
        <w:tc>
          <w:tcPr>
            <w:tcW w:type="dxa" w:w="3528"/>
            <w:vAlign w:val="top"/>
          </w:tcPr>
          <w:p>
            <w:pPr>
              <w:spacing w:after="40"/>
            </w:pPr>
            <w:r>
              <w:rPr>
                <w:rFonts w:ascii="Times New Roman" w:hAnsi="Times New Roman"/>
                <w:sz w:val="17"/>
              </w:rPr>
              <w:t>Shows how model structure can aid unlearning; can inform optional extension.</w:t>
            </w:r>
          </w:p>
        </w:tc>
      </w:tr>
      <w:tr>
        <w:trPr>
          <w:cantSplit/>
        </w:trPr>
        <w:tc>
          <w:tcPr>
            <w:tcW w:type="dxa" w:w="2232"/>
            <w:vAlign w:val="top"/>
            <w:shd w:fill="F5F7F9"/>
          </w:tcPr>
          <w:p>
            <w:pPr>
              <w:spacing w:after="40"/>
            </w:pPr>
            <w:r>
              <w:rPr>
                <w:rFonts w:ascii="Times New Roman" w:hAnsi="Times New Roman"/>
                <w:sz w:val="17"/>
              </w:rPr>
              <w:t>SSD [6]</w:t>
            </w:r>
          </w:p>
        </w:tc>
        <w:tc>
          <w:tcPr>
            <w:tcW w:type="dxa" w:w="3456"/>
            <w:vAlign w:val="top"/>
            <w:shd w:fill="F5F7F9"/>
          </w:tcPr>
          <w:p>
            <w:pPr>
              <w:spacing w:after="40"/>
            </w:pPr>
            <w:r>
              <w:rPr>
                <w:rFonts w:ascii="Times New Roman" w:hAnsi="Times New Roman"/>
                <w:sz w:val="17"/>
              </w:rPr>
              <w:t>Selective synaptic dampening using parameter importance/Fisher information.</w:t>
            </w:r>
          </w:p>
        </w:tc>
        <w:tc>
          <w:tcPr>
            <w:tcW w:type="dxa" w:w="3528"/>
            <w:vAlign w:val="top"/>
            <w:shd w:fill="F5F7F9"/>
          </w:tcPr>
          <w:p>
            <w:pPr>
              <w:spacing w:after="40"/>
            </w:pPr>
            <w:r>
              <w:rPr>
                <w:rFonts w:ascii="Times New Roman" w:hAnsi="Times New Roman"/>
                <w:sz w:val="17"/>
              </w:rPr>
              <w:t>Provides a mechanism qualitatively different from SCRUB, but one that depends on the forget set having a distinct Fisher-importance signature. That condition fails for randomly drawn instance-level forget sets, so SSD is withdrawn from the core method set in v2.0 and retained only as an optional class-unlearning comparator. See Section 12.</w:t>
            </w:r>
          </w:p>
        </w:tc>
      </w:tr>
      <w:tr>
        <w:trPr>
          <w:cantSplit/>
        </w:trPr>
        <w:tc>
          <w:tcPr>
            <w:tcW w:type="dxa" w:w="2232"/>
            <w:vAlign w:val="top"/>
          </w:tcPr>
          <w:p>
            <w:pPr>
              <w:spacing w:after="40"/>
            </w:pPr>
            <w:r>
              <w:rPr>
                <w:rFonts w:ascii="Times New Roman" w:hAnsi="Times New Roman"/>
                <w:sz w:val="17"/>
              </w:rPr>
              <w:t>Wichert &amp; Sikdar [7]</w:t>
            </w:r>
          </w:p>
        </w:tc>
        <w:tc>
          <w:tcPr>
            <w:tcW w:type="dxa" w:w="3456"/>
            <w:vAlign w:val="top"/>
          </w:tcPr>
          <w:p>
            <w:pPr>
              <w:spacing w:after="40"/>
            </w:pPr>
            <w:r>
              <w:rPr>
                <w:rFonts w:ascii="Times New Roman" w:hAnsi="Times New Roman"/>
                <w:sz w:val="17"/>
              </w:rPr>
              <w:t>Shows random forget sets can make evaluation misleading; influential examples reveal more.</w:t>
            </w:r>
          </w:p>
        </w:tc>
        <w:tc>
          <w:tcPr>
            <w:tcW w:type="dxa" w:w="3528"/>
            <w:vAlign w:val="top"/>
          </w:tcPr>
          <w:p>
            <w:pPr>
              <w:spacing w:after="40"/>
            </w:pPr>
            <w:r>
              <w:rPr>
                <w:rFonts w:ascii="Times New Roman" w:hAnsi="Times New Roman"/>
                <w:sz w:val="17"/>
              </w:rPr>
              <w:t>Directly motivates our random vs. hard/high-memorization forget-set experiment.</w:t>
            </w:r>
          </w:p>
        </w:tc>
      </w:tr>
      <w:tr>
        <w:trPr>
          <w:cantSplit/>
        </w:trPr>
        <w:tc>
          <w:tcPr>
            <w:tcW w:type="dxa" w:w="2232"/>
            <w:vAlign w:val="top"/>
            <w:shd w:fill="F5F7F9"/>
          </w:tcPr>
          <w:p>
            <w:pPr>
              <w:spacing w:after="40"/>
            </w:pPr>
            <w:r>
              <w:rPr>
                <w:rFonts w:ascii="Times New Roman" w:hAnsi="Times New Roman"/>
                <w:sz w:val="17"/>
              </w:rPr>
              <w:t>RUM [8]</w:t>
            </w:r>
          </w:p>
        </w:tc>
        <w:tc>
          <w:tcPr>
            <w:tcW w:type="dxa" w:w="3456"/>
            <w:vAlign w:val="top"/>
            <w:shd w:fill="F5F7F9"/>
          </w:tcPr>
          <w:p>
            <w:pPr>
              <w:spacing w:after="40"/>
            </w:pPr>
            <w:r>
              <w:rPr>
                <w:rFonts w:ascii="Times New Roman" w:hAnsi="Times New Roman"/>
                <w:sz w:val="17"/>
              </w:rPr>
              <w:t>Shows unlearning difficulty varies by forget-set characteristics; provides CIFAR memorization scores and code.</w:t>
            </w:r>
          </w:p>
        </w:tc>
        <w:tc>
          <w:tcPr>
            <w:tcW w:type="dxa" w:w="3528"/>
            <w:vAlign w:val="top"/>
            <w:shd w:fill="F5F7F9"/>
          </w:tcPr>
          <w:p>
            <w:pPr>
              <w:spacing w:after="40"/>
            </w:pPr>
            <w:r>
              <w:rPr>
                <w:rFonts w:ascii="Times New Roman" w:hAnsi="Times New Roman"/>
                <w:sz w:val="17"/>
              </w:rPr>
              <w:t>We use forget difficulty as an experimental factor rather than proposing RUM itself.</w:t>
            </w:r>
          </w:p>
        </w:tc>
      </w:tr>
      <w:tr>
        <w:trPr>
          <w:cantSplit/>
        </w:trPr>
        <w:tc>
          <w:tcPr>
            <w:tcW w:type="dxa" w:w="2232"/>
            <w:vAlign w:val="top"/>
          </w:tcPr>
          <w:p>
            <w:pPr>
              <w:spacing w:after="40"/>
            </w:pPr>
            <w:r>
              <w:rPr>
                <w:rFonts w:ascii="Times New Roman" w:hAnsi="Times New Roman"/>
                <w:sz w:val="17"/>
              </w:rPr>
              <w:t>TOFU [9]</w:t>
            </w:r>
          </w:p>
        </w:tc>
        <w:tc>
          <w:tcPr>
            <w:tcW w:type="dxa" w:w="3456"/>
            <w:vAlign w:val="top"/>
          </w:tcPr>
          <w:p>
            <w:pPr>
              <w:spacing w:after="40"/>
            </w:pPr>
            <w:r>
              <w:rPr>
                <w:rFonts w:ascii="Times New Roman" w:hAnsi="Times New Roman"/>
                <w:sz w:val="17"/>
              </w:rPr>
              <w:t>Controlled synthetic LLM unlearning benchmark with fictitious facts.</w:t>
            </w:r>
          </w:p>
        </w:tc>
        <w:tc>
          <w:tcPr>
            <w:tcW w:type="dxa" w:w="3528"/>
            <w:vAlign w:val="top"/>
          </w:tcPr>
          <w:p>
            <w:pPr>
              <w:spacing w:after="40"/>
            </w:pPr>
            <w:r>
              <w:rPr>
                <w:rFonts w:ascii="Times New Roman" w:hAnsi="Times New Roman"/>
                <w:sz w:val="17"/>
              </w:rPr>
              <w:t>Supports the legitimacy of synthetic extensions, but our core experiment is vision and retraining-feasible.</w:t>
            </w:r>
          </w:p>
        </w:tc>
      </w:tr>
      <w:tr>
        <w:trPr>
          <w:cantSplit/>
        </w:trPr>
        <w:tc>
          <w:tcPr>
            <w:tcW w:type="dxa" w:w="2232"/>
            <w:vAlign w:val="top"/>
            <w:shd w:fill="F5F7F9"/>
          </w:tcPr>
          <w:p>
            <w:pPr>
              <w:spacing w:after="40"/>
            </w:pPr>
            <w:r>
              <w:rPr>
                <w:rFonts w:ascii="Times New Roman" w:hAnsi="Times New Roman"/>
                <w:sz w:val="17"/>
              </w:rPr>
              <w:t>Robust LLM Evaluation via Transformations [10]</w:t>
            </w:r>
          </w:p>
        </w:tc>
        <w:tc>
          <w:tcPr>
            <w:tcW w:type="dxa" w:w="3456"/>
            <w:vAlign w:val="top"/>
            <w:shd w:fill="F5F7F9"/>
          </w:tcPr>
          <w:p>
            <w:pPr>
              <w:spacing w:after="40"/>
            </w:pPr>
            <w:r>
              <w:rPr>
                <w:rFonts w:ascii="Times New Roman" w:hAnsi="Times New Roman"/>
                <w:sz w:val="17"/>
              </w:rPr>
              <w:t>Shows transformed prompts can expose residual forgotten information.</w:t>
            </w:r>
          </w:p>
        </w:tc>
        <w:tc>
          <w:tcPr>
            <w:tcW w:type="dxa" w:w="3528"/>
            <w:vAlign w:val="top"/>
            <w:shd w:fill="F5F7F9"/>
          </w:tcPr>
          <w:p>
            <w:pPr>
              <w:spacing w:after="40"/>
            </w:pPr>
            <w:r>
              <w:rPr>
                <w:rFonts w:ascii="Times New Roman" w:hAnsi="Times New Roman"/>
                <w:sz w:val="17"/>
              </w:rPr>
              <w:t>Supports the broader principle that one behavioral test may not be robust.</w:t>
            </w:r>
          </w:p>
        </w:tc>
      </w:tr>
      <w:tr>
        <w:trPr>
          <w:cantSplit/>
        </w:trPr>
        <w:tc>
          <w:tcPr>
            <w:tcW w:type="dxa" w:w="2232"/>
            <w:vAlign w:val="top"/>
          </w:tcPr>
          <w:p>
            <w:pPr>
              <w:spacing w:after="40"/>
            </w:pPr>
            <w:r>
              <w:rPr>
                <w:rFonts w:ascii="Times New Roman" w:hAnsi="Times New Roman"/>
                <w:sz w:val="17"/>
              </w:rPr>
              <w:t>MUSE [11]</w:t>
            </w:r>
          </w:p>
        </w:tc>
        <w:tc>
          <w:tcPr>
            <w:tcW w:type="dxa" w:w="3456"/>
            <w:vAlign w:val="top"/>
          </w:tcPr>
          <w:p>
            <w:pPr>
              <w:spacing w:after="40"/>
            </w:pPr>
            <w:r>
              <w:rPr>
                <w:rFonts w:ascii="Times New Roman" w:hAnsi="Times New Roman"/>
                <w:sz w:val="17"/>
              </w:rPr>
              <w:t>Six-way LLM unlearning evaluation including utility, privacy, scalability and sequential deletion.</w:t>
            </w:r>
          </w:p>
        </w:tc>
        <w:tc>
          <w:tcPr>
            <w:tcW w:type="dxa" w:w="3528"/>
            <w:vAlign w:val="top"/>
          </w:tcPr>
          <w:p>
            <w:pPr>
              <w:spacing w:after="40"/>
            </w:pPr>
            <w:r>
              <w:rPr>
                <w:rFonts w:ascii="Times New Roman" w:hAnsi="Times New Roman"/>
                <w:sz w:val="17"/>
              </w:rPr>
              <w:t>Multi-axis evaluation is therefore not our novelty; cross-audit disagreement is the sharper focus.</w:t>
            </w:r>
          </w:p>
        </w:tc>
      </w:tr>
      <w:tr>
        <w:trPr>
          <w:cantSplit/>
        </w:trPr>
        <w:tc>
          <w:tcPr>
            <w:tcW w:type="dxa" w:w="2232"/>
            <w:vAlign w:val="top"/>
            <w:shd w:fill="F5F7F9"/>
          </w:tcPr>
          <w:p>
            <w:pPr>
              <w:spacing w:after="40"/>
            </w:pPr>
            <w:r>
              <w:rPr>
                <w:rFonts w:ascii="Times New Roman" w:hAnsi="Times New Roman"/>
                <w:sz w:val="17"/>
              </w:rPr>
              <w:t>Rethinking Machine Unlearning for LLMs [12]</w:t>
            </w:r>
          </w:p>
        </w:tc>
        <w:tc>
          <w:tcPr>
            <w:tcW w:type="dxa" w:w="3456"/>
            <w:vAlign w:val="top"/>
            <w:shd w:fill="F5F7F9"/>
          </w:tcPr>
          <w:p>
            <w:pPr>
              <w:spacing w:after="40"/>
            </w:pPr>
            <w:r>
              <w:rPr>
                <w:rFonts w:ascii="Times New Roman" w:hAnsi="Times New Roman"/>
                <w:sz w:val="17"/>
              </w:rPr>
              <w:t>Review of current LLM-unlearning challenges and evaluation concerns.</w:t>
            </w:r>
          </w:p>
        </w:tc>
        <w:tc>
          <w:tcPr>
            <w:tcW w:type="dxa" w:w="3528"/>
            <w:vAlign w:val="top"/>
            <w:shd w:fill="F5F7F9"/>
          </w:tcPr>
          <w:p>
            <w:pPr>
              <w:spacing w:after="40"/>
            </w:pPr>
            <w:r>
              <w:rPr>
                <w:rFonts w:ascii="Times New Roman" w:hAnsi="Times New Roman"/>
                <w:sz w:val="17"/>
              </w:rPr>
              <w:t>Provides recent field context and supports cautious claims.</w:t>
            </w:r>
          </w:p>
        </w:tc>
      </w:tr>
      <w:tr>
        <w:trPr>
          <w:cantSplit/>
        </w:trPr>
        <w:tc>
          <w:tcPr>
            <w:tcW w:type="dxa" w:w="2232"/>
            <w:vAlign w:val="top"/>
          </w:tcPr>
          <w:p>
            <w:pPr>
              <w:spacing w:after="40"/>
            </w:pPr>
            <w:r>
              <w:rPr>
                <w:rFonts w:ascii="Times New Roman" w:hAnsi="Times New Roman"/>
                <w:sz w:val="17"/>
              </w:rPr>
              <w:t>Unlearning Isn’t Deletion [13]</w:t>
            </w:r>
          </w:p>
        </w:tc>
        <w:tc>
          <w:tcPr>
            <w:tcW w:type="dxa" w:w="3456"/>
            <w:vAlign w:val="top"/>
          </w:tcPr>
          <w:p>
            <w:pPr>
              <w:spacing w:after="40"/>
            </w:pPr>
            <w:r>
              <w:rPr>
                <w:rFonts w:ascii="Times New Roman" w:hAnsi="Times New Roman"/>
                <w:sz w:val="17"/>
              </w:rPr>
              <w:t>Representation-level and relearning analysis; shows reversibility can reveal suppression.</w:t>
            </w:r>
          </w:p>
        </w:tc>
        <w:tc>
          <w:tcPr>
            <w:tcW w:type="dxa" w:w="3528"/>
            <w:vAlign w:val="top"/>
          </w:tcPr>
          <w:p>
            <w:pPr>
              <w:spacing w:after="40"/>
            </w:pPr>
            <w:r>
              <w:rPr>
                <w:rFonts w:ascii="Times New Roman" w:hAnsi="Times New Roman"/>
                <w:sz w:val="17"/>
              </w:rPr>
              <w:t>Very close philosophically. ForgetCheck adapts the question to a full-retraining-grounded small-model study and focuses on disagreement among audit families.</w:t>
            </w:r>
          </w:p>
        </w:tc>
      </w:tr>
      <w:tr>
        <w:trPr>
          <w:cantSplit/>
        </w:trPr>
        <w:tc>
          <w:tcPr>
            <w:tcW w:type="dxa" w:w="2232"/>
            <w:vAlign w:val="top"/>
            <w:shd w:fill="F5F7F9"/>
          </w:tcPr>
          <w:p>
            <w:pPr>
              <w:spacing w:after="40"/>
            </w:pPr>
            <w:r>
              <w:rPr>
                <w:rFonts w:ascii="Times New Roman" w:hAnsi="Times New Roman"/>
                <w:sz w:val="17"/>
              </w:rPr>
              <w:t>Regularized f-Divergence / Google Audit [14,15]</w:t>
            </w:r>
          </w:p>
        </w:tc>
        <w:tc>
          <w:tcPr>
            <w:tcW w:type="dxa" w:w="3456"/>
            <w:vAlign w:val="top"/>
            <w:shd w:fill="F5F7F9"/>
          </w:tcPr>
          <w:p>
            <w:pPr>
              <w:spacing w:after="40"/>
            </w:pPr>
            <w:r>
              <w:rPr>
                <w:rFonts w:ascii="Times New Roman" w:hAnsi="Times New Roman"/>
                <w:sz w:val="17"/>
              </w:rPr>
              <w:t>Statistical relative-distribution tests for comparing model output distributions.</w:t>
            </w:r>
          </w:p>
        </w:tc>
        <w:tc>
          <w:tcPr>
            <w:tcW w:type="dxa" w:w="3528"/>
            <w:vAlign w:val="top"/>
            <w:shd w:fill="F5F7F9"/>
          </w:tcPr>
          <w:p>
            <w:pPr>
              <w:spacing w:after="40"/>
            </w:pPr>
            <w:r>
              <w:rPr>
                <w:rFonts w:ascii="Times New Roman" w:hAnsi="Times New Roman"/>
                <w:sz w:val="17"/>
              </w:rPr>
              <w:t>Motivates relative original–unlearned–retrained comparison and caution about stochastic retraining.</w:t>
            </w:r>
          </w:p>
        </w:tc>
      </w:tr>
      <w:tr>
        <w:trPr>
          <w:cantSplit/>
        </w:trPr>
        <w:tc>
          <w:tcPr>
            <w:tcW w:type="dxa" w:w="2232"/>
            <w:vAlign w:val="top"/>
          </w:tcPr>
          <w:p>
            <w:pPr>
              <w:spacing w:after="40"/>
            </w:pPr>
            <w:r>
              <w:rPr>
                <w:rFonts w:ascii="Times New Roman" w:hAnsi="Times New Roman"/>
                <w:sz w:val="17"/>
              </w:rPr>
              <w:t>Auditing Machine Unlearning [16]</w:t>
            </w:r>
          </w:p>
        </w:tc>
        <w:tc>
          <w:tcPr>
            <w:tcW w:type="dxa" w:w="3456"/>
            <w:vAlign w:val="top"/>
          </w:tcPr>
          <w:p>
            <w:pPr>
              <w:spacing w:after="40"/>
            </w:pPr>
            <w:r>
              <w:rPr>
                <w:rFonts w:ascii="Times New Roman" w:hAnsi="Times New Roman"/>
                <w:sz w:val="17"/>
              </w:rPr>
              <w:t>General-purpose auditing framework across datasets and unlearning methods.</w:t>
            </w:r>
          </w:p>
        </w:tc>
        <w:tc>
          <w:tcPr>
            <w:tcW w:type="dxa" w:w="3528"/>
            <w:vAlign w:val="top"/>
          </w:tcPr>
          <w:p>
            <w:pPr>
              <w:spacing w:after="40"/>
            </w:pPr>
            <w:r>
              <w:rPr>
                <w:rFonts w:ascii="Times New Roman" w:hAnsi="Times New Roman"/>
                <w:sz w:val="17"/>
              </w:rPr>
              <w:t>Makes it incorrect to claim that ForgetCheck is the first unlearning auditor. We instead study cross-audit consistency and reversibility under controlled retraining references.</w:t>
            </w:r>
          </w:p>
        </w:tc>
      </w:tr>
      <w:tr>
        <w:trPr>
          <w:cantSplit/>
        </w:trPr>
        <w:tc>
          <w:tcPr>
            <w:tcW w:type="dxa" w:w="2232"/>
            <w:vAlign w:val="top"/>
          </w:tcPr>
          <w:p>
            <w:pPr>
              <w:spacing w:after="40"/>
            </w:pPr>
            <w:r>
              <w:rPr>
                <w:rFonts w:ascii="Times New Roman" w:hAnsi="Times New Roman"/>
                <w:sz w:val="17"/>
              </w:rPr>
              <w:t>Is your algorithm unlearning or untraining? [19]</w:t>
            </w:r>
          </w:p>
        </w:tc>
        <w:tc>
          <w:tcPr>
            <w:tcW w:type="dxa" w:w="3456"/>
            <w:vAlign w:val="top"/>
          </w:tcPr>
          <w:p>
            <w:pPr>
              <w:spacing w:after="40"/>
            </w:pPr>
            <w:r>
              <w:rPr>
                <w:rFonts w:ascii="Times New Roman" w:hAnsi="Times New Roman"/>
                <w:sz w:val="17"/>
              </w:rPr>
              <w:t>Separates Untraining (remove the influence of specific examples; retraining is the correct oracle) from Unlearning (remove an underlying concept; retraining is not).</w:t>
            </w:r>
          </w:p>
        </w:tc>
        <w:tc>
          <w:tcPr>
            <w:tcW w:type="dxa" w:w="3528"/>
            <w:vAlign w:val="top"/>
          </w:tcPr>
          <w:p>
            <w:pPr>
              <w:spacing w:after="40"/>
            </w:pPr>
            <w:r>
              <w:rPr>
                <w:rFonts w:ascii="Times New Roman" w:hAnsi="Times New Roman"/>
                <w:sz w:val="17"/>
              </w:rPr>
              <w:t>Supplies the vocabulary this project works in. ForgetCheck is an Untraining study, which is what licenses both the retrained oracle and the use of membership inference.</w:t>
            </w:r>
          </w:p>
        </w:tc>
      </w:tr>
      <w:tr>
        <w:trPr>
          <w:cantSplit/>
        </w:trPr>
        <w:tc>
          <w:tcPr>
            <w:tcW w:type="dxa" w:w="2232"/>
            <w:vAlign w:val="top"/>
          </w:tcPr>
          <w:p>
            <w:pPr>
              <w:spacing w:after="40"/>
            </w:pPr>
            <w:r>
              <w:rPr>
                <w:rFonts w:ascii="Times New Roman" w:hAnsi="Times New Roman"/>
                <w:sz w:val="17"/>
              </w:rPr>
              <w:t>Metric Unreliability in Multimodal Unlearning [20]</w:t>
            </w:r>
          </w:p>
        </w:tc>
        <w:tc>
          <w:tcPr>
            <w:tcW w:type="dxa" w:w="3456"/>
            <w:vAlign w:val="top"/>
          </w:tcPr>
          <w:p>
            <w:pPr>
              <w:spacing w:after="40"/>
            </w:pPr>
            <w:r>
              <w:rPr>
                <w:rFonts w:ascii="Times New Roman" w:hAnsi="Times New Roman"/>
                <w:sz w:val="17"/>
              </w:rPr>
              <w:t>Cross-metric Kendall-tau disagreement over 36 unlearned models against a retained-only oracle; reports two opposing metric clusters and a CIFAR-10 / ResNet-18 arm.</w:t>
            </w:r>
          </w:p>
        </w:tc>
        <w:tc>
          <w:tcPr>
            <w:tcW w:type="dxa" w:w="3528"/>
            <w:vAlign w:val="top"/>
          </w:tcPr>
          <w:p>
            <w:pPr>
              <w:spacing w:after="40"/>
            </w:pPr>
            <w:r>
              <w:rPr>
                <w:rFonts w:ascii="Times New Roman" w:hAnsi="Times New Roman"/>
                <w:sz w:val="17"/>
              </w:rPr>
              <w:t>The nearest neighbour to this project and the reason Section 6 is narrowed. It explicitly excludes knowledge recoverability as unscalable — which is the axis ForgetCheck supplies.</w:t>
            </w:r>
          </w:p>
        </w:tc>
      </w:tr>
      <w:tr>
        <w:trPr>
          <w:cantSplit/>
        </w:trPr>
        <w:tc>
          <w:tcPr>
            <w:tcW w:type="dxa" w:w="2232"/>
            <w:vAlign w:val="top"/>
          </w:tcPr>
          <w:p>
            <w:pPr>
              <w:spacing w:after="40"/>
            </w:pPr>
            <w:r>
              <w:rPr>
                <w:rFonts w:ascii="Times New Roman" w:hAnsi="Times New Roman"/>
                <w:sz w:val="17"/>
              </w:rPr>
              <w:t>Inexact Unlearning Needs More Careful Evaluations [21]</w:t>
            </w:r>
          </w:p>
        </w:tc>
        <w:tc>
          <w:tcPr>
            <w:tcW w:type="dxa" w:w="3456"/>
            <w:vAlign w:val="top"/>
          </w:tcPr>
          <w:p>
            <w:pPr>
              <w:spacing w:after="40"/>
            </w:pPr>
            <w:r>
              <w:rPr>
                <w:rFonts w:ascii="Times New Roman" w:hAnsi="Times New Roman"/>
                <w:sz w:val="17"/>
              </w:rPr>
              <w:t>Population membership-inference attacks overestimate privacy protection; per-example attacks are far stronger and can show risk increasing after unlearning.</w:t>
            </w:r>
          </w:p>
        </w:tc>
        <w:tc>
          <w:tcPr>
            <w:tcW w:type="dxa" w:w="3528"/>
            <w:vAlign w:val="top"/>
          </w:tcPr>
          <w:p>
            <w:pPr>
              <w:spacing w:after="40"/>
            </w:pPr>
            <w:r>
              <w:rPr>
                <w:rFonts w:ascii="Times New Roman" w:hAnsi="Times New Roman"/>
                <w:sz w:val="17"/>
              </w:rPr>
              <w:t>Motivates running two attacks of different strength and treating the gap between them as an intra-family disagreement result rather than a caveat.</w:t>
            </w:r>
          </w:p>
        </w:tc>
      </w:tr>
      <w:tr>
        <w:trPr>
          <w:cantSplit/>
        </w:trPr>
        <w:tc>
          <w:tcPr>
            <w:tcW w:type="dxa" w:w="2232"/>
            <w:vAlign w:val="top"/>
          </w:tcPr>
          <w:p>
            <w:pPr>
              <w:spacing w:after="40"/>
            </w:pPr>
            <w:r>
              <w:rPr>
                <w:rFonts w:ascii="Times New Roman" w:hAnsi="Times New Roman"/>
                <w:sz w:val="17"/>
              </w:rPr>
              <w:t>RULER [22]; Are We Truly Forgetting? [23]</w:t>
            </w:r>
          </w:p>
        </w:tc>
        <w:tc>
          <w:tcPr>
            <w:tcW w:type="dxa" w:w="3456"/>
            <w:vAlign w:val="top"/>
          </w:tcPr>
          <w:p>
            <w:pPr>
              <w:spacing w:after="40"/>
            </w:pPr>
            <w:r>
              <w:rPr>
                <w:rFonts w:ascii="Times New Roman" w:hAnsi="Times New Roman"/>
                <w:sz w:val="17"/>
              </w:rPr>
              <w:t>Methods that pass every output-level check still show significant representation-level residuals; representation quality can collapse or only the classifier can change.</w:t>
            </w:r>
          </w:p>
        </w:tc>
        <w:tc>
          <w:tcPr>
            <w:tcW w:type="dxa" w:w="3528"/>
            <w:vAlign w:val="top"/>
          </w:tcPr>
          <w:p>
            <w:pPr>
              <w:spacing w:after="40"/>
            </w:pPr>
            <w:r>
              <w:rPr>
                <w:rFonts w:ascii="Times New Roman" w:hAnsi="Times New Roman"/>
                <w:sz w:val="17"/>
              </w:rPr>
              <w:t>Establishes former hypothesis H1. ForgetCheck treats it as a replication target and moves its novelty to reversibility, difficulty and audit validity.</w:t>
            </w:r>
          </w:p>
        </w:tc>
      </w:tr>
      <w:tr>
        <w:trPr>
          <w:cantSplit/>
        </w:trPr>
        <w:tc>
          <w:tcPr>
            <w:tcW w:type="dxa" w:w="2232"/>
            <w:vAlign w:val="top"/>
          </w:tcPr>
          <w:p>
            <w:pPr>
              <w:spacing w:after="40"/>
            </w:pPr>
            <w:r>
              <w:rPr>
                <w:rFonts w:ascii="Times New Roman" w:hAnsi="Times New Roman"/>
                <w:sz w:val="17"/>
              </w:rPr>
              <w:t>Comparative study of unlearning techniques [24]</w:t>
            </w:r>
          </w:p>
        </w:tc>
        <w:tc>
          <w:tcPr>
            <w:tcW w:type="dxa" w:w="3456"/>
            <w:vAlign w:val="top"/>
          </w:tcPr>
          <w:p>
            <w:pPr>
              <w:spacing w:after="40"/>
            </w:pPr>
            <w:r>
              <w:rPr>
                <w:rFonts w:ascii="Times New Roman" w:hAnsi="Times New Roman"/>
                <w:sz w:val="17"/>
              </w:rPr>
              <w:t>Reports that Selective Synaptic Dampening fails to forget at all forget fractions under random forgetting, attributed to similar Fisher information values.</w:t>
            </w:r>
          </w:p>
        </w:tc>
        <w:tc>
          <w:tcPr>
            <w:tcW w:type="dxa" w:w="3528"/>
            <w:vAlign w:val="top"/>
          </w:tcPr>
          <w:p>
            <w:pPr>
              <w:spacing w:after="40"/>
            </w:pPr>
            <w:r>
              <w:rPr>
                <w:rFonts w:ascii="Times New Roman" w:hAnsi="Times New Roman"/>
                <w:sz w:val="17"/>
              </w:rPr>
              <w:t>Directly motivates removing SSD from the core method set for instance-level deletion.</w:t>
            </w:r>
          </w:p>
        </w:tc>
      </w:tr>
      <w:tr>
        <w:trPr>
          <w:cantSplit/>
        </w:trPr>
        <w:tc>
          <w:tcPr>
            <w:tcW w:type="dxa" w:w="2232"/>
            <w:vAlign w:val="top"/>
          </w:tcPr>
          <w:p>
            <w:pPr>
              <w:spacing w:after="40"/>
            </w:pPr>
            <w:r>
              <w:rPr>
                <w:rFonts w:ascii="Times New Roman" w:hAnsi="Times New Roman"/>
                <w:sz w:val="17"/>
              </w:rPr>
              <w:t>Easy Data Unlearning Bench [25]</w:t>
            </w:r>
          </w:p>
        </w:tc>
        <w:tc>
          <w:tcPr>
            <w:tcW w:type="dxa" w:w="3456"/>
            <w:vAlign w:val="top"/>
          </w:tcPr>
          <w:p>
            <w:pPr>
              <w:spacing w:after="40"/>
            </w:pPr>
            <w:r>
              <w:rPr>
                <w:rFonts w:ascii="Times New Roman" w:hAnsi="Times New Roman"/>
                <w:sz w:val="17"/>
              </w:rPr>
              <w:t>Evaluates against an ensemble of oracle models rather than a single retrained model; releases 200 oracles per forget set for CIFAR-10.</w:t>
            </w:r>
          </w:p>
        </w:tc>
        <w:tc>
          <w:tcPr>
            <w:tcW w:type="dxa" w:w="3528"/>
            <w:vAlign w:val="top"/>
          </w:tcPr>
          <w:p>
            <w:pPr>
              <w:spacing w:after="40"/>
            </w:pPr>
            <w:r>
              <w:rPr>
                <w:rFonts w:ascii="Times New Roman" w:hAnsi="Times New Roman"/>
                <w:sz w:val="17"/>
              </w:rPr>
              <w:t>Motivates treating the oracle as a reference distribution and expressing thresholds in oracle-standard-deviation units.</w:t>
            </w:r>
          </w:p>
        </w:tc>
      </w:tr>
      <w:tr>
        <w:trPr>
          <w:cantSplit/>
        </w:trPr>
        <w:tc>
          <w:tcPr>
            <w:tcW w:type="dxa" w:w="2232"/>
            <w:vAlign w:val="top"/>
          </w:tcPr>
          <w:p>
            <w:pPr>
              <w:spacing w:after="40"/>
            </w:pPr>
            <w:r>
              <w:rPr>
                <w:rFonts w:ascii="Times New Roman" w:hAnsi="Times New Roman"/>
                <w:sz w:val="17"/>
              </w:rPr>
              <w:t>Reliability of CKA [26]</w:t>
            </w:r>
          </w:p>
        </w:tc>
        <w:tc>
          <w:tcPr>
            <w:tcW w:type="dxa" w:w="3456"/>
            <w:vAlign w:val="top"/>
          </w:tcPr>
          <w:p>
            <w:pPr>
              <w:spacing w:after="40"/>
            </w:pPr>
            <w:r>
              <w:rPr>
                <w:rFonts w:ascii="Times New Roman" w:hAnsi="Times New Roman"/>
                <w:sz w:val="17"/>
              </w:rPr>
              <w:t>CKA values can change substantially without corresponding change in functional behavior; sensitive to outliers and to separability-preserving transformations.</w:t>
            </w:r>
          </w:p>
        </w:tc>
        <w:tc>
          <w:tcPr>
            <w:tcW w:type="dxa" w:w="3528"/>
            <w:vAlign w:val="top"/>
          </w:tcPr>
          <w:p>
            <w:pPr>
              <w:spacing w:after="40"/>
            </w:pPr>
            <w:r>
              <w:rPr>
                <w:rFonts w:ascii="Times New Roman" w:hAnsi="Times New Roman"/>
                <w:sz w:val="17"/>
              </w:rPr>
              <w:t>Motivates pairing CKA with a mechanistically different similarity measure before any representation-level claim is made.</w:t>
            </w:r>
          </w:p>
        </w:tc>
      </w:tr>
    </w:tbl>
    <w:p>
      <w:pPr>
        <w:spacing w:after="20"/>
      </w:pPr>
    </w:p>
    <w:p>
      <w:pPr>
        <w:pStyle w:val="Heading1"/>
        <w:keepNext/>
      </w:pPr>
      <w:r>
        <w:t>6. Final Research Gap and Novelty</w:t>
      </w:r>
    </w:p>
    <w:p>
      <w:pPr>
        <w:spacing w:after="120"/>
      </w:pPr>
      <w:r>
        <w:rPr>
          <w:i w:val="0"/>
        </w:rPr>
        <w:t>The novelty claim must be narrow and accurate, and it was narrowed in v2.0. This project is not the first unlearning benchmark, not the first to use membership inference, not the first to compare against retraining, not the first to study representations, not the first to test relearning, and — since [20] — not the first to quantify disagreement between audit families. What remains open is narrower and sharper: existing disagreement studies compare output-, privacy- and alignment-based metrics only, quantify disagreement without adjudicating it, and hold the difficulty of the deletion request fixed.</w:t>
      </w:r>
    </w:p>
    <w:tbl>
      <w:tblPr>
        <w:tblStyle w:val="TableGrid"/>
        <w:tblW w:type="auto" w:w="0"/>
        <w:jc w:val="center"/>
        <w:tblLook w:firstColumn="1" w:firstRow="1" w:lastColumn="0" w:lastRow="0" w:noHBand="0" w:noVBand="1" w:val="04A0"/>
      </w:tblPr>
      <w:tblGrid>
        <w:gridCol w:w="9242"/>
      </w:tblGrid>
      <w:tr>
        <w:trPr>
          <w:cantSplit/>
        </w:trPr>
        <w:tc>
          <w:tcPr>
            <w:tcW w:type="dxa" w:w="9242"/>
            <w:shd w:fill="EAF3F8"/>
          </w:tcPr>
          <w:p>
            <w:pPr>
              <w:spacing w:after="60"/>
            </w:pPr>
            <w:r>
              <w:rPr>
                <w:b/>
                <w:color w:val="17324D"/>
                <w:sz w:val="23"/>
              </w:rPr>
              <w:t>Final novelty statement</w:t>
            </w:r>
          </w:p>
          <w:p>
            <w:pPr>
              <w:spacing w:after="20"/>
            </w:pPr>
            <w:r>
              <w:rPr>
                <w:sz w:val="21"/>
              </w:rPr>
              <w:t>ForgetCheck extends cross-audit analysis of approximate Untraining in three directions and adds a validity layer. It introduces controlled relearning as a fourth ranked audit family — the axis prior work identified as missing but did not scale; it measures disagreement within the privacy family as well as between families, by contrasting a population membership-inference attack with a per-example one; and it treats forget-set memorization difficulty as an experimental factor rather than a fixed condition. Every audit is calibrated against an ensemble of independently retrained oracles and validated on a canary condition where residual influence is known by construction, so that audits can be scored for accuracy rather than only compared for agreement.</w:t>
            </w:r>
          </w:p>
        </w:tc>
      </w:tr>
    </w:tbl>
    <w:p>
      <w:pPr>
        <w:spacing w:after="20"/>
      </w:pPr>
    </w:p>
    <w:p>
      <w:pPr>
        <w:spacing w:after="120"/>
      </w:pPr>
      <w:r>
        <w:rPr>
          <w:i w:val="0"/>
        </w:rPr>
        <w:t>The contributions are therefore ordered as follows. First and primary: audit validity — determining which audit families give trustworthy verdicts, measured as false-positive rate against independently retrained oracles and as accuracy against the canary condition. Second: the reversibility axis, absent from existing disagreement studies. Third: the interaction between audit disagreement and forget-set difficulty, motivated by evidence that random deletion sets may be insufficiently discriminative [7] and that unlearning difficulty depends on the characteristics of the deleted samples [8]. Fourth and explicitly secondary: replication of the cross-audit disagreement finding of [20] in a clean unimodal, instance-level setting with a true from-scratch oracle ensemble. Replication is stated as replication.</w:t>
      </w:r>
    </w:p>
    <w:p>
      <w:pPr>
        <w:pStyle w:val="Heading1"/>
        <w:keepNext/>
      </w:pPr>
      <w:r>
        <w:t>7. Research Problem Statement</w:t>
      </w:r>
    </w:p>
    <w:p>
      <w:pPr>
        <w:spacing w:after="120"/>
      </w:pPr>
      <w:r>
        <w:rPr>
          <w:i w:val="0"/>
        </w:rPr>
        <w:t>Approximate machine-unlearning algorithms are commonly evaluated using behavioral performance, privacy attacks, similarity to retrained models or changes in internal representations. However, recent evidence suggests that individual evaluation approaches may provide incomplete or misleading evidence of forgetting, and the apparent difficulty of unlearning depends on the composition of the forget set. This project proposes a retraining-grounded experimental study to determine whether behavioral, membership-privacy, representation-level and relearning audits provide consistent conclusions when evaluating approximate machine-unlearning algorithms under random and high-memorization deletion scenarios.</w:t>
      </w:r>
    </w:p>
    <w:p>
      <w:pPr>
        <w:pStyle w:val="Heading1"/>
        <w:keepNext/>
      </w:pPr>
      <w:r>
        <w:t>8. Objectives, Research Questions and Hypotheses</w:t>
      </w:r>
    </w:p>
    <w:p>
      <w:pPr>
        <w:pStyle w:val="Heading2"/>
        <w:keepNext/>
      </w:pPr>
      <w:r>
        <w:t>8.1 Official Objectives</w:t>
      </w:r>
    </w:p>
    <w:p>
      <w:pPr>
        <w:spacing w:after="60"/>
        <w:ind w:left="403" w:hanging="317"/>
      </w:pPr>
      <w:r>
        <w:rPr>
          <w:b/>
        </w:rPr>
        <w:t xml:space="preserve">1. </w:t>
      </w:r>
      <w:r>
        <w:t>To implement and comparatively evaluate representative approximate machine-unlearning techniques on a standard deep-learning benchmark.</w:t>
      </w:r>
    </w:p>
    <w:p>
      <w:pPr>
        <w:spacing w:after="60"/>
        <w:ind w:left="403" w:hanging="317"/>
      </w:pPr>
      <w:r>
        <w:rPr>
          <w:b/>
        </w:rPr>
        <w:t xml:space="preserve">2. </w:t>
      </w:r>
      <w:r>
        <w:t>To develop a reproducible multi-level audit pipeline covering behavioral performance, retraining similarity, membership privacy, representation changes and relearning behavior.</w:t>
      </w:r>
    </w:p>
    <w:p>
      <w:pPr>
        <w:spacing w:after="60"/>
        <w:ind w:left="403" w:hanging="317"/>
      </w:pPr>
      <w:r>
        <w:rPr>
          <w:b/>
        </w:rPr>
        <w:t xml:space="preserve">3. </w:t>
      </w:r>
      <w:r>
        <w:t>To quantitatively study whether different auditing techniques agree or disagree when ranking machine-unlearning algorithms.</w:t>
      </w:r>
    </w:p>
    <w:p>
      <w:pPr>
        <w:spacing w:after="60"/>
        <w:ind w:left="403" w:hanging="317"/>
      </w:pPr>
      <w:r>
        <w:rPr>
          <w:b/>
        </w:rPr>
        <w:t xml:space="preserve">4. </w:t>
      </w:r>
      <w:r>
        <w:t>To investigate whether audit conclusions change when the forget set consists of randomly selected examples versus high-influence/high-memorization training examples.</w:t>
      </w:r>
    </w:p>
    <w:p>
      <w:pPr>
        <w:spacing w:after="60"/>
        <w:ind w:left="403" w:hanging="317"/>
      </w:pPr>
      <w:r>
        <w:rPr>
          <w:b/>
        </w:rPr>
        <w:t xml:space="preserve">5. </w:t>
      </w:r>
      <w:r>
        <w:t>To analyze the trade-off between forgetting effectiveness, retained model utility, privacy, computational cost and reversibility.</w:t>
      </w:r>
    </w:p>
    <w:p>
      <w:pPr>
        <w:pStyle w:val="Heading2"/>
        <w:keepNext/>
      </w:pPr>
      <w:r>
        <w:t>8.2 Research Questions</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936"/>
            <w:shd w:fill="17324D"/>
            <w:vAlign w:val="center"/>
          </w:tcPr>
          <w:p>
            <w:r>
              <w:rPr>
                <w:rFonts w:ascii="Times New Roman" w:hAnsi="Times New Roman"/>
                <w:b/>
                <w:color w:val="FFFFFF"/>
                <w:sz w:val="19"/>
              </w:rPr>
              <w:t>ID</w:t>
            </w:r>
          </w:p>
        </w:tc>
        <w:tc>
          <w:tcPr>
            <w:tcW w:type="dxa" w:w="8280"/>
            <w:shd w:fill="17324D"/>
            <w:vAlign w:val="center"/>
          </w:tcPr>
          <w:p>
            <w:r>
              <w:rPr>
                <w:rFonts w:ascii="Times New Roman" w:hAnsi="Times New Roman"/>
                <w:b/>
                <w:color w:val="FFFFFF"/>
                <w:sz w:val="19"/>
              </w:rPr>
              <w:t>Research Question</w:t>
            </w:r>
          </w:p>
        </w:tc>
      </w:tr>
      <w:tr>
        <w:trPr>
          <w:cantSplit/>
        </w:trPr>
        <w:tc>
          <w:tcPr>
            <w:tcW w:type="dxa" w:w="936"/>
            <w:vAlign w:val="top"/>
          </w:tcPr>
          <w:p>
            <w:pPr>
              <w:spacing w:after="40"/>
            </w:pPr>
            <w:r>
              <w:rPr>
                <w:rFonts w:ascii="Times New Roman" w:hAnsi="Times New Roman"/>
                <w:sz w:val="19"/>
              </w:rPr>
              <w:t>RQ1</w:t>
            </w:r>
          </w:p>
        </w:tc>
        <w:tc>
          <w:tcPr>
            <w:tcW w:type="dxa" w:w="8280"/>
            <w:vAlign w:val="top"/>
          </w:tcPr>
          <w:p>
            <w:pPr>
              <w:spacing w:after="40"/>
            </w:pPr>
            <w:r>
              <w:rPr>
                <w:rFonts w:ascii="Times New Roman" w:hAnsi="Times New Roman"/>
                <w:sz w:val="19"/>
              </w:rPr>
              <w:t>How closely do approximate unlearning methods reproduce the behavior of a model retrained from scratch without the forgotten data?</w:t>
            </w:r>
          </w:p>
        </w:tc>
      </w:tr>
      <w:tr>
        <w:trPr>
          <w:cantSplit/>
        </w:trPr>
        <w:tc>
          <w:tcPr>
            <w:tcW w:type="dxa" w:w="936"/>
            <w:vAlign w:val="top"/>
            <w:shd w:fill="F5F7F9"/>
          </w:tcPr>
          <w:p>
            <w:pPr>
              <w:spacing w:after="40"/>
            </w:pPr>
            <w:r>
              <w:rPr>
                <w:rFonts w:ascii="Times New Roman" w:hAnsi="Times New Roman"/>
                <w:sz w:val="19"/>
              </w:rPr>
              <w:t>RQ2</w:t>
            </w:r>
          </w:p>
        </w:tc>
        <w:tc>
          <w:tcPr>
            <w:tcW w:type="dxa" w:w="8280"/>
            <w:vAlign w:val="top"/>
            <w:shd w:fill="F5F7F9"/>
          </w:tcPr>
          <w:p>
            <w:pPr>
              <w:spacing w:after="40"/>
            </w:pPr>
            <w:r>
              <w:rPr>
                <w:rFonts w:ascii="Times New Roman" w:hAnsi="Times New Roman"/>
                <w:sz w:val="19"/>
              </w:rPr>
              <w:t>Do behavioral metrics and membership-inference metrics reach the same conclusions regarding successful unlearning — and do two membership-inference attacks of different strength reach the same conclusion as each other?</w:t>
            </w:r>
          </w:p>
        </w:tc>
      </w:tr>
      <w:tr>
        <w:trPr>
          <w:cantSplit/>
        </w:trPr>
        <w:tc>
          <w:tcPr>
            <w:tcW w:type="dxa" w:w="936"/>
            <w:vAlign w:val="top"/>
          </w:tcPr>
          <w:p>
            <w:pPr>
              <w:spacing w:after="40"/>
            </w:pPr>
            <w:r>
              <w:rPr>
                <w:rFonts w:ascii="Times New Roman" w:hAnsi="Times New Roman"/>
                <w:sz w:val="19"/>
              </w:rPr>
              <w:t>RQ3</w:t>
            </w:r>
          </w:p>
        </w:tc>
        <w:tc>
          <w:tcPr>
            <w:tcW w:type="dxa" w:w="8280"/>
            <w:vAlign w:val="top"/>
          </w:tcPr>
          <w:p>
            <w:pPr>
              <w:spacing w:after="40"/>
            </w:pPr>
            <w:r>
              <w:rPr>
                <w:rFonts w:ascii="Times New Roman" w:hAnsi="Times New Roman"/>
                <w:sz w:val="19"/>
              </w:rPr>
              <w:t>Can an apparently successful unlearned model remain more similar internally to the original model than to the retrained oracle?</w:t>
            </w:r>
          </w:p>
        </w:tc>
      </w:tr>
      <w:tr>
        <w:trPr>
          <w:cantSplit/>
        </w:trPr>
        <w:tc>
          <w:tcPr>
            <w:tcW w:type="dxa" w:w="936"/>
            <w:vAlign w:val="top"/>
            <w:shd w:fill="F5F7F9"/>
          </w:tcPr>
          <w:p>
            <w:pPr>
              <w:spacing w:after="40"/>
            </w:pPr>
            <w:r>
              <w:rPr>
                <w:rFonts w:ascii="Times New Roman" w:hAnsi="Times New Roman"/>
                <w:sz w:val="19"/>
              </w:rPr>
              <w:t>RQ4</w:t>
            </w:r>
          </w:p>
        </w:tc>
        <w:tc>
          <w:tcPr>
            <w:tcW w:type="dxa" w:w="8280"/>
            <w:vAlign w:val="top"/>
            <w:shd w:fill="F5F7F9"/>
          </w:tcPr>
          <w:p>
            <w:pPr>
              <w:spacing w:after="40"/>
            </w:pPr>
            <w:r>
              <w:rPr>
                <w:rFonts w:ascii="Times New Roman" w:hAnsi="Times New Roman"/>
                <w:sz w:val="19"/>
              </w:rPr>
              <w:t>Does rapid relearning reveal residual structure not captured by conventional behavioral or privacy metrics?</w:t>
            </w:r>
          </w:p>
        </w:tc>
      </w:tr>
      <w:tr>
        <w:trPr>
          <w:cantSplit/>
        </w:trPr>
        <w:tc>
          <w:tcPr>
            <w:tcW w:type="dxa" w:w="936"/>
            <w:vAlign w:val="top"/>
          </w:tcPr>
          <w:p>
            <w:pPr>
              <w:spacing w:after="40"/>
            </w:pPr>
            <w:r>
              <w:rPr>
                <w:rFonts w:ascii="Times New Roman" w:hAnsi="Times New Roman"/>
                <w:sz w:val="19"/>
              </w:rPr>
              <w:t>RQ5</w:t>
            </w:r>
          </w:p>
        </w:tc>
        <w:tc>
          <w:tcPr>
            <w:tcW w:type="dxa" w:w="8280"/>
            <w:vAlign w:val="top"/>
          </w:tcPr>
          <w:p>
            <w:pPr>
              <w:spacing w:after="40"/>
            </w:pPr>
            <w:r>
              <w:rPr>
                <w:rFonts w:ascii="Times New Roman" w:hAnsi="Times New Roman"/>
                <w:sz w:val="19"/>
              </w:rPr>
              <w:t>Does audit disagreement become greater for high-memorization / influential forget sets than for randomly selected forget sets?</w:t>
            </w:r>
          </w:p>
        </w:tc>
      </w:tr>
      <w:tr>
        <w:trPr>
          <w:cantSplit/>
        </w:trPr>
        <w:tc>
          <w:tcPr>
            <w:tcW w:type="dxa" w:w="936"/>
            <w:vAlign w:val="top"/>
          </w:tcPr>
          <w:p>
            <w:pPr>
              <w:spacing w:after="40"/>
            </w:pPr>
            <w:r>
              <w:rPr>
                <w:rFonts w:ascii="Times New Roman" w:hAnsi="Times New Roman"/>
                <w:sz w:val="19"/>
              </w:rPr>
              <w:t>RQ6</w:t>
            </w:r>
          </w:p>
        </w:tc>
        <w:tc>
          <w:tcPr>
            <w:tcW w:type="dxa" w:w="8280"/>
            <w:vAlign w:val="top"/>
          </w:tcPr>
          <w:p>
            <w:pPr>
              <w:spacing w:after="40"/>
            </w:pPr>
            <w:r>
              <w:rPr>
                <w:rFonts w:ascii="Times New Roman" w:hAnsi="Times New Roman"/>
                <w:sz w:val="19"/>
              </w:rPr>
              <w:t>Which audit families produce correct verdicts, judged by their false-positive rate against independently retrained oracles and by their accuracy on a canary condition where residual influence is known by construction?</w:t>
            </w:r>
          </w:p>
        </w:tc>
      </w:tr>
    </w:tbl>
    <w:p>
      <w:pPr>
        <w:spacing w:after="20"/>
      </w:pPr>
    </w:p>
    <w:p>
      <w:pPr>
        <w:pStyle w:val="Heading2"/>
        <w:keepNext/>
      </w:pPr>
      <w:r>
        <w:t>8.3 Working Hypotheses</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936"/>
            <w:shd w:fill="17324D"/>
            <w:vAlign w:val="center"/>
          </w:tcPr>
          <w:p>
            <w:r>
              <w:rPr>
                <w:rFonts w:ascii="Times New Roman" w:hAnsi="Times New Roman"/>
                <w:b/>
                <w:color w:val="FFFFFF"/>
                <w:sz w:val="19"/>
              </w:rPr>
              <w:t>ID</w:t>
            </w:r>
          </w:p>
        </w:tc>
        <w:tc>
          <w:tcPr>
            <w:tcW w:type="dxa" w:w="8280"/>
            <w:shd w:fill="17324D"/>
            <w:vAlign w:val="center"/>
          </w:tcPr>
          <w:p>
            <w:r>
              <w:rPr>
                <w:rFonts w:ascii="Times New Roman" w:hAnsi="Times New Roman"/>
                <w:b/>
                <w:color w:val="FFFFFF"/>
                <w:sz w:val="19"/>
              </w:rPr>
              <w:t>Hypothesis</w:t>
            </w:r>
          </w:p>
        </w:tc>
      </w:tr>
      <w:tr>
        <w:trPr>
          <w:cantSplit/>
        </w:trPr>
        <w:tc>
          <w:tcPr>
            <w:tcW w:type="dxa" w:w="936"/>
            <w:vAlign w:val="top"/>
          </w:tcPr>
          <w:p>
            <w:pPr>
              <w:spacing w:after="40"/>
            </w:pPr>
            <w:r>
              <w:rPr>
                <w:rFonts w:ascii="Times New Roman" w:hAnsi="Times New Roman"/>
                <w:sz w:val="19"/>
              </w:rPr>
              <w:t>H1</w:t>
            </w:r>
          </w:p>
        </w:tc>
        <w:tc>
          <w:tcPr>
            <w:tcW w:type="dxa" w:w="8280"/>
            <w:vAlign w:val="top"/>
          </w:tcPr>
          <w:p>
            <w:pPr>
              <w:spacing w:after="40"/>
            </w:pPr>
            <w:r>
              <w:rPr>
                <w:rFonts w:ascii="Times New Roman" w:hAnsi="Times New Roman"/>
                <w:sz w:val="19"/>
              </w:rPr>
              <w:t>Replication target, not a novel prediction. Approximate unlearning algorithms that perform well under output-level evaluation will remain distinguishable from full retraining under representation-level analysis. This has been established independently by [22] and [23]; ForgetCheck predicts the effect will be larger for high-memorization forget sets than for random ones.</w:t>
            </w:r>
          </w:p>
        </w:tc>
      </w:tr>
      <w:tr>
        <w:trPr>
          <w:cantSplit/>
        </w:trPr>
        <w:tc>
          <w:tcPr>
            <w:tcW w:type="dxa" w:w="936"/>
            <w:vAlign w:val="top"/>
            <w:shd w:fill="F5F7F9"/>
          </w:tcPr>
          <w:p>
            <w:pPr>
              <w:spacing w:after="40"/>
            </w:pPr>
            <w:r>
              <w:rPr>
                <w:rFonts w:ascii="Times New Roman" w:hAnsi="Times New Roman"/>
                <w:sz w:val="19"/>
              </w:rPr>
              <w:t>H2</w:t>
            </w:r>
          </w:p>
        </w:tc>
        <w:tc>
          <w:tcPr>
            <w:tcW w:type="dxa" w:w="8280"/>
            <w:vAlign w:val="top"/>
            <w:shd w:fill="F5F7F9"/>
          </w:tcPr>
          <w:p>
            <w:pPr>
              <w:spacing w:after="40"/>
            </w:pPr>
            <w:r>
              <w:rPr>
                <w:rFonts w:ascii="Times New Roman" w:hAnsi="Times New Roman"/>
                <w:sz w:val="19"/>
              </w:rPr>
              <w:t>H2a (between families): membership-inference success and behavioral similarity will not always rank unlearning algorithms identically. H2b (within the privacy family): a population membership-inference attack and a per-example attack will not always rank them identically either, and the population attack will systematically rank methods as more private [21].</w:t>
            </w:r>
          </w:p>
        </w:tc>
      </w:tr>
      <w:tr>
        <w:trPr>
          <w:cantSplit/>
        </w:trPr>
        <w:tc>
          <w:tcPr>
            <w:tcW w:type="dxa" w:w="936"/>
            <w:vAlign w:val="top"/>
          </w:tcPr>
          <w:p>
            <w:pPr>
              <w:spacing w:after="40"/>
            </w:pPr>
            <w:r>
              <w:rPr>
                <w:rFonts w:ascii="Times New Roman" w:hAnsi="Times New Roman"/>
                <w:sz w:val="19"/>
              </w:rPr>
              <w:t>H3</w:t>
            </w:r>
          </w:p>
        </w:tc>
        <w:tc>
          <w:tcPr>
            <w:tcW w:type="dxa" w:w="8280"/>
            <w:vAlign w:val="top"/>
          </w:tcPr>
          <w:p>
            <w:pPr>
              <w:spacing w:after="40"/>
            </w:pPr>
            <w:r>
              <w:rPr>
                <w:rFonts w:ascii="Times New Roman" w:hAnsi="Times New Roman"/>
                <w:sz w:val="19"/>
              </w:rPr>
              <w:t>Models retaining representations closer to the original model may exhibit faster relearning than models whose representations more closely resemble the retrained oracle.</w:t>
            </w:r>
          </w:p>
        </w:tc>
      </w:tr>
      <w:tr>
        <w:trPr>
          <w:cantSplit/>
        </w:trPr>
        <w:tc>
          <w:tcPr>
            <w:tcW w:type="dxa" w:w="936"/>
            <w:vAlign w:val="top"/>
            <w:shd w:fill="F5F7F9"/>
          </w:tcPr>
          <w:p>
            <w:pPr>
              <w:spacing w:after="40"/>
            </w:pPr>
            <w:r>
              <w:rPr>
                <w:rFonts w:ascii="Times New Roman" w:hAnsi="Times New Roman"/>
                <w:sz w:val="19"/>
              </w:rPr>
              <w:t>H4</w:t>
            </w:r>
          </w:p>
        </w:tc>
        <w:tc>
          <w:tcPr>
            <w:tcW w:type="dxa" w:w="8280"/>
            <w:vAlign w:val="top"/>
            <w:shd w:fill="F5F7F9"/>
          </w:tcPr>
          <w:p>
            <w:pPr>
              <w:spacing w:after="40"/>
            </w:pPr>
            <w:r>
              <w:rPr>
                <w:rFonts w:ascii="Times New Roman" w:hAnsi="Times New Roman"/>
                <w:sz w:val="19"/>
              </w:rPr>
              <w:t>High-memorization forget sets will reveal larger differences among unlearning algorithms, and greater disagreement among audit families, than equally sized low-memorization or randomly selected forget sets. Low-memorization forget sets are expected to show little of either, and serve as a designed negative control.</w:t>
            </w:r>
          </w:p>
        </w:tc>
      </w:tr>
      <w:tr>
        <w:trPr>
          <w:cantSplit/>
        </w:trPr>
        <w:tc>
          <w:tcPr>
            <w:tcW w:type="dxa" w:w="936"/>
            <w:vAlign w:val="top"/>
            <w:shd w:fill="F5F7F9"/>
          </w:tcPr>
          <w:p>
            <w:pPr>
              <w:spacing w:after="40"/>
            </w:pPr>
            <w:r>
              <w:rPr>
                <w:rFonts w:ascii="Times New Roman" w:hAnsi="Times New Roman"/>
                <w:sz w:val="19"/>
              </w:rPr>
              <w:t>H5</w:t>
            </w:r>
          </w:p>
        </w:tc>
        <w:tc>
          <w:tcPr>
            <w:tcW w:type="dxa" w:w="8280"/>
            <w:vAlign w:val="top"/>
            <w:shd w:fill="F5F7F9"/>
          </w:tcPr>
          <w:p>
            <w:pPr>
              <w:spacing w:after="40"/>
            </w:pPr>
            <w:r>
              <w:rPr>
                <w:rFonts w:ascii="Times New Roman" w:hAnsi="Times New Roman"/>
                <w:sz w:val="19"/>
              </w:rPr>
              <w:t>Audit families will differ in validity, not merely in verdict. At least one audit family is expected to flag an independently retrained oracle as insufficiently forgotten, which would indicate a false-positive problem in that audit rather than a failure of retraining.</w:t>
            </w:r>
          </w:p>
        </w:tc>
      </w:tr>
    </w:tbl>
    <w:p>
      <w:pPr>
        <w:spacing w:after="20"/>
      </w:pPr>
    </w:p>
    <w:tbl>
      <w:tblPr>
        <w:tblStyle w:val="TableGrid"/>
        <w:tblW w:type="auto" w:w="0"/>
        <w:jc w:val="center"/>
        <w:tblLook w:firstColumn="1" w:firstRow="1" w:lastColumn="0" w:lastRow="0" w:noHBand="0" w:noVBand="1" w:val="04A0"/>
      </w:tblPr>
      <w:tblGrid>
        <w:gridCol w:w="9242"/>
      </w:tblGrid>
      <w:tr>
        <w:trPr>
          <w:cantSplit/>
        </w:trPr>
        <w:tc>
          <w:tcPr>
            <w:tcW w:type="dxa" w:w="9242"/>
            <w:shd w:fill="FFF4D6"/>
          </w:tcPr>
          <w:p>
            <w:pPr>
              <w:spacing w:after="60"/>
            </w:pPr>
            <w:r>
              <w:rPr>
                <w:b/>
                <w:color w:val="17324D"/>
                <w:sz w:val="23"/>
              </w:rPr>
              <w:t>Scientific integrity rule</w:t>
            </w:r>
          </w:p>
          <w:p>
            <w:pPr>
              <w:spacing w:after="20"/>
            </w:pPr>
            <w:r>
              <w:rPr>
                <w:sz w:val="21"/>
              </w:rPr>
              <w:t>The hypotheses are testable propositions, not desired outcomes. Agreement across all audits would also be a valid result and could imply that simpler audits are sufficient in the studied small-model setting.</w:t>
            </w:r>
          </w:p>
        </w:tc>
      </w:tr>
    </w:tbl>
    <w:p>
      <w:pPr>
        <w:spacing w:after="20"/>
      </w:pPr>
    </w:p>
    <w:p>
      <w:pPr>
        <w:pStyle w:val="Heading1"/>
        <w:keepNext/>
      </w:pPr>
      <w:r>
        <w:t>9. Scope and Out-of-Scope Boundaries</w:t>
      </w:r>
    </w:p>
    <w:p>
      <w:pPr>
        <w:pStyle w:val="Heading2"/>
        <w:keepNext/>
      </w:pPr>
      <w:r>
        <w:t>9.1 In Scope</w:t>
      </w:r>
    </w:p>
    <w:p>
      <w:pPr>
        <w:pStyle w:val="ListBullet"/>
        <w:spacing w:after="60"/>
        <w:ind w:left="346"/>
      </w:pPr>
      <w:r>
        <w:t>CIFAR-10 as the primary benchmark and ResNet-18 as the primary architecture.</w:t>
      </w:r>
    </w:p>
    <w:p>
      <w:pPr>
        <w:pStyle w:val="ListBullet"/>
        <w:spacing w:after="60"/>
        <w:ind w:left="346"/>
      </w:pPr>
      <w:r>
        <w:t>Approximate post-hoc machine-unlearning methods with different mechanisms.</w:t>
      </w:r>
    </w:p>
    <w:p>
      <w:pPr>
        <w:pStyle w:val="ListBullet"/>
        <w:spacing w:after="60"/>
        <w:ind w:left="346"/>
      </w:pPr>
      <w:r>
        <w:t>Full retraining as a practical oracle/reference for the selected small-scale experiments.</w:t>
      </w:r>
    </w:p>
    <w:p>
      <w:pPr>
        <w:pStyle w:val="ListBullet"/>
        <w:spacing w:after="60"/>
        <w:ind w:left="346"/>
      </w:pPr>
      <w:r>
        <w:t>Behavioral, privacy, representation-level and relearning audits.</w:t>
      </w:r>
    </w:p>
    <w:p>
      <w:pPr>
        <w:pStyle w:val="ListBullet"/>
        <w:spacing w:after="60"/>
        <w:ind w:left="346"/>
      </w:pPr>
      <w:r>
        <w:t>Two orthogonal forget-set factors: a deletion-size axis and a memorization-difficulty axis at fixed size, plus a canary condition providing ground truth by construction.</w:t>
      </w:r>
    </w:p>
    <w:p>
      <w:pPr>
        <w:pStyle w:val="ListBullet"/>
        <w:spacing w:after="60"/>
        <w:ind w:left="346"/>
      </w:pPr>
      <w:r>
        <w:t>Multi-seed experiments, uncertainty reporting and rank/disagreement analysis.</w:t>
      </w:r>
    </w:p>
    <w:p>
      <w:pPr>
        <w:pStyle w:val="ListParagraph"/>
        <w:spacing w:after="60"/>
        <w:ind w:left="346"/>
      </w:pPr>
      <w:r>
        <w:t>Calibration of each audit family for validity, using held-out retrained oracles and the canary condition, in addition to comparing audits with one another.</w:t>
      </w:r>
    </w:p>
    <w:p>
      <w:pPr>
        <w:pStyle w:val="ListParagraph"/>
        <w:spacing w:after="60"/>
        <w:ind w:left="346"/>
      </w:pPr>
      <w:r>
        <w:t>An ensemble of independently retrained models treated as a reference distribution, rather than a single retrained model treated as ground truth.</w:t>
      </w:r>
    </w:p>
    <w:p>
      <w:pPr>
        <w:pStyle w:val="ListBullet"/>
        <w:spacing w:after="60"/>
        <w:ind w:left="346"/>
      </w:pPr>
      <w:r>
        <w:t>A reproducible codebase plus a Streamlit demonstration dashboard.</w:t>
      </w:r>
    </w:p>
    <w:p>
      <w:pPr>
        <w:pStyle w:val="Heading2"/>
        <w:keepNext/>
      </w:pPr>
      <w:r>
        <w:t>9.2 Explicitly Out of Scope</w:t>
      </w:r>
    </w:p>
    <w:p>
      <w:pPr>
        <w:pStyle w:val="ListBullet"/>
        <w:spacing w:after="60"/>
        <w:ind w:left="346"/>
      </w:pPr>
      <w:r>
        <w:t>Formal proof that every trace of a sample has been removed from arbitrary neural-network weights.</w:t>
      </w:r>
    </w:p>
    <w:p>
      <w:pPr>
        <w:pStyle w:val="ListBullet"/>
        <w:spacing w:after="60"/>
        <w:ind w:left="346"/>
      </w:pPr>
      <w:r>
        <w:t>Certified unlearning for arbitrary deep networks.</w:t>
      </w:r>
    </w:p>
    <w:p>
      <w:pPr>
        <w:pStyle w:val="ListBullet"/>
        <w:spacing w:after="60"/>
        <w:ind w:left="346"/>
      </w:pPr>
      <w:r>
        <w:t>Training a large language model from scratch.</w:t>
      </w:r>
    </w:p>
    <w:p>
      <w:pPr>
        <w:pStyle w:val="ListBullet"/>
        <w:spacing w:after="60"/>
        <w:ind w:left="346"/>
      </w:pPr>
      <w:r>
        <w:t>Cryptographic proof-of-unlearning or trusted-hardware attestation.</w:t>
      </w:r>
    </w:p>
    <w:p>
      <w:pPr>
        <w:pStyle w:val="ListBullet"/>
        <w:spacing w:after="60"/>
        <w:ind w:left="346"/>
      </w:pPr>
      <w:r>
        <w:t>Legal certification of GDPR compliance.</w:t>
      </w:r>
    </w:p>
    <w:p>
      <w:pPr>
        <w:pStyle w:val="ListBullet"/>
        <w:spacing w:after="60"/>
        <w:ind w:left="346"/>
      </w:pPr>
      <w:r>
        <w:t>Benchmarking large numbers of architectures or datasets at the cost of audit depth.</w:t>
      </w:r>
    </w:p>
    <w:p>
      <w:pPr>
        <w:pStyle w:val="ListBullet"/>
        <w:spacing w:after="60"/>
        <w:ind w:left="346"/>
      </w:pPr>
      <w:r>
        <w:t>Claiming that a passing membership-inference attack alone proves successful deletion.</w:t>
      </w:r>
    </w:p>
    <w:p>
      <w:pPr>
        <w:pStyle w:val="Heading1"/>
        <w:keepNext/>
      </w:pPr>
      <w:r>
        <w:t>10. Experimental Architecture</w:t>
      </w:r>
    </w:p>
    <w:p>
      <w:pPr>
        <w:spacing w:after="120"/>
      </w:pPr>
      <w:r>
        <w:rPr>
          <w:i w:val="0"/>
        </w:rPr>
        <w:t>Every primary experiment contains three model states: an original model M0 trained on all data, an unlearned model Mu produced by an approximate unlearning algorithm, and a retrained oracle Mr trained from scratch without the forget set. The audit stage compares Mu to both M0 and Mr. This three-way structure prevents the project from treating a single degraded output as evidence of successful forgetting.</w:t>
      </w:r>
    </w:p>
    <w:p>
      <w:pPr>
        <w:jc w:val="center"/>
      </w:pPr>
      <w:r>
        <w:drawing>
          <wp:inline xmlns:a="http://schemas.openxmlformats.org/drawingml/2006/main" xmlns:pic="http://schemas.openxmlformats.org/drawingml/2006/picture">
            <wp:extent cx="5989320" cy="3388389"/>
            <wp:docPr id="1" name="Picture 1"/>
            <wp:cNvGraphicFramePr>
              <a:graphicFrameLocks noChangeAspect="1"/>
            </wp:cNvGraphicFramePr>
            <a:graphic>
              <a:graphicData uri="http://schemas.openxmlformats.org/drawingml/2006/picture">
                <pic:pic>
                  <pic:nvPicPr>
                    <pic:cNvPr id="0" name="forgetcheck_architecture.png"/>
                    <pic:cNvPicPr/>
                  </pic:nvPicPr>
                  <pic:blipFill>
                    <a:blip r:embed="rId11"/>
                    <a:stretch>
                      <a:fillRect/>
                    </a:stretch>
                  </pic:blipFill>
                  <pic:spPr>
                    <a:xfrm>
                      <a:off x="0" y="0"/>
                      <a:ext cx="5989320" cy="3388389"/>
                    </a:xfrm>
                    <a:prstGeom prst="rect"/>
                  </pic:spPr>
                </pic:pic>
              </a:graphicData>
            </a:graphic>
          </wp:inline>
        </w:drawing>
      </w:r>
    </w:p>
    <w:p>
      <w:pPr>
        <w:jc w:val="center"/>
      </w:pPr>
      <w:r>
        <w:rPr>
          <w:i/>
          <w:sz w:val="19"/>
        </w:rPr>
        <w:t>Figure 1. Core ForgetCheck experimental architecture.</w:t>
      </w:r>
    </w:p>
    <w:p>
      <w:pPr>
        <w:spacing w:after="120"/>
      </w:pPr>
      <w:r>
        <w:rPr>
          <w:i w:val="0"/>
        </w:rPr>
        <w:t>The retrained model is not a competitor that approximate methods need to “beat.” It represents the counterfactual behavior we would obtain if the forget set had never participated in training. Approximate methods are evaluated by how closely they approach this behavior while requiring less computational effort.</w:t>
      </w:r>
    </w:p>
    <w:p>
      <w:pPr>
        <w:pStyle w:val="Heading1"/>
        <w:keepNext/>
      </w:pPr>
      <w:r>
        <w:t>11. Dataset and Model Decisions</w:t>
      </w:r>
    </w:p>
    <w:p>
      <w:pPr>
        <w:pStyle w:val="Heading2"/>
        <w:keepNext/>
      </w:pPr>
      <w:r>
        <w:t>11.1 Primary Dataset: CIFAR-10</w:t>
      </w:r>
    </w:p>
    <w:p>
      <w:pPr>
        <w:spacing w:after="120"/>
      </w:pPr>
      <w:r>
        <w:rPr>
          <w:i w:val="0"/>
        </w:rPr>
        <w:t>CIFAR-10 is the primary benchmark because it is standard, small enough to support repeated retraining, widely supported by PyTorch/torchvision, used in the NeurIPS Machine Unlearning Competition starter code [17], and compatible with publicly released memorization scores from RUM [8]. These properties are unusually valuable for a project whose main scientific requirement is repeated, controlled comparison against retraining.</w:t>
      </w:r>
    </w:p>
    <w:p>
      <w:pPr>
        <w:pStyle w:val="ListBullet"/>
        <w:spacing w:after="60"/>
        <w:ind w:left="346"/>
      </w:pPr>
      <w:r>
        <w:rPr>
          <w:b/>
        </w:rPr>
        <w:t xml:space="preserve">Dataset size: </w:t>
      </w:r>
      <w:r>
        <w:t>60,000 color images in 10 classes; 50,000 standard training images and 10,000 test images.</w:t>
      </w:r>
    </w:p>
    <w:p>
      <w:pPr>
        <w:pStyle w:val="ListBullet"/>
        <w:spacing w:after="60"/>
        <w:ind w:left="346"/>
      </w:pPr>
      <w:r>
        <w:rPr>
          <w:b/>
        </w:rPr>
        <w:t xml:space="preserve">Role in project: </w:t>
      </w:r>
      <w:r>
        <w:t>Primary dataset for all core experiments.</w:t>
      </w:r>
    </w:p>
    <w:p>
      <w:pPr>
        <w:pStyle w:val="ListBullet"/>
        <w:spacing w:after="60"/>
        <w:ind w:left="346"/>
      </w:pPr>
      <w:r>
        <w:rPr>
          <w:b/>
        </w:rPr>
        <w:t xml:space="preserve">Reason for choice: </w:t>
      </w:r>
      <w:r>
        <w:t>Strong reproducibility, manageable compute and existing unlearning infrastructure.</w:t>
      </w:r>
    </w:p>
    <w:p>
      <w:pPr>
        <w:pStyle w:val="ListBullet"/>
        <w:spacing w:after="60"/>
        <w:ind w:left="346"/>
      </w:pPr>
      <w:r>
        <w:rPr>
          <w:b/>
        </w:rPr>
        <w:t xml:space="preserve">Data source: </w:t>
      </w:r>
      <w:r>
        <w:t>torchvision.datasets.CIFAR10 or the official CIFAR distribution.</w:t>
      </w:r>
    </w:p>
    <w:p>
      <w:pPr>
        <w:pStyle w:val="Heading2"/>
        <w:keepNext/>
      </w:pPr>
      <w:r>
        <w:t>11.2 Secondary Dataset: CIFAR-100</w:t>
      </w:r>
    </w:p>
    <w:p>
      <w:pPr>
        <w:spacing w:after="120"/>
      </w:pPr>
      <w:r>
        <w:rPr>
          <w:i w:val="0"/>
        </w:rPr>
        <w:t>CIFAR-100 is optional secondary validation. It should be attempted only after the complete CIFAR-10 pipeline is stable. If time becomes limited, secondary-dataset breadth should be dropped before any of the core audit families are dropped.</w:t>
      </w:r>
    </w:p>
    <w:p>
      <w:pPr>
        <w:pStyle w:val="Heading2"/>
        <w:keepNext/>
      </w:pPr>
      <w:r>
        <w:t>11.3 Synthetic Data Policy</w:t>
      </w:r>
    </w:p>
    <w:p>
      <w:pPr>
        <w:spacing w:after="120"/>
      </w:pPr>
      <w:r>
        <w:rPr>
          <w:i w:val="0"/>
        </w:rPr>
        <w:t>Synthetic and constructed data is academically acceptable when it serves a controlled research purpose. TOFU is an important precedent, deliberately constructing fictitious author profiles to make LLM unlearning ground truth precise [9]. v2.0 adopts the same principle in a form suited to vision: a small canary set of deliberately mislabeled training examples. Canaries cannot be fitted by generalisation, only by memorisation, so a model retrained without them provably carries no canary-label association. This makes the canary condition the only setting in the study where the correct audit verdict is known in advance, which is what allows audits to be scored for accuracy in Section 15.5 rather than only compared with one another. The optional user-level simulation described in v1.0 remains optional and secondary; the LLM extension is withdrawn.</w:t>
      </w:r>
    </w:p>
    <w:p>
      <w:pPr>
        <w:pStyle w:val="Heading2"/>
        <w:keepNext/>
      </w:pPr>
      <w:r>
        <w:t>11.4 Primary Model: ResNet-18</w:t>
      </w:r>
    </w:p>
    <w:p>
      <w:pPr>
        <w:spacing w:after="120"/>
      </w:pPr>
      <w:r>
        <w:rPr>
          <w:i w:val="0"/>
        </w:rPr>
        <w:t>ResNet-18 is the primary model because it is well understood, computationally manageable, sufficiently deep for layer-wise representation analysis and easy to instrument for intermediate activations. The project should use one architecture first; architecture comparison is not the central research question.</w:t>
      </w:r>
    </w:p>
    <w:p>
      <w:pPr>
        <w:pStyle w:val="Heading1"/>
        <w:keepNext/>
      </w:pPr>
      <w:r>
        <w:t>12. Unlearning Methods</w:t>
      </w:r>
    </w:p>
    <w:p>
      <w:pPr>
        <w:spacing w:after="120"/>
      </w:pPr>
      <w:r>
        <w:rPr>
          <w:i w:val="0"/>
        </w:rPr>
        <w:t>Four core approximate methods are selected to provide mechanistic diversity without turning the semester into a reproduction exercise. The precise hyperparameters will be frozen only after pilot experiments and should be logged per run.</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2016"/>
            <w:shd w:fill="17324D"/>
            <w:vAlign w:val="center"/>
          </w:tcPr>
          <w:p>
            <w:r>
              <w:rPr>
                <w:rFonts w:ascii="Times New Roman" w:hAnsi="Times New Roman"/>
                <w:b/>
                <w:color w:val="FFFFFF"/>
                <w:sz w:val="18"/>
              </w:rPr>
              <w:t>Method</w:t>
            </w:r>
          </w:p>
        </w:tc>
        <w:tc>
          <w:tcPr>
            <w:tcW w:type="dxa" w:w="3600"/>
            <w:shd w:fill="17324D"/>
            <w:vAlign w:val="center"/>
          </w:tcPr>
          <w:p>
            <w:r>
              <w:rPr>
                <w:rFonts w:ascii="Times New Roman" w:hAnsi="Times New Roman"/>
                <w:b/>
                <w:color w:val="FFFFFF"/>
                <w:sz w:val="18"/>
              </w:rPr>
              <w:t>Mechanism</w:t>
            </w:r>
          </w:p>
        </w:tc>
        <w:tc>
          <w:tcPr>
            <w:tcW w:type="dxa" w:w="3744"/>
            <w:shd w:fill="17324D"/>
            <w:vAlign w:val="center"/>
          </w:tcPr>
          <w:p>
            <w:r>
              <w:rPr>
                <w:rFonts w:ascii="Times New Roman" w:hAnsi="Times New Roman"/>
                <w:b/>
                <w:color w:val="FFFFFF"/>
                <w:sz w:val="18"/>
              </w:rPr>
              <w:t>Why Included</w:t>
            </w:r>
          </w:p>
        </w:tc>
      </w:tr>
      <w:tr>
        <w:trPr>
          <w:cantSplit/>
        </w:trPr>
        <w:tc>
          <w:tcPr>
            <w:tcW w:type="dxa" w:w="2016"/>
            <w:vAlign w:val="top"/>
          </w:tcPr>
          <w:p>
            <w:pPr>
              <w:spacing w:after="40"/>
            </w:pPr>
            <w:r>
              <w:rPr>
                <w:rFonts w:ascii="Times New Roman" w:hAnsi="Times New Roman"/>
                <w:sz w:val="18"/>
              </w:rPr>
              <w:t>Fine-tuning</w:t>
            </w:r>
          </w:p>
        </w:tc>
        <w:tc>
          <w:tcPr>
            <w:tcW w:type="dxa" w:w="3600"/>
            <w:vAlign w:val="top"/>
          </w:tcPr>
          <w:p>
            <w:pPr>
              <w:spacing w:after="40"/>
            </w:pPr>
            <w:r>
              <w:rPr>
                <w:rFonts w:ascii="Times New Roman" w:hAnsi="Times New Roman"/>
                <w:sz w:val="18"/>
              </w:rPr>
              <w:t>Continue training M0 on the retain set R only.</w:t>
            </w:r>
          </w:p>
        </w:tc>
        <w:tc>
          <w:tcPr>
            <w:tcW w:type="dxa" w:w="3744"/>
            <w:vAlign w:val="top"/>
          </w:tcPr>
          <w:p>
            <w:pPr>
              <w:spacing w:after="40"/>
            </w:pPr>
            <w:r>
              <w:rPr>
                <w:rFonts w:ascii="Times New Roman" w:hAnsi="Times New Roman"/>
                <w:sz w:val="18"/>
              </w:rPr>
              <w:t>Very simple practical baseline. Tests whether exposure to retained data alone is sufficient to move the model toward retraining.</w:t>
            </w:r>
          </w:p>
        </w:tc>
      </w:tr>
      <w:tr>
        <w:trPr>
          <w:cantSplit/>
        </w:trPr>
        <w:tc>
          <w:tcPr>
            <w:tcW w:type="dxa" w:w="2016"/>
            <w:vAlign w:val="top"/>
            <w:shd w:fill="F5F7F9"/>
          </w:tcPr>
          <w:p>
            <w:pPr>
              <w:spacing w:after="40"/>
            </w:pPr>
            <w:r>
              <w:rPr>
                <w:rFonts w:ascii="Times New Roman" w:hAnsi="Times New Roman"/>
                <w:sz w:val="18"/>
              </w:rPr>
              <w:t>NegGrad+ (gradient ascent with retain regularization)</w:t>
            </w:r>
          </w:p>
        </w:tc>
        <w:tc>
          <w:tcPr>
            <w:tcW w:type="dxa" w:w="3600"/>
            <w:vAlign w:val="top"/>
            <w:shd w:fill="F5F7F9"/>
          </w:tcPr>
          <w:p>
            <w:pPr>
              <w:spacing w:after="40"/>
            </w:pPr>
            <w:r>
              <w:rPr>
                <w:rFonts w:ascii="Times New Roman" w:hAnsi="Times New Roman"/>
                <w:sz w:val="18"/>
              </w:rPr>
              <w:t>Ascend the loss on the forget set while simultaneously descending it on the retain set.</w:t>
            </w:r>
          </w:p>
        </w:tc>
        <w:tc>
          <w:tcPr>
            <w:tcW w:type="dxa" w:w="3744"/>
            <w:vAlign w:val="top"/>
            <w:shd w:fill="F5F7F9"/>
          </w:tcPr>
          <w:p>
            <w:pPr>
              <w:spacing w:after="40"/>
            </w:pPr>
            <w:r>
              <w:rPr>
                <w:rFonts w:ascii="Times New Roman" w:hAnsi="Times New Roman"/>
                <w:sz w:val="18"/>
              </w:rPr>
              <w:t>The standard strong gradient-ascent baseline in current vision unlearning work, and a consistent top performer on CIFAR-10 / ResNet-18. Primary representative of its family.</w:t>
            </w:r>
          </w:p>
        </w:tc>
      </w:tr>
      <w:tr>
        <w:trPr>
          <w:cantSplit/>
        </w:trPr>
        <w:tc>
          <w:tcPr>
            <w:tcW w:type="dxa" w:w="2016"/>
            <w:vAlign w:val="top"/>
          </w:tcPr>
          <w:p>
            <w:pPr>
              <w:spacing w:after="40"/>
            </w:pPr>
            <w:r>
              <w:rPr>
                <w:rFonts w:ascii="Times New Roman" w:hAnsi="Times New Roman"/>
                <w:sz w:val="18"/>
              </w:rPr>
              <w:t>SCRUB [4]</w:t>
            </w:r>
          </w:p>
        </w:tc>
        <w:tc>
          <w:tcPr>
            <w:tcW w:type="dxa" w:w="3600"/>
            <w:vAlign w:val="top"/>
          </w:tcPr>
          <w:p>
            <w:pPr>
              <w:spacing w:after="40"/>
            </w:pPr>
            <w:r>
              <w:rPr>
                <w:rFonts w:ascii="Times New Roman" w:hAnsi="Times New Roman"/>
                <w:sz w:val="18"/>
              </w:rPr>
              <w:t>Teacher/student style unlearning that preserves behavior on retained data while disrupting forgotten behavior.</w:t>
            </w:r>
          </w:p>
        </w:tc>
        <w:tc>
          <w:tcPr>
            <w:tcW w:type="dxa" w:w="3744"/>
            <w:vAlign w:val="top"/>
          </w:tcPr>
          <w:p>
            <w:pPr>
              <w:spacing w:after="40"/>
            </w:pPr>
            <w:r>
              <w:rPr>
                <w:rFonts w:ascii="Times New Roman" w:hAnsi="Times New Roman"/>
                <w:sz w:val="18"/>
              </w:rPr>
              <w:t>Strong published baseline with public code and MIA-oriented evaluation.</w:t>
            </w:r>
          </w:p>
        </w:tc>
      </w:tr>
      <w:tr>
        <w:trPr>
          <w:cantSplit/>
        </w:trPr>
        <w:tc>
          <w:tcPr>
            <w:tcW w:type="dxa" w:w="2016"/>
            <w:vAlign w:val="top"/>
            <w:shd w:fill="F5F7F9"/>
          </w:tcPr>
          <w:p>
            <w:pPr>
              <w:spacing w:after="40"/>
            </w:pPr>
            <w:r>
              <w:rPr>
                <w:rFonts w:ascii="Times New Roman" w:hAnsi="Times New Roman"/>
                <w:sz w:val="18"/>
              </w:rPr>
              <w:t>NegGrad (plain gradient ascent) — destructive control</w:t>
            </w:r>
          </w:p>
        </w:tc>
        <w:tc>
          <w:tcPr>
            <w:tcW w:type="dxa" w:w="3600"/>
            <w:vAlign w:val="top"/>
            <w:shd w:fill="F5F7F9"/>
          </w:tcPr>
          <w:p>
            <w:pPr>
              <w:spacing w:after="40"/>
            </w:pPr>
            <w:r>
              <w:rPr>
                <w:rFonts w:ascii="Times New Roman" w:hAnsi="Times New Roman"/>
                <w:sz w:val="18"/>
              </w:rPr>
              <w:t>Ascend the loss on the forget set only, with no retain-set regularization.</w:t>
            </w:r>
          </w:p>
        </w:tc>
        <w:tc>
          <w:tcPr>
            <w:tcW w:type="dxa" w:w="3744"/>
            <w:vAlign w:val="top"/>
            <w:shd w:fill="F5F7F9"/>
          </w:tcPr>
          <w:p>
            <w:pPr>
              <w:spacing w:after="40"/>
            </w:pPr>
            <w:r>
              <w:rPr>
                <w:rFonts w:ascii="Times New Roman" w:hAnsi="Times New Roman"/>
                <w:sz w:val="18"/>
              </w:rPr>
              <w:t>Deliberately included as a control, not a competitor. It is expected to degrade forget-set performance while damaging the model generally, and is the cleanest demonstration that "looks forgotten" can mean "damaged" — the failure mode Audit Layer 1 exists to detect.</w:t>
            </w:r>
          </w:p>
        </w:tc>
      </w:tr>
      <w:tr>
        <w:trPr>
          <w:cantSplit/>
        </w:trPr>
        <w:tc>
          <w:tcPr>
            <w:tcW w:type="dxa" w:w="2016"/>
            <w:vAlign w:val="top"/>
            <w:shd w:fill="F5F7F9"/>
          </w:tcPr>
          <w:p>
            <w:pPr>
              <w:spacing w:after="40"/>
            </w:pPr>
            <w:r>
              <w:rPr>
                <w:rFonts w:ascii="Times New Roman" w:hAnsi="Times New Roman"/>
                <w:sz w:val="18"/>
              </w:rPr>
              <w:t>SalUn (saliency-based unlearning)</w:t>
            </w:r>
          </w:p>
        </w:tc>
        <w:tc>
          <w:tcPr>
            <w:tcW w:type="dxa" w:w="3600"/>
            <w:vAlign w:val="top"/>
            <w:shd w:fill="F5F7F9"/>
          </w:tcPr>
          <w:p>
            <w:pPr>
              <w:spacing w:after="40"/>
            </w:pPr>
            <w:r>
              <w:rPr>
                <w:rFonts w:ascii="Times New Roman" w:hAnsi="Times New Roman"/>
                <w:sz w:val="18"/>
              </w:rPr>
              <w:t>Compute a weight-saliency mask from forget-set gradients and apply the unlearning update only through the masked parameters.</w:t>
            </w:r>
          </w:p>
        </w:tc>
        <w:tc>
          <w:tcPr>
            <w:tcW w:type="dxa" w:w="3744"/>
            <w:vAlign w:val="top"/>
            <w:shd w:fill="F5F7F9"/>
          </w:tcPr>
          <w:p>
            <w:pPr>
              <w:spacing w:after="40"/>
            </w:pPr>
            <w:r>
              <w:rPr>
                <w:rFonts w:ascii="Times New Roman" w:hAnsi="Times New Roman"/>
                <w:sz w:val="18"/>
              </w:rPr>
              <w:t>Mechanistically distinct from both fine-tuning and gradient ascent, works at instance level, and is a standard baseline in the RUM and vision-transformer benchmarks.</w:t>
            </w:r>
          </w:p>
        </w:tc>
      </w:tr>
      <w:tr>
        <w:trPr>
          <w:cantSplit/>
        </w:trPr>
        <w:tc>
          <w:tcPr>
            <w:tcW w:type="dxa" w:w="2016"/>
            <w:vAlign w:val="top"/>
            <w:shd w:fill="F5F7F9"/>
          </w:tcPr>
          <w:p>
            <w:pPr>
              <w:spacing w:after="40"/>
            </w:pPr>
            <w:r>
              <w:rPr>
                <w:rFonts w:ascii="Times New Roman" w:hAnsi="Times New Roman"/>
                <w:sz w:val="18"/>
              </w:rPr>
              <w:t>L1-sparse unlearning</w:t>
            </w:r>
          </w:p>
        </w:tc>
        <w:tc>
          <w:tcPr>
            <w:tcW w:type="dxa" w:w="3600"/>
            <w:vAlign w:val="top"/>
            <w:shd w:fill="F5F7F9"/>
          </w:tcPr>
          <w:p>
            <w:pPr>
              <w:spacing w:after="40"/>
            </w:pPr>
            <w:r>
              <w:rPr>
                <w:rFonts w:ascii="Times New Roman" w:hAnsi="Times New Roman"/>
                <w:sz w:val="18"/>
              </w:rPr>
              <w:t>Fine-tune on the retain set under an L1 penalty that sparsifies the network during unlearning.</w:t>
            </w:r>
          </w:p>
        </w:tc>
        <w:tc>
          <w:tcPr>
            <w:tcW w:type="dxa" w:w="3744"/>
            <w:vAlign w:val="top"/>
            <w:shd w:fill="F5F7F9"/>
          </w:tcPr>
          <w:p>
            <w:pPr>
              <w:spacing w:after="40"/>
            </w:pPr>
            <w:r>
              <w:rPr>
                <w:rFonts w:ascii="Times New Roman" w:hAnsi="Times New Roman"/>
                <w:sz w:val="18"/>
              </w:rPr>
              <w:t>Represents the model-sparsity route to unlearning [5]. Cheap, well-established at instance level, and brings the ranked method count to six — which the agreement statistics require.</w:t>
            </w:r>
          </w:p>
        </w:tc>
      </w:tr>
    </w:tbl>
    <w:p>
      <w:pPr>
        <w:spacing w:after="20"/>
      </w:pPr>
    </w:p>
    <w:p>
      <w:pPr>
        <w:spacing w:after="120"/>
      </w:pPr>
      <w:r>
        <w:rPr>
          <w:i w:val="0"/>
        </w:rPr>
        <w:t>Selective Synaptic Dampening [6] was a core method in v1.0 and has been withdrawn from the core set. Its mechanism selects parameters whose Fisher importance is disproportionately high for the forget set relative to the retain set. A randomly drawn forget set is, by construction, distributed identically to the retain set, so that importance ratio is approximately uniform, no parameters are selected, and the dampening step approximates a no-op. This is a mismatch between mechanism and task rather than a tuning problem, and it is reported empirically: SSD fails to forget at all tested forget fractions under random forgetting while performing at or above the state of the art on class and sub-class unlearning [24]. SSD may be reported in an appendix as a documented mechanism-task mismatch, or evaluated in a separate class-unlearning condition where it is the appropriate tool. The Incompetent Teacher approach [3] remains an optional seventh method, to be added only after all six core methods and all audit modules are stable.</w:t>
      </w:r>
    </w:p>
    <w:p>
      <w:pPr>
        <w:pStyle w:val="Heading1"/>
        <w:keepNext/>
      </w:pPr>
      <w:r>
        <w:t>13. Forget-Set Design</w:t>
      </w:r>
    </w:p>
    <w:p>
      <w:pPr>
        <w:spacing w:after="120"/>
      </w:pPr>
      <w:r>
        <w:rPr>
          <w:i w:val="0"/>
        </w:rPr>
        <w:t>Forget-set design is a deliberate independent variable. Recent research shows that randomly chosen examples can be insufficiently discriminative and that the characteristics of the deleted samples change unlearning difficulty [7], [8].</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1944"/>
            <w:shd w:fill="17324D"/>
            <w:vAlign w:val="center"/>
          </w:tcPr>
          <w:p>
            <w:r>
              <w:rPr>
                <w:rFonts w:ascii="Times New Roman" w:hAnsi="Times New Roman"/>
                <w:b/>
                <w:color w:val="FFFFFF"/>
                <w:sz w:val="18"/>
              </w:rPr>
              <w:t>Condition</w:t>
            </w:r>
          </w:p>
        </w:tc>
        <w:tc>
          <w:tcPr>
            <w:tcW w:type="dxa" w:w="3888"/>
            <w:shd w:fill="17324D"/>
            <w:vAlign w:val="center"/>
          </w:tcPr>
          <w:p>
            <w:r>
              <w:rPr>
                <w:rFonts w:ascii="Times New Roman" w:hAnsi="Times New Roman"/>
                <w:b/>
                <w:color w:val="FFFFFF"/>
                <w:sz w:val="18"/>
              </w:rPr>
              <w:t>Definition</w:t>
            </w:r>
          </w:p>
        </w:tc>
        <w:tc>
          <w:tcPr>
            <w:tcW w:type="dxa" w:w="3528"/>
            <w:shd w:fill="17324D"/>
            <w:vAlign w:val="center"/>
          </w:tcPr>
          <w:p>
            <w:r>
              <w:rPr>
                <w:rFonts w:ascii="Times New Roman" w:hAnsi="Times New Roman"/>
                <w:b/>
                <w:color w:val="FFFFFF"/>
                <w:sz w:val="18"/>
              </w:rPr>
              <w:t>Purpose</w:t>
            </w:r>
          </w:p>
        </w:tc>
      </w:tr>
      <w:tr>
        <w:trPr>
          <w:cantSplit/>
        </w:trPr>
        <w:tc>
          <w:tcPr>
            <w:tcW w:type="dxa" w:w="1944"/>
            <w:vAlign w:val="top"/>
          </w:tcPr>
          <w:p>
            <w:pPr>
              <w:spacing w:after="40"/>
            </w:pPr>
            <w:r>
              <w:rPr>
                <w:rFonts w:ascii="Times New Roman" w:hAnsi="Times New Roman"/>
                <w:sz w:val="18"/>
              </w:rPr>
              <w:t>Size axis — Random 1%</w:t>
            </w:r>
          </w:p>
        </w:tc>
        <w:tc>
          <w:tcPr>
            <w:tcW w:type="dxa" w:w="3888"/>
            <w:vAlign w:val="top"/>
          </w:tcPr>
          <w:p>
            <w:pPr>
              <w:spacing w:after="40"/>
            </w:pPr>
            <w:r>
              <w:rPr>
                <w:rFonts w:ascii="Times New Roman" w:hAnsi="Times New Roman"/>
                <w:sz w:val="18"/>
              </w:rPr>
              <w:t>Randomly select 1% of training examples for F.</w:t>
            </w:r>
          </w:p>
        </w:tc>
        <w:tc>
          <w:tcPr>
            <w:tcW w:type="dxa" w:w="3528"/>
            <w:vAlign w:val="top"/>
          </w:tcPr>
          <w:p>
            <w:pPr>
              <w:spacing w:after="40"/>
            </w:pPr>
            <w:r>
              <w:rPr>
                <w:rFonts w:ascii="Times New Roman" w:hAnsi="Times New Roman"/>
                <w:sz w:val="18"/>
              </w:rPr>
              <w:t>Deletion-size scaling check only. Expected to be low-discriminability: a random CIFAR-10 subset is overwhelmingly low-memorization, and for such examples the retrained model behaves almost identically to the original [19].</w:t>
            </w:r>
          </w:p>
        </w:tc>
      </w:tr>
      <w:tr>
        <w:trPr>
          <w:cantSplit/>
        </w:trPr>
        <w:tc>
          <w:tcPr>
            <w:tcW w:type="dxa" w:w="1944"/>
            <w:vAlign w:val="top"/>
            <w:shd w:fill="F5F7F9"/>
          </w:tcPr>
          <w:p>
            <w:pPr>
              <w:spacing w:after="40"/>
            </w:pPr>
            <w:r>
              <w:rPr>
                <w:rFonts w:ascii="Times New Roman" w:hAnsi="Times New Roman"/>
                <w:sz w:val="18"/>
              </w:rPr>
              <w:t>Size axis — Random 5%</w:t>
            </w:r>
          </w:p>
        </w:tc>
        <w:tc>
          <w:tcPr>
            <w:tcW w:type="dxa" w:w="3888"/>
            <w:vAlign w:val="top"/>
            <w:shd w:fill="F5F7F9"/>
          </w:tcPr>
          <w:p>
            <w:pPr>
              <w:spacing w:after="40"/>
            </w:pPr>
            <w:r>
              <w:rPr>
                <w:rFonts w:ascii="Times New Roman" w:hAnsi="Times New Roman"/>
                <w:sz w:val="18"/>
              </w:rPr>
              <w:t>Randomly select 5% of training examples for F.</w:t>
            </w:r>
          </w:p>
        </w:tc>
        <w:tc>
          <w:tcPr>
            <w:tcW w:type="dxa" w:w="3528"/>
            <w:vAlign w:val="top"/>
            <w:shd w:fill="F5F7F9"/>
          </w:tcPr>
          <w:p>
            <w:pPr>
              <w:spacing w:after="40"/>
            </w:pPr>
            <w:r>
              <w:rPr>
                <w:rFonts w:ascii="Times New Roman" w:hAnsi="Times New Roman"/>
                <w:sz w:val="18"/>
              </w:rPr>
              <w:t>Scaling check and the point of comparison with the difficulty axis at matched size.</w:t>
            </w:r>
          </w:p>
        </w:tc>
      </w:tr>
      <w:tr>
        <w:trPr>
          <w:cantSplit/>
        </w:trPr>
        <w:tc>
          <w:tcPr>
            <w:tcW w:type="dxa" w:w="1944"/>
            <w:vAlign w:val="top"/>
          </w:tcPr>
          <w:p>
            <w:pPr>
              <w:spacing w:after="40"/>
            </w:pPr>
            <w:r>
              <w:rPr>
                <w:rFonts w:ascii="Times New Roman" w:hAnsi="Times New Roman"/>
                <w:sz w:val="18"/>
              </w:rPr>
              <w:t>Size axis — Random 10%</w:t>
            </w:r>
          </w:p>
        </w:tc>
        <w:tc>
          <w:tcPr>
            <w:tcW w:type="dxa" w:w="3888"/>
            <w:vAlign w:val="top"/>
          </w:tcPr>
          <w:p>
            <w:pPr>
              <w:spacing w:after="40"/>
            </w:pPr>
            <w:r>
              <w:rPr>
                <w:rFonts w:ascii="Times New Roman" w:hAnsi="Times New Roman"/>
                <w:sz w:val="18"/>
              </w:rPr>
              <w:t>Randomly select 10% of training examples for F.</w:t>
            </w:r>
          </w:p>
        </w:tc>
        <w:tc>
          <w:tcPr>
            <w:tcW w:type="dxa" w:w="3528"/>
            <w:vAlign w:val="top"/>
          </w:tcPr>
          <w:p>
            <w:pPr>
              <w:spacing w:after="40"/>
            </w:pPr>
            <w:r>
              <w:rPr>
                <w:rFonts w:ascii="Times New Roman" w:hAnsi="Times New Roman"/>
                <w:sz w:val="18"/>
              </w:rPr>
              <w:t>Scaling check. Note that the gap between influential and random forget sets narrows as forget-set size grows [7], so this is expected to be the least discriminative size, not the most.</w:t>
            </w:r>
          </w:p>
        </w:tc>
      </w:tr>
      <w:tr>
        <w:trPr>
          <w:cantSplit/>
        </w:trPr>
        <w:tc>
          <w:tcPr>
            <w:tcW w:type="dxa" w:w="1944"/>
            <w:vAlign w:val="top"/>
            <w:shd w:fill="F5F7F9"/>
          </w:tcPr>
          <w:p>
            <w:pPr>
              <w:spacing w:after="40"/>
            </w:pPr>
            <w:r>
              <w:rPr>
                <w:rFonts w:ascii="Times New Roman" w:hAnsi="Times New Roman"/>
                <w:sz w:val="18"/>
              </w:rPr>
              <w:t>Difficulty axis — High memorization (fixed size)</w:t>
            </w:r>
          </w:p>
        </w:tc>
        <w:tc>
          <w:tcPr>
            <w:tcW w:type="dxa" w:w="3888"/>
            <w:vAlign w:val="top"/>
            <w:shd w:fill="F5F7F9"/>
          </w:tcPr>
          <w:p>
            <w:pPr>
              <w:spacing w:after="40"/>
            </w:pPr>
            <w:r>
              <w:rPr>
                <w:rFonts w:ascii="Times New Roman" w:hAnsi="Times New Roman"/>
                <w:sz w:val="18"/>
              </w:rPr>
              <w:t>Select the highest-memorization examples at a fixed forget-set size, using the released CIFAR-10 memorization scores [8].</w:t>
            </w:r>
          </w:p>
        </w:tc>
        <w:tc>
          <w:tcPr>
            <w:tcW w:type="dxa" w:w="3528"/>
            <w:vAlign w:val="top"/>
            <w:shd w:fill="F5F7F9"/>
          </w:tcPr>
          <w:p>
            <w:pPr>
              <w:spacing w:after="40"/>
            </w:pPr>
            <w:r>
              <w:rPr>
                <w:rFonts w:ascii="Times New Roman" w:hAnsi="Times New Roman"/>
                <w:sz w:val="18"/>
              </w:rPr>
              <w:t>Primary condition. Hard deletion requests are where original and retrained models genuinely differ, and therefore where audits have something to disagree about.</w:t>
            </w:r>
          </w:p>
        </w:tc>
      </w:tr>
      <w:tr>
        <w:trPr>
          <w:cantSplit/>
        </w:trPr>
        <w:tc>
          <w:tcPr>
            <w:tcW w:type="dxa" w:w="1944"/>
            <w:vAlign w:val="top"/>
            <w:shd w:fill="F5F7F9"/>
          </w:tcPr>
          <w:p>
            <w:pPr>
              <w:spacing w:after="40"/>
            </w:pPr>
            <w:r>
              <w:rPr>
                <w:rFonts w:ascii="Times New Roman" w:hAnsi="Times New Roman"/>
                <w:sz w:val="18"/>
              </w:rPr>
              <w:t>Difficulty axis — Medium memorization (fixed size)</w:t>
            </w:r>
          </w:p>
        </w:tc>
        <w:tc>
          <w:tcPr>
            <w:tcW w:type="dxa" w:w="3888"/>
            <w:vAlign w:val="top"/>
            <w:shd w:fill="F5F7F9"/>
          </w:tcPr>
          <w:p>
            <w:pPr>
              <w:spacing w:after="40"/>
            </w:pPr>
            <w:r>
              <w:rPr>
                <w:rFonts w:ascii="Times New Roman" w:hAnsi="Times New Roman"/>
                <w:sz w:val="18"/>
              </w:rPr>
              <w:t>Select middle-stratum examples at the same fixed size.</w:t>
            </w:r>
          </w:p>
        </w:tc>
        <w:tc>
          <w:tcPr>
            <w:tcW w:type="dxa" w:w="3528"/>
            <w:vAlign w:val="top"/>
            <w:shd w:fill="F5F7F9"/>
          </w:tcPr>
          <w:p>
            <w:pPr>
              <w:spacing w:after="40"/>
            </w:pPr>
            <w:r>
              <w:rPr>
                <w:rFonts w:ascii="Times New Roman" w:hAnsi="Times New Roman"/>
                <w:sz w:val="18"/>
              </w:rPr>
              <w:t>Interpolates the difficulty axis so that any trend in disagreement can be observed rather than inferred from two endpoints.</w:t>
            </w:r>
          </w:p>
        </w:tc>
      </w:tr>
      <w:tr>
        <w:trPr>
          <w:cantSplit/>
        </w:trPr>
        <w:tc>
          <w:tcPr>
            <w:tcW w:type="dxa" w:w="1944"/>
            <w:vAlign w:val="top"/>
            <w:shd w:fill="F5F7F9"/>
          </w:tcPr>
          <w:p>
            <w:pPr>
              <w:spacing w:after="40"/>
            </w:pPr>
            <w:r>
              <w:rPr>
                <w:rFonts w:ascii="Times New Roman" w:hAnsi="Times New Roman"/>
                <w:sz w:val="18"/>
              </w:rPr>
              <w:t>Difficulty axis — Low memorization (fixed size) — negative control</w:t>
            </w:r>
          </w:p>
        </w:tc>
        <w:tc>
          <w:tcPr>
            <w:tcW w:type="dxa" w:w="3888"/>
            <w:vAlign w:val="top"/>
            <w:shd w:fill="F5F7F9"/>
          </w:tcPr>
          <w:p>
            <w:pPr>
              <w:spacing w:after="40"/>
            </w:pPr>
            <w:r>
              <w:rPr>
                <w:rFonts w:ascii="Times New Roman" w:hAnsi="Times New Roman"/>
                <w:sz w:val="18"/>
              </w:rPr>
              <w:t>Select the lowest-memorization examples at the same fixed size.</w:t>
            </w:r>
          </w:p>
        </w:tc>
        <w:tc>
          <w:tcPr>
            <w:tcW w:type="dxa" w:w="3528"/>
            <w:vAlign w:val="top"/>
            <w:shd w:fill="F5F7F9"/>
          </w:tcPr>
          <w:p>
            <w:pPr>
              <w:spacing w:after="40"/>
            </w:pPr>
            <w:r>
              <w:rPr>
                <w:rFonts w:ascii="Times New Roman" w:hAnsi="Times New Roman"/>
                <w:sz w:val="18"/>
              </w:rPr>
              <w:t>Designed negative control. Theory predicts almost no difference between the original and retrained models here [19], so a correctly functioning audit battery should report no detectable signal. An audit that reports strong forgetting evidence in this condition is misbehaving.</w:t>
            </w:r>
          </w:p>
        </w:tc>
      </w:tr>
      <w:tr>
        <w:trPr>
          <w:cantSplit/>
        </w:trPr>
        <w:tc>
          <w:tcPr>
            <w:tcW w:type="dxa" w:w="1944"/>
            <w:vAlign w:val="top"/>
            <w:shd w:fill="F5F7F9"/>
          </w:tcPr>
          <w:p>
            <w:pPr>
              <w:spacing w:after="40"/>
            </w:pPr>
            <w:r>
              <w:rPr>
                <w:rFonts w:ascii="Times New Roman" w:hAnsi="Times New Roman"/>
                <w:sz w:val="18"/>
              </w:rPr>
              <w:t>Canary condition — ground truth by construction</w:t>
            </w:r>
          </w:p>
        </w:tc>
        <w:tc>
          <w:tcPr>
            <w:tcW w:type="dxa" w:w="3888"/>
            <w:vAlign w:val="top"/>
            <w:shd w:fill="F5F7F9"/>
          </w:tcPr>
          <w:p>
            <w:pPr>
              <w:spacing w:after="40"/>
            </w:pPr>
            <w:r>
              <w:rPr>
                <w:rFonts w:ascii="Times New Roman" w:hAnsi="Times New Roman"/>
                <w:sz w:val="18"/>
              </w:rPr>
              <w:t>Inject a small set of deliberately mislabeled canary examples into training; the forget set is exactly those canaries.</w:t>
            </w:r>
          </w:p>
        </w:tc>
        <w:tc>
          <w:tcPr>
            <w:tcW w:type="dxa" w:w="3528"/>
            <w:vAlign w:val="top"/>
            <w:shd w:fill="F5F7F9"/>
          </w:tcPr>
          <w:p>
            <w:pPr>
              <w:spacing w:after="40"/>
            </w:pPr>
            <w:r>
              <w:rPr>
                <w:rFonts w:ascii="Times New Roman" w:hAnsi="Times New Roman"/>
                <w:sz w:val="18"/>
              </w:rPr>
              <w:t>Canaries can only be fitted by memorization, so a model retrained without them provably carries no canary-label association. Any residual canary behavior in an unlearned model is therefore unambiguously residual influence, which allows each audit to be scored for accuracy against a known answer rather than only compared with other audits.</w:t>
            </w:r>
          </w:p>
        </w:tc>
      </w:tr>
    </w:tbl>
    <w:p>
      <w:pPr>
        <w:spacing w:after="20"/>
      </w:pPr>
    </w:p>
    <w:p>
      <w:pPr>
        <w:spacing w:after="120"/>
      </w:pPr>
      <w:r>
        <w:rPr>
          <w:i w:val="0"/>
        </w:rPr>
        <w:t>The size axis and the difficulty axis are separate experimental factors and must not be collapsed back into a single list of conditions. The difficulty axis is primary because it is tied directly to the research gap; the size axis answers the scalability question and should not carry primary conclusions. Optional structured or user-level deletion may be added later, but must not displace either axis. If the schedule slips, the order of sacrifice is: secondary dataset first, then the 1% and 10% size conditions, then the canary condition — never the difficulty axis and never the oracle ensemble.</w:t>
      </w:r>
    </w:p>
    <w:p>
      <w:pPr>
        <w:pStyle w:val="Heading1"/>
        <w:keepNext/>
      </w:pPr>
      <w:r>
        <w:t>14. ForgetCheck Audit Architecture</w:t>
      </w:r>
    </w:p>
    <w:p>
      <w:pPr>
        <w:spacing w:after="120"/>
      </w:pPr>
      <w:r>
        <w:rPr>
          <w:i w:val="0"/>
        </w:rPr>
        <w:t>ForgetCheck is deliberately layered. Each audit tests a different failure mode. A deeper audit is not treated as magic proof; it provides an additional, partially independent view. The central outcome is whether these views agree.</w:t>
      </w:r>
    </w:p>
    <w:p>
      <w:pPr>
        <w:jc w:val="center"/>
      </w:pPr>
      <w:r>
        <w:drawing>
          <wp:inline xmlns:a="http://schemas.openxmlformats.org/drawingml/2006/main" xmlns:pic="http://schemas.openxmlformats.org/drawingml/2006/picture">
            <wp:extent cx="5394960" cy="5273663"/>
            <wp:docPr id="2" name="Picture 2"/>
            <wp:cNvGraphicFramePr>
              <a:graphicFrameLocks noChangeAspect="1"/>
            </wp:cNvGraphicFramePr>
            <a:graphic>
              <a:graphicData uri="http://schemas.openxmlformats.org/drawingml/2006/picture">
                <pic:pic>
                  <pic:nvPicPr>
                    <pic:cNvPr id="0" name="forgetcheck_audit_ladder.png"/>
                    <pic:cNvPicPr/>
                  </pic:nvPicPr>
                  <pic:blipFill>
                    <a:blip r:embed="rId12"/>
                    <a:stretch>
                      <a:fillRect/>
                    </a:stretch>
                  </pic:blipFill>
                  <pic:spPr>
                    <a:xfrm>
                      <a:off x="0" y="0"/>
                      <a:ext cx="5394960" cy="5273663"/>
                    </a:xfrm>
                    <a:prstGeom prst="rect"/>
                  </pic:spPr>
                </pic:pic>
              </a:graphicData>
            </a:graphic>
          </wp:inline>
        </w:drawing>
      </w:r>
    </w:p>
    <w:p>
      <w:pPr>
        <w:jc w:val="center"/>
      </w:pPr>
      <w:r>
        <w:rPr>
          <w:i/>
          <w:sz w:val="19"/>
        </w:rPr>
        <w:t>Figure 2. Audit ladder used by ForgetCheck.</w:t>
      </w:r>
    </w:p>
    <w:p>
      <w:pPr>
        <w:pStyle w:val="Heading2"/>
        <w:keepNext/>
      </w:pPr>
      <w:r>
        <w:t>14.1 Audit Layer 1 — Retained Utility</w:t>
      </w:r>
    </w:p>
    <w:p>
      <w:pPr>
        <w:spacing w:after="120"/>
      </w:pPr>
      <w:r>
        <w:rPr>
          <w:i w:val="0"/>
        </w:rPr>
        <w:t>The first check asks whether the unlearning method simply damaged the model. A method that destroys normal capability can easily appear to have forgotten the target data. Retained utility therefore acts as a safety condition on every other forgetting claim.</w:t>
      </w:r>
    </w:p>
    <w:p>
      <w:pPr>
        <w:pStyle w:val="ListBullet"/>
        <w:spacing w:after="60"/>
        <w:ind w:left="346"/>
      </w:pPr>
      <w:r>
        <w:t>Test-set accuracy</w:t>
      </w:r>
    </w:p>
    <w:p>
      <w:pPr>
        <w:pStyle w:val="ListBullet"/>
        <w:spacing w:after="60"/>
        <w:ind w:left="346"/>
      </w:pPr>
      <w:r>
        <w:t>Retain-set accuracy</w:t>
      </w:r>
    </w:p>
    <w:p>
      <w:pPr>
        <w:pStyle w:val="ListBullet"/>
        <w:spacing w:after="60"/>
        <w:ind w:left="346"/>
      </w:pPr>
      <w:r>
        <w:t>Macro-F1</w:t>
      </w:r>
    </w:p>
    <w:p>
      <w:pPr>
        <w:pStyle w:val="ListBullet"/>
        <w:spacing w:after="60"/>
        <w:ind w:left="346"/>
      </w:pPr>
      <w:r>
        <w:t>Cross-entropy loss</w:t>
      </w:r>
    </w:p>
    <w:p>
      <w:pPr>
        <w:pStyle w:val="ListBullet"/>
        <w:spacing w:after="60"/>
        <w:ind w:left="346"/>
      </w:pPr>
      <w:r>
        <w:t>Optional confidence/calibration diagnostics</w:t>
      </w:r>
    </w:p>
    <w:tbl>
      <w:tblPr>
        <w:tblStyle w:val="TableGrid"/>
        <w:tblW w:type="auto" w:w="0"/>
        <w:jc w:val="center"/>
        <w:tblLook w:firstColumn="1" w:firstRow="1" w:lastColumn="0" w:lastRow="0" w:noHBand="0" w:noVBand="1" w:val="04A0"/>
      </w:tblPr>
      <w:tblGrid>
        <w:gridCol w:w="9242"/>
      </w:tblGrid>
      <w:tr>
        <w:trPr>
          <w:cantSplit/>
        </w:trPr>
        <w:tc>
          <w:tcPr>
            <w:tcW w:type="dxa" w:w="9242"/>
            <w:shd w:fill="FDE9D9"/>
          </w:tcPr>
          <w:p>
            <w:pPr>
              <w:spacing w:after="60"/>
            </w:pPr>
            <w:r>
              <w:rPr>
                <w:b/>
                <w:color w:val="17324D"/>
                <w:sz w:val="23"/>
              </w:rPr>
              <w:t>Interpretation</w:t>
            </w:r>
          </w:p>
          <w:p>
            <w:pPr>
              <w:spacing w:after="20"/>
            </w:pPr>
            <w:r>
              <w:rPr>
                <w:sz w:val="21"/>
              </w:rPr>
              <w:t>A method with excellent forget-set degradation but severe retained/test degradation is not “strong unlearning”; it is potentially catastrophic model damage.</w:t>
            </w:r>
          </w:p>
        </w:tc>
      </w:tr>
    </w:tbl>
    <w:p>
      <w:pPr>
        <w:spacing w:after="20"/>
      </w:pPr>
    </w:p>
    <w:p>
      <w:pPr>
        <w:pStyle w:val="Heading2"/>
        <w:keepNext/>
      </w:pPr>
      <w:r>
        <w:t>14.2 Audit Layer 1B — Forget-Set Behavior</w:t>
      </w:r>
    </w:p>
    <w:p>
      <w:pPr>
        <w:spacing w:after="120"/>
      </w:pPr>
      <w:r>
        <w:rPr>
          <w:i w:val="0"/>
        </w:rPr>
        <w:t>Measure the behavior of M0, Mu and Mr on F. The key comparison is Mu versus Mr, not simply whether Mu becomes wrong. For each sample, store predicted class, loss, confidence and full output distribution. This allows later separation of “changed output” from “retraining-consistent output.”</w:t>
      </w:r>
    </w:p>
    <w:p>
      <w:pPr>
        <w:pStyle w:val="Heading2"/>
        <w:keepNext/>
      </w:pPr>
      <w:r>
        <w:t>14.3 Audit Layer 1C — Output-Distribution Similarity</w:t>
      </w:r>
    </w:p>
    <w:p>
      <w:pPr>
        <w:spacing w:after="120"/>
      </w:pPr>
      <w:r>
        <w:rPr>
          <w:i w:val="0"/>
        </w:rPr>
        <w:t>For the same inputs, compare the probability or logit distributions produced by M0, Mu and Mr. Useful metrics include Jensen-Shannon divergence, prediction agreement and logit-space distance. KL divergence can be used carefully when numerical stability and support assumptions are satisfied.</w:t>
      </w:r>
    </w:p>
    <w:p>
      <w:pPr>
        <w:spacing w:after="120"/>
      </w:pPr>
      <w:r>
        <w:rPr>
          <w:i w:val="0"/>
        </w:rPr>
        <w:t>The directional intuition is that Mu should move away from M0 and toward Mr on the aspects affected by deletion. Recent relative-distribution auditing research further motivates comparing all three distributions rather than treating one retrained model as an absolute deterministic truth [14], [15].</w:t>
      </w:r>
    </w:p>
    <w:p>
      <w:pPr>
        <w:pStyle w:val="Heading2"/>
        <w:keepNext/>
      </w:pPr>
      <w:r>
        <w:t>14.4 Audit Layer 2 — Membership Inference</w:t>
      </w:r>
    </w:p>
    <w:p>
      <w:pPr>
        <w:spacing w:after="120"/>
      </w:pPr>
      <w:r>
        <w:rPr>
          <w:i w:val="0"/>
        </w:rPr>
        <w:t>Membership inference asks whether an attacker can distinguish former training members from non-members using model behavior. For forgotten samples, successful Untraining should make their membership characteristics resemble those of a model that never trained on them. Membership inference is a baseline audit rather than a novel contribution [4], [17]; what is not baseline is the choice of attack. Attacks divide into population attacks, which instantiate one attacker for all examples, and per-example attacks, which tailor a decision rule to each example. Population attacks systematically overestimate the privacy protection offered by unlearning, and per-example attacks can show privacy risk increasing after unlearning for a substantial fraction of examples [21]. Because this project ranks methods, a weak attack does not merely understate leakage — it produces a misleading ranking that propagates into every agreement statistic. Both attack strengths are therefore run, and the gap between them is reported as a result in its own right.</w:t>
      </w:r>
    </w:p>
    <w:p>
      <w:pPr>
        <w:pStyle w:val="ListBullet"/>
        <w:spacing w:after="60"/>
        <w:ind w:left="346"/>
      </w:pPr>
      <w:r>
        <w:t>ROC-AUC</w:t>
      </w:r>
    </w:p>
    <w:p>
      <w:pPr>
        <w:pStyle w:val="ListBullet"/>
        <w:spacing w:after="60"/>
        <w:ind w:left="346"/>
      </w:pPr>
      <w:r>
        <w:t>Attack accuracy</w:t>
      </w:r>
    </w:p>
    <w:p>
      <w:pPr>
        <w:pStyle w:val="ListBullet"/>
        <w:spacing w:after="60"/>
        <w:ind w:left="346"/>
      </w:pPr>
      <w:r>
        <w:t>Optional TPR at fixed low FPR</w:t>
      </w:r>
    </w:p>
    <w:p>
      <w:pPr>
        <w:pStyle w:val="ListBullet"/>
        <w:spacing w:after="60"/>
        <w:ind w:left="346"/>
      </w:pPr>
      <w:r>
        <w:t>Difference from retrained-oracle attack performance</w:t>
      </w:r>
    </w:p>
    <w:p>
      <w:pPr>
        <w:pStyle w:val="ListParagraph"/>
        <w:spacing w:after="60"/>
        <w:ind w:left="346"/>
      </w:pPr>
      <w:r>
        <w:t>Attack A (population): loss-, confidence- or entropy-thresholded attack of the kind shipped with the NeurIPS starter kit [17]. Included precisely because it is what the community commonly reports.</w:t>
      </w:r>
    </w:p>
    <w:p>
      <w:pPr>
        <w:pStyle w:val="ListParagraph"/>
        <w:spacing w:after="60"/>
        <w:ind w:left="346"/>
      </w:pPr>
      <w:r>
        <w:t>Attack B (per-example): RMIA [27], chosen over full U-LiRA because it retains strong per-example power with only a handful of reference models, where earlier per-example attacks degrade toward random guessing. This is what makes a defensible strong attack affordable.</w:t>
      </w:r>
    </w:p>
    <w:p>
      <w:pPr>
        <w:pStyle w:val="ListParagraph"/>
        <w:spacing w:after="60"/>
        <w:ind w:left="346"/>
      </w:pPr>
      <w:r>
        <w:t>Intra-family disagreement: rank correlation and verdict disagreement between Attack A and Attack B, reported alongside the between-family comparisons of Section 15.</w:t>
      </w:r>
    </w:p>
    <w:tbl>
      <w:tblPr>
        <w:tblStyle w:val="TableGrid"/>
        <w:tblW w:type="auto" w:w="0"/>
        <w:jc w:val="center"/>
        <w:tblLook w:firstColumn="1" w:firstRow="1" w:lastColumn="0" w:lastRow="0" w:noHBand="0" w:noVBand="1" w:val="04A0"/>
      </w:tblPr>
      <w:tblGrid>
        <w:gridCol w:w="9242"/>
      </w:tblGrid>
      <w:tr>
        <w:trPr>
          <w:cantSplit/>
        </w:trPr>
        <w:tc>
          <w:tcPr>
            <w:tcW w:type="dxa" w:w="9242"/>
            <w:shd w:fill="FFF4D6"/>
          </w:tcPr>
          <w:p>
            <w:pPr>
              <w:spacing w:after="60"/>
            </w:pPr>
            <w:r>
              <w:rPr>
                <w:b/>
                <w:color w:val="17324D"/>
                <w:sz w:val="23"/>
              </w:rPr>
              <w:t>Important limitation</w:t>
            </w:r>
          </w:p>
          <w:p>
            <w:pPr>
              <w:spacing w:after="20"/>
            </w:pPr>
            <w:r>
              <w:rPr>
                <w:sz w:val="21"/>
              </w:rPr>
              <w:t>A weak or failed membership-inference attack does not prove that the model erased the sample. It only shows that this attack, under this protocol, could not reliably exploit a membership signal — and a stronger attack may still succeed, which is why two attack strengths are run. Conversely, per-example attack scores can be gamed by degenerate strategies that flatten model outputs and destroy utility [25], so every privacy verdict must be read together with the retained-utility result from Audit Layer 1. Neither attack, alone or together, constitutes proof of deletion.</w:t>
            </w:r>
          </w:p>
        </w:tc>
      </w:tr>
    </w:tbl>
    <w:p>
      <w:pPr>
        <w:spacing w:after="20"/>
      </w:pPr>
    </w:p>
    <w:p>
      <w:pPr>
        <w:pStyle w:val="Heading2"/>
        <w:keepNext/>
      </w:pPr>
      <w:r>
        <w:t>14.5 Audit Layer 3 — Representation-Level Analysis</w:t>
      </w:r>
    </w:p>
    <w:p>
      <w:pPr>
        <w:spacing w:after="120"/>
      </w:pPr>
      <w:r>
        <w:rPr>
          <w:i w:val="0"/>
        </w:rPr>
        <w:t>Internal activations are collected from selected ResNet stages for the same probe examples across M0, Mu and Mr. The purpose is not to assert that representation similarity equals privacy leakage. Rather, it asks whether an unlearned model that looks retraining-like at the output level still remains internally much closer to the original model than to retraining. This layer requires two safeguards. First, CKA cannot be the sole instrument: CKA values can change substantially without a corresponding change in a model’s functional behavior, and CKA is demonstrably sensitive to outliers and to transformations that preserve linear separability [26]. A metric that moves independently of function is the wrong single instrument for a layer whose entire purpose is to detect what output metrics miss. Second, no representation number is interpretable without a scale, which the oracle ensemble of Section 16.1 supplies directly.</w:t>
      </w:r>
    </w:p>
    <w:p>
      <w:pPr>
        <w:pStyle w:val="ListBullet"/>
        <w:spacing w:after="60"/>
        <w:ind w:left="346"/>
      </w:pPr>
      <w:r>
        <w:rPr>
          <w:b/>
        </w:rPr>
        <w:t xml:space="preserve">Layer-wise CKA: </w:t>
      </w:r>
      <w:r>
        <w:t>Centered Kernel Alignment provides a scale- and basis-robust way to compare representation geometry between models.</w:t>
      </w:r>
    </w:p>
    <w:p>
      <w:pPr>
        <w:pStyle w:val="ListBullet"/>
        <w:spacing w:after="60"/>
        <w:ind w:left="346"/>
      </w:pPr>
      <w:r>
        <w:rPr>
          <w:b/>
        </w:rPr>
        <w:t xml:space="preserve">Activation distance: </w:t>
      </w:r>
      <w:r>
        <w:t>Cosine or Euclidean summary distances can complement CKA for direct feature shifts.</w:t>
      </w:r>
    </w:p>
    <w:p>
      <w:pPr>
        <w:pStyle w:val="ListBullet"/>
        <w:spacing w:after="60"/>
        <w:ind w:left="346"/>
      </w:pPr>
      <w:r>
        <w:rPr>
          <w:b/>
        </w:rPr>
        <w:t xml:space="preserve">PCA visualization: </w:t>
      </w:r>
      <w:r>
        <w:t>Useful for presentation and exploratory analysis, but not a standalone proof.</w:t>
      </w:r>
    </w:p>
    <w:p>
      <w:pPr>
        <w:pStyle w:val="ListBullet"/>
        <w:spacing w:after="60"/>
        <w:ind w:left="346"/>
      </w:pPr>
      <w:r>
        <w:rPr>
          <w:b/>
        </w:rPr>
        <w:t xml:space="preserve">Probe-set separation: </w:t>
      </w:r>
      <w:r>
        <w:t>Analyze forget, retain and held-out test examples separately when interpreting representation changes.</w:t>
      </w:r>
    </w:p>
    <w:p>
      <w:pPr>
        <w:pStyle w:val="ListParagraph"/>
        <w:spacing w:after="60"/>
        <w:ind w:left="346"/>
      </w:pPr>
      <w:r>
        <w:rPr>
          <w:b/>
        </w:rPr>
        <w:t>Second similarity measure (required): report at least one mechanistically different measure alongside linear CKA — RBF-CKA, orthogonal Procrustes distance, or distance correlation. A representation-level claim is made only where the two measures agree; where they disagree, that disagreement is itself reported.</w:t>
      </w:r>
    </w:p>
    <w:p>
      <w:pPr>
        <w:pStyle w:val="ListParagraph"/>
        <w:spacing w:after="60"/>
        <w:ind w:left="346"/>
      </w:pPr>
      <w:r>
        <w:rPr>
          <w:b/>
        </w:rPr>
        <w:t>Oracle-vs-oracle baseline (required): compute the same measures between pairs of independently retrained oracles. This establishes what "as similar as two retrainings" looks like numerically, so that a similarity value can be read as near-oracle or far-from-oracle rather than merely high or low.</w:t>
      </w:r>
    </w:p>
    <w:p>
      <w:pPr>
        <w:spacing w:after="120"/>
      </w:pPr>
      <w:r>
        <w:rPr>
          <w:i w:val="0"/>
        </w:rPr>
        <w:t>Recent representation-level unlearning work uses tools such as PCA, CKA and Fisher information and demonstrates that task-level collapse can coexist with recoverable internal structure [13]. ForgetCheck therefore uses these tools as diagnostics rather than claiming to invent them.</w:t>
      </w:r>
    </w:p>
    <w:p>
      <w:pPr>
        <w:pStyle w:val="Heading2"/>
        <w:keepNext/>
      </w:pPr>
      <w:r>
        <w:t>14.6 Why Linear Probing Is Optional, Not Core</w:t>
      </w:r>
    </w:p>
    <w:p>
      <w:pPr>
        <w:spacing w:after="120"/>
      </w:pPr>
      <w:r>
        <w:rPr>
          <w:i w:val="0"/>
        </w:rPr>
        <w:t>A linear probe can be misleading for ordinary instance deletion. If one dog image is forgotten, it is perfectly legitimate for the network to retain a representation of the general “dog” concept. Therefore a probe that still decodes dog-versus-cat is not proof that the specific image remains memorized. Linear probes become more meaningful for class unlearning or synthetic user-specific attributes. They are an optional extension, not a mandatory core audit.</w:t>
      </w:r>
    </w:p>
    <w:p>
      <w:pPr>
        <w:pStyle w:val="Heading2"/>
        <w:keepNext/>
      </w:pPr>
      <w:r>
        <w:t>14.7 Audit Layer 4 — Relearning / Reversibility</w:t>
      </w:r>
    </w:p>
    <w:p>
      <w:pPr>
        <w:spacing w:after="120"/>
      </w:pPr>
      <w:r>
        <w:rPr>
          <w:i w:val="0"/>
        </w:rPr>
        <w:t>Relearning tests whether apparently forgotten behavior can be reacquired unusually quickly. Time-to-relearn is an established instrument in vision unlearning rather than a new metric; what this project contributes is elevating it to a fully ranked audit family and asking whether it agrees with the other three. Starting separately from Mu and Mr, models are fine-tuned under an identical controlled protocol using a small, specified reintroduction of forgotten information, with performance recorded at fixed steps, for example 0, 1, 5, 10, 25 and 50 updates. Two anchor arms are required, because a recovery curve is uninterpretable without a scale and because models entering relearning at different utility levels have different amounts of headroom — which would otherwise let "started closer" masquerade as "retained more structure".</w:t>
      </w:r>
    </w:p>
    <w:p>
      <w:pPr>
        <w:pStyle w:val="ListBullet"/>
        <w:spacing w:after="60"/>
        <w:ind w:left="346"/>
      </w:pPr>
      <w:r>
        <w:rPr>
          <w:b/>
        </w:rPr>
        <w:t xml:space="preserve">Steps-to-recovery (e.g., T80): </w:t>
      </w:r>
      <w:r>
        <w:t>Number of updates required to recover 80% of a defined original forget-set performance level.</w:t>
      </w:r>
    </w:p>
    <w:p>
      <w:pPr>
        <w:pStyle w:val="ListBullet"/>
        <w:spacing w:after="60"/>
        <w:ind w:left="346"/>
      </w:pPr>
      <w:r>
        <w:rPr>
          <w:b/>
        </w:rPr>
        <w:t xml:space="preserve">Area under the relearning curve: </w:t>
      </w:r>
      <w:r>
        <w:t>Summarizes how rapidly performance returns across the complete fine-tuning trajectory.</w:t>
      </w:r>
    </w:p>
    <w:p>
      <w:pPr>
        <w:pStyle w:val="ListBullet"/>
        <w:spacing w:after="60"/>
        <w:ind w:left="346"/>
      </w:pPr>
      <w:r>
        <w:rPr>
          <w:b/>
        </w:rPr>
        <w:t xml:space="preserve">Relative recovery: </w:t>
      </w:r>
      <w:r>
        <w:t>Compare Mu and Mr under identical data, optimizer and learning-rate settings.</w:t>
      </w:r>
    </w:p>
    <w:p>
      <w:pPr>
        <w:pStyle w:val="ListBullet"/>
        <w:spacing w:after="60"/>
        <w:ind w:left="346"/>
      </w:pPr>
      <w:r>
        <w:rPr>
          <w:b/>
        </w:rPr>
        <w:t xml:space="preserve">Utility check: </w:t>
      </w:r>
      <w:r>
        <w:t>Confirm that the relearning procedure does not simply create global model collapse or artificial imbalance.</w:t>
      </w:r>
    </w:p>
    <w:p>
      <w:pPr>
        <w:pStyle w:val="ListParagraph"/>
        <w:spacing w:after="60"/>
        <w:ind w:left="346"/>
      </w:pPr>
      <w:r>
        <w:rPr>
          <w:b/>
        </w:rPr>
        <w:t>Upper anchor — M0: the model that never forgot, relearned under the identical protocol. Defines the fastest recovery physically available.</w:t>
      </w:r>
    </w:p>
    <w:p>
      <w:pPr>
        <w:pStyle w:val="ListParagraph"/>
        <w:spacing w:after="60"/>
        <w:ind w:left="346"/>
      </w:pPr>
      <w:r>
        <w:rPr>
          <w:b/>
        </w:rPr>
        <w:t>Lower anchor — a randomly initialised or from-scratch model with no prior exposure to the forget set. Defines recovery attributable to the relearning data alone.</w:t>
      </w:r>
    </w:p>
    <w:p>
      <w:pPr>
        <w:pStyle w:val="ListParagraph"/>
        <w:spacing w:after="60"/>
        <w:ind w:left="346"/>
      </w:pPr>
      <w:r>
        <w:rPr>
          <w:b/>
        </w:rPr>
        <w:t>Normalised recovery: report each model’s recovery on a scale between the two anchors, not in raw units, and report starting utility either matched across arms or carried as a covariate in the mixed-effects models of Section 16.2.</w:t>
      </w:r>
    </w:p>
    <w:p>
      <w:pPr>
        <w:spacing w:after="120"/>
      </w:pPr>
      <w:r>
        <w:rPr>
          <w:i w:val="0"/>
        </w:rPr>
        <w:t>If Mu recovers much faster than Mr under a controlled protocol, that is evidence consistent with residual recoverable structure. It is not by itself a formal proof of memorization. This caution mirrors current reversibility research [13].</w:t>
      </w:r>
    </w:p>
    <w:p>
      <w:pPr>
        <w:pStyle w:val="Heading2"/>
        <w:keepNext/>
      </w:pPr>
      <w:r>
        <w:t>14.8 Audit Layer 4B — Stress Conditions</w:t>
      </w:r>
    </w:p>
    <w:p>
      <w:pPr>
        <w:pStyle w:val="ListBullet"/>
        <w:spacing w:after="60"/>
        <w:ind w:left="346"/>
      </w:pPr>
      <w:r>
        <w:t>Deletion-size stress: compare 1%, 5% and 10%.</w:t>
      </w:r>
    </w:p>
    <w:p>
      <w:pPr>
        <w:pStyle w:val="ListBullet"/>
        <w:spacing w:after="60"/>
        <w:ind w:left="346"/>
      </w:pPr>
      <w:r>
        <w:t>Forget-difficulty stress: compare low, medium and high memorization strata at fixed forget-set size, with the low stratum serving as a designed negative control.</w:t>
      </w:r>
    </w:p>
    <w:p>
      <w:pPr>
        <w:pStyle w:val="ListParagraph"/>
        <w:spacing w:after="60"/>
        <w:ind w:left="346"/>
      </w:pPr>
      <w:r>
        <w:t>Audit-validity stress: pass held-out retrained oracles and the canary condition through every audit, per Section 15.5.</w:t>
      </w:r>
    </w:p>
    <w:p>
      <w:pPr>
        <w:pStyle w:val="ListBullet"/>
        <w:spacing w:after="60"/>
        <w:ind w:left="346"/>
      </w:pPr>
      <w:r>
        <w:t>Optional sequential deletion: add only after core experiments; MUSE identifies successive removal as a relevant challenge [11].</w:t>
      </w:r>
    </w:p>
    <w:p>
      <w:pPr>
        <w:pStyle w:val="Heading1"/>
        <w:keepNext/>
      </w:pPr>
      <w:r>
        <w:t>15. Cross-Audit Disagreement Analysis</w:t>
      </w:r>
    </w:p>
    <w:p>
      <w:pPr>
        <w:spacing w:after="120"/>
      </w:pPr>
      <w:r>
        <w:rPr>
          <w:i w:val="0"/>
        </w:rPr>
        <w:t>This section contains the project’s most distinctive analysis. Each unlearning method receives separate audit scores, but the paper is not merely a scoreboard. We ask whether method rankings and pass/fail conclusions remain stable across audit families.</w:t>
      </w:r>
    </w:p>
    <w:p>
      <w:pPr>
        <w:pStyle w:val="Heading2"/>
        <w:keepNext/>
      </w:pPr>
      <w:r>
        <w:t>15.1 Method Ranking</w:t>
      </w:r>
    </w:p>
    <w:p>
      <w:pPr>
        <w:spacing w:after="120"/>
      </w:pPr>
      <w:r>
        <w:rPr>
          <w:i w:val="0"/>
        </w:rPr>
        <w:t>For each experimental setting, rank the unlearning methods separately under behavioral similarity, membership privacy, representation similarity and relearning resistance. The direction of “better” must be defined before analysis and normalized relative to retraining where necessary.</w:t>
      </w:r>
    </w:p>
    <w:p>
      <w:pPr>
        <w:pStyle w:val="Heading2"/>
        <w:keepNext/>
      </w:pPr>
      <w:r>
        <w:t>15.2 Rank Correlation</w:t>
      </w:r>
    </w:p>
    <w:p>
      <w:pPr>
        <w:spacing w:after="120"/>
      </w:pPr>
      <w:r>
        <w:rPr>
          <w:i w:val="0"/>
        </w:rPr>
        <w:t>The unit of analysis is the model instance, not the method. Ranking six methods and correlating those ranks would be statistically inert: with n items there are n! orderings, and for small n the attainable p-values are severely restricted. With the four methods of v1.0 the minimum attainable two-sided p-value for Kendall’s tau is 0.0833, meaning that two audits ranking all four methods identically could still not be declared to agree at the 0.05 level; at six methods it is 0.0028. Rank tables per setting are therefore retained as descriptive displays only. The inferential analysis instead correlates metric values across every (method x forget-condition x seed) model instance, giving on the order of a hundred observations rather than six, which is the approach taken by comparable published work [20]. Kendall’s tau and Spearman correlation are both reported over that instance-level population, with bootstrap confidence intervals. Pairwise comparisons include behavior vs privacy, behavior vs representation, privacy vs relearning, representation vs relearning, and — within the privacy family — population attack vs per-example attack.</w:t>
      </w:r>
    </w:p>
    <w:p>
      <w:pPr>
        <w:pStyle w:val="Heading2"/>
        <w:keepNext/>
      </w:pPr>
      <w:r>
        <w:t>15.3 Pass/Fail Disagreement</w:t>
      </w:r>
    </w:p>
    <w:p>
      <w:pPr>
        <w:spacing w:after="120"/>
      </w:pPr>
      <w:r>
        <w:rPr>
          <w:i w:val="0"/>
        </w:rPr>
        <w:t>For selected metrics, define pass/fail bands relative to the stochastic retraining reference rather than arbitrary absolute thresholds. Then compute the percentage of model–setting combinations for which two audits give contradictory verdicts. Thresholds should be calibrated using the variation among independent retrained models wherever practical.</w:t>
      </w:r>
    </w:p>
    <w:p>
      <w:pPr>
        <w:pStyle w:val="Heading2"/>
        <w:keepNext/>
      </w:pPr>
      <w:r>
        <w:t>15.4 Normalized Oracle Gap</w:t>
      </w:r>
    </w:p>
    <w:p>
      <w:pPr>
        <w:spacing w:after="120"/>
      </w:pPr>
      <w:r>
        <w:rPr>
          <w:i w:val="0"/>
        </w:rPr>
        <w:t>For a scalar metric m, a convenient internal normalization is Gm = |m(Mu) − m(Mr)| / (|m(M0) − m(Mr)| + ε). G near 0 means the unlearned model is close to retraining on that metric; G near 1 means little progress relative to the original; values above 1 mean the model moved farther from retraining. This is a project-level analysis device, not a claimed new theoretical metric.</w:t>
      </w:r>
    </w:p>
    <w:tbl>
      <w:tblPr>
        <w:tblStyle w:val="TableGrid"/>
        <w:tblW w:type="auto" w:w="0"/>
        <w:jc w:val="center"/>
        <w:tblLook w:firstColumn="1" w:firstRow="1" w:lastColumn="0" w:lastRow="0" w:noHBand="0" w:noVBand="1" w:val="04A0"/>
      </w:tblPr>
      <w:tblGrid>
        <w:gridCol w:w="9242"/>
      </w:tblGrid>
      <w:tr>
        <w:trPr>
          <w:cantSplit/>
        </w:trPr>
        <w:tc>
          <w:tcPr>
            <w:tcW w:type="dxa" w:w="9242"/>
            <w:shd w:fill="E7F2EC"/>
          </w:tcPr>
          <w:p>
            <w:pPr>
              <w:spacing w:after="60"/>
            </w:pPr>
            <w:r>
              <w:rPr>
                <w:b/>
                <w:color w:val="17324D"/>
                <w:sz w:val="23"/>
              </w:rPr>
              <w:t>Low-discriminability safeguard</w:t>
            </w:r>
          </w:p>
          <w:p>
            <w:pPr>
              <w:spacing w:after="20"/>
            </w:pPr>
            <w:r>
              <w:rPr>
                <w:sz w:val="21"/>
              </w:rPr>
              <w:t>If the original and retrained models already have nearly identical values for a metric, the denominator becomes too small and that metric cannot meaningfully distinguish unlearning. Mark the setting as low-discriminability instead of forcing a score. This is especially important for easy random forget sets [7].</w:t>
            </w:r>
          </w:p>
        </w:tc>
      </w:tr>
    </w:tbl>
    <w:p>
      <w:pPr>
        <w:spacing w:after="20"/>
      </w:pPr>
    </w:p>
    <w:p>
      <w:pPr>
        <w:pStyle w:val="Heading1"/>
        <w:keepNext/>
      </w:pPr>
      <w:r>
        <w:t>16. Experimental Matrix and Statistical Methodology</w:t>
      </w:r>
    </w:p>
    <w:p>
      <w:pPr>
        <w:pStyle w:val="Heading2"/>
        <w:keepNext/>
      </w:pPr>
      <w:r>
        <w:t>16.1 Core Matrix</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736"/>
            <w:shd w:fill="17324D"/>
            <w:vAlign w:val="center"/>
          </w:tcPr>
          <w:p>
            <w:r>
              <w:rPr>
                <w:rFonts w:ascii="Times New Roman" w:hAnsi="Times New Roman"/>
                <w:b/>
                <w:color w:val="FFFFFF"/>
                <w:sz w:val="19"/>
              </w:rPr>
              <w:t>Factor</w:t>
            </w:r>
          </w:p>
        </w:tc>
        <w:tc>
          <w:tcPr>
            <w:tcW w:type="dxa" w:w="6480"/>
            <w:shd w:fill="17324D"/>
            <w:vAlign w:val="center"/>
          </w:tcPr>
          <w:p>
            <w:r>
              <w:rPr>
                <w:rFonts w:ascii="Times New Roman" w:hAnsi="Times New Roman"/>
                <w:b/>
                <w:color w:val="FFFFFF"/>
                <w:sz w:val="19"/>
              </w:rPr>
              <w:t>Core Values</w:t>
            </w:r>
          </w:p>
        </w:tc>
      </w:tr>
      <w:tr>
        <w:trPr>
          <w:cantSplit/>
        </w:trPr>
        <w:tc>
          <w:tcPr>
            <w:tcW w:type="dxa" w:w="2736"/>
            <w:vAlign w:val="top"/>
          </w:tcPr>
          <w:p>
            <w:pPr>
              <w:spacing w:after="40"/>
            </w:pPr>
            <w:r>
              <w:rPr>
                <w:rFonts w:ascii="Times New Roman" w:hAnsi="Times New Roman"/>
                <w:sz w:val="19"/>
              </w:rPr>
              <w:t>Dataset</w:t>
            </w:r>
          </w:p>
        </w:tc>
        <w:tc>
          <w:tcPr>
            <w:tcW w:type="dxa" w:w="6480"/>
            <w:vAlign w:val="top"/>
          </w:tcPr>
          <w:p>
            <w:pPr>
              <w:spacing w:after="40"/>
            </w:pPr>
            <w:r>
              <w:rPr>
                <w:rFonts w:ascii="Times New Roman" w:hAnsi="Times New Roman"/>
                <w:sz w:val="19"/>
              </w:rPr>
              <w:t>CIFAR-10</w:t>
            </w:r>
          </w:p>
        </w:tc>
      </w:tr>
      <w:tr>
        <w:trPr>
          <w:cantSplit/>
        </w:trPr>
        <w:tc>
          <w:tcPr>
            <w:tcW w:type="dxa" w:w="2736"/>
            <w:vAlign w:val="top"/>
            <w:shd w:fill="F5F7F9"/>
          </w:tcPr>
          <w:p>
            <w:pPr>
              <w:spacing w:after="40"/>
            </w:pPr>
            <w:r>
              <w:rPr>
                <w:rFonts w:ascii="Times New Roman" w:hAnsi="Times New Roman"/>
                <w:sz w:val="19"/>
              </w:rPr>
              <w:t>Architecture</w:t>
            </w:r>
          </w:p>
        </w:tc>
        <w:tc>
          <w:tcPr>
            <w:tcW w:type="dxa" w:w="6480"/>
            <w:vAlign w:val="top"/>
            <w:shd w:fill="F5F7F9"/>
          </w:tcPr>
          <w:p>
            <w:pPr>
              <w:spacing w:after="40"/>
            </w:pPr>
            <w:r>
              <w:rPr>
                <w:rFonts w:ascii="Times New Roman" w:hAnsi="Times New Roman"/>
                <w:sz w:val="19"/>
              </w:rPr>
              <w:t>ResNet-18</w:t>
            </w:r>
          </w:p>
        </w:tc>
      </w:tr>
      <w:tr>
        <w:trPr>
          <w:cantSplit/>
        </w:trPr>
        <w:tc>
          <w:tcPr>
            <w:tcW w:type="dxa" w:w="2736"/>
            <w:vAlign w:val="top"/>
          </w:tcPr>
          <w:p>
            <w:pPr>
              <w:spacing w:after="40"/>
            </w:pPr>
            <w:r>
              <w:rPr>
                <w:rFonts w:ascii="Times New Roman" w:hAnsi="Times New Roman"/>
                <w:sz w:val="19"/>
              </w:rPr>
              <w:t>Unlearning methods</w:t>
            </w:r>
          </w:p>
        </w:tc>
        <w:tc>
          <w:tcPr>
            <w:tcW w:type="dxa" w:w="6480"/>
            <w:vAlign w:val="top"/>
          </w:tcPr>
          <w:p>
            <w:pPr>
              <w:spacing w:after="40"/>
            </w:pPr>
            <w:r>
              <w:rPr>
                <w:rFonts w:ascii="Times New Roman" w:hAnsi="Times New Roman"/>
                <w:sz w:val="19"/>
              </w:rPr>
              <w:t>Fine-tuning; NegGrad+; NegGrad (destructive control); SCRUB; SalUn; L1-sparse (six ranked methods)</w:t>
            </w:r>
          </w:p>
        </w:tc>
      </w:tr>
      <w:tr>
        <w:trPr>
          <w:cantSplit/>
        </w:trPr>
        <w:tc>
          <w:tcPr>
            <w:tcW w:type="dxa" w:w="2736"/>
            <w:vAlign w:val="top"/>
            <w:shd w:fill="F5F7F9"/>
          </w:tcPr>
          <w:p>
            <w:pPr>
              <w:spacing w:after="40"/>
            </w:pPr>
            <w:r>
              <w:rPr>
                <w:rFonts w:ascii="Times New Roman" w:hAnsi="Times New Roman"/>
                <w:sz w:val="19"/>
              </w:rPr>
              <w:t>Forget settings</w:t>
            </w:r>
          </w:p>
        </w:tc>
        <w:tc>
          <w:tcPr>
            <w:tcW w:type="dxa" w:w="6480"/>
            <w:vAlign w:val="top"/>
            <w:shd w:fill="F5F7F9"/>
          </w:tcPr>
          <w:p>
            <w:pPr>
              <w:spacing w:after="40"/>
            </w:pPr>
            <w:r>
              <w:rPr>
                <w:rFonts w:ascii="Times New Roman" w:hAnsi="Times New Roman"/>
                <w:sz w:val="19"/>
              </w:rPr>
              <w:t>Size axis: Random 1%, 5%, 10%. Difficulty axis at fixed size: low, medium, high memorization. Canary condition.</w:t>
            </w:r>
          </w:p>
        </w:tc>
      </w:tr>
      <w:tr>
        <w:trPr>
          <w:cantSplit/>
        </w:trPr>
        <w:tc>
          <w:tcPr>
            <w:tcW w:type="dxa" w:w="2736"/>
            <w:vAlign w:val="top"/>
          </w:tcPr>
          <w:p>
            <w:pPr>
              <w:spacing w:after="40"/>
            </w:pPr>
            <w:r>
              <w:rPr>
                <w:rFonts w:ascii="Times New Roman" w:hAnsi="Times New Roman"/>
                <w:sz w:val="19"/>
              </w:rPr>
              <w:t>Random seeds</w:t>
            </w:r>
          </w:p>
        </w:tc>
        <w:tc>
          <w:tcPr>
            <w:tcW w:type="dxa" w:w="6480"/>
            <w:vAlign w:val="top"/>
          </w:tcPr>
          <w:p>
            <w:pPr>
              <w:spacing w:after="40"/>
            </w:pPr>
            <w:r>
              <w:rPr>
                <w:rFonts w:ascii="Times New Roman" w:hAnsi="Times New Roman"/>
                <w:sz w:val="19"/>
              </w:rPr>
              <w:t>Five (exceeds the minimum of three; chosen because compute is abundant and the seed random effect is estimated from these points)</w:t>
            </w:r>
          </w:p>
        </w:tc>
      </w:tr>
      <w:tr>
        <w:trPr>
          <w:cantSplit/>
        </w:trPr>
        <w:tc>
          <w:tcPr>
            <w:tcW w:type="dxa" w:w="2736"/>
            <w:vAlign w:val="top"/>
            <w:shd w:fill="F5F7F9"/>
          </w:tcPr>
          <w:p>
            <w:pPr>
              <w:spacing w:after="40"/>
            </w:pPr>
            <w:r>
              <w:rPr>
                <w:rFonts w:ascii="Times New Roman" w:hAnsi="Times New Roman"/>
                <w:sz w:val="19"/>
              </w:rPr>
              <w:t>Reference models</w:t>
            </w:r>
          </w:p>
        </w:tc>
        <w:tc>
          <w:tcPr>
            <w:tcW w:type="dxa" w:w="6480"/>
            <w:vAlign w:val="top"/>
            <w:shd w:fill="F5F7F9"/>
          </w:tcPr>
          <w:p>
            <w:pPr>
              <w:spacing w:after="40"/>
            </w:pPr>
            <w:r>
              <w:rPr>
                <w:rFonts w:ascii="Times New Roman" w:hAnsi="Times New Roman"/>
                <w:sz w:val="19"/>
              </w:rPr>
              <w:t>Original model; twelve independently retrained oracles at the primary condition, of which three are held out as audit-validity probes and never contribute to a reference band; paired oracles for every condition</w:t>
            </w:r>
          </w:p>
        </w:tc>
      </w:tr>
      <w:tr>
        <w:trPr>
          <w:cantSplit/>
        </w:trPr>
        <w:tc>
          <w:tcPr>
            <w:tcW w:type="dxa" w:w="2736"/>
            <w:vAlign w:val="top"/>
          </w:tcPr>
          <w:p>
            <w:pPr>
              <w:spacing w:after="40"/>
            </w:pPr>
            <w:r>
              <w:rPr>
                <w:rFonts w:ascii="Times New Roman" w:hAnsi="Times New Roman"/>
                <w:sz w:val="19"/>
              </w:rPr>
              <w:t>Primary audits</w:t>
            </w:r>
          </w:p>
        </w:tc>
        <w:tc>
          <w:tcPr>
            <w:tcW w:type="dxa" w:w="6480"/>
            <w:vAlign w:val="top"/>
          </w:tcPr>
          <w:p>
            <w:pPr>
              <w:spacing w:after="40"/>
            </w:pPr>
            <w:r>
              <w:rPr>
                <w:rFonts w:ascii="Times New Roman" w:hAnsi="Times New Roman"/>
                <w:sz w:val="19"/>
              </w:rPr>
              <w:t>Behavior, MIA privacy at two attack strengths, representation, relearning — plus audit validity (Section 15.5)</w:t>
            </w:r>
          </w:p>
        </w:tc>
      </w:tr>
      <w:tr>
        <w:trPr>
          <w:cantSplit/>
        </w:trPr>
        <w:tc>
          <w:tcPr>
            <w:tcW w:type="dxa" w:w="2736"/>
            <w:vAlign w:val="top"/>
            <w:shd w:fill="F5F7F9"/>
          </w:tcPr>
          <w:p>
            <w:pPr>
              <w:spacing w:after="40"/>
            </w:pPr>
            <w:r>
              <w:rPr>
                <w:rFonts w:ascii="Times New Roman" w:hAnsi="Times New Roman"/>
                <w:sz w:val="19"/>
              </w:rPr>
              <w:t>Primary agreement statistic</w:t>
            </w:r>
          </w:p>
        </w:tc>
        <w:tc>
          <w:tcPr>
            <w:tcW w:type="dxa" w:w="6480"/>
            <w:vAlign w:val="top"/>
            <w:shd w:fill="F5F7F9"/>
          </w:tcPr>
          <w:p>
            <w:pPr>
              <w:spacing w:after="40"/>
            </w:pPr>
            <w:r>
              <w:rPr>
                <w:rFonts w:ascii="Times New Roman" w:hAnsi="Times New Roman"/>
                <w:sz w:val="19"/>
              </w:rPr>
              <w:t>Instance-level metric correlation (Kendall tau and Spearman with bootstrap CIs) plus disagreement rate; linear mixed-effects models for confirmatory tests</w:t>
            </w:r>
          </w:p>
        </w:tc>
      </w:tr>
      <w:tr>
        <w:trPr>
          <w:cantSplit/>
        </w:trPr>
        <w:tc>
          <w:tcPr>
            <w:tcW w:type="dxa" w:w="2736"/>
            <w:vAlign w:val="top"/>
            <w:shd w:fill="F5F7F9"/>
          </w:tcPr>
          <w:p>
            <w:pPr>
              <w:spacing w:after="40"/>
            </w:pPr>
            <w:r>
              <w:rPr>
                <w:rFonts w:ascii="Times New Roman" w:hAnsi="Times New Roman"/>
                <w:sz w:val="19"/>
              </w:rPr>
              <w:t>Compute platform</w:t>
            </w:r>
          </w:p>
        </w:tc>
        <w:tc>
          <w:tcPr>
            <w:tcW w:type="dxa" w:w="6480"/>
            <w:vAlign w:val="top"/>
            <w:shd w:fill="F5F7F9"/>
          </w:tcPr>
          <w:p>
            <w:pPr>
              <w:spacing w:after="40"/>
            </w:pPr>
            <w:r>
              <w:rPr>
                <w:rFonts w:ascii="Times New Roman" w:hAnsi="Times New Roman"/>
                <w:sz w:val="19"/>
              </w:rPr>
              <w:t>Kaggle GPU (P100 / T4) for all training; local CPU machines for audits, statistics and the dashboard</w:t>
            </w:r>
          </w:p>
        </w:tc>
      </w:tr>
      <w:tr>
        <w:trPr>
          <w:cantSplit/>
        </w:trPr>
        <w:tc>
          <w:tcPr>
            <w:tcW w:type="dxa" w:w="2736"/>
            <w:vAlign w:val="top"/>
            <w:shd w:fill="F5F7F9"/>
          </w:tcPr>
          <w:p>
            <w:pPr>
              <w:spacing w:after="40"/>
            </w:pPr>
            <w:r>
              <w:rPr>
                <w:rFonts w:ascii="Times New Roman" w:hAnsi="Times New Roman"/>
                <w:sz w:val="19"/>
              </w:rPr>
              <w:t>Privacy reference models</w:t>
            </w:r>
          </w:p>
        </w:tc>
        <w:tc>
          <w:tcPr>
            <w:tcW w:type="dxa" w:w="6480"/>
            <w:vAlign w:val="top"/>
            <w:shd w:fill="F5F7F9"/>
          </w:tcPr>
          <w:p>
            <w:pPr>
              <w:spacing w:after="40"/>
            </w:pPr>
            <w:r>
              <w:rPr>
                <w:rFonts w:ascii="Times New Roman" w:hAnsi="Times New Roman"/>
                <w:sz w:val="19"/>
              </w:rPr>
              <w:t>Thirty-two shadow models at 50% subsampling, shared across all forget conditions</w:t>
            </w:r>
          </w:p>
        </w:tc>
      </w:tr>
      <w:tr>
        <w:trPr>
          <w:cantSplit/>
        </w:trPr>
        <w:tc>
          <w:tcPr>
            <w:tcW w:type="dxa" w:w="2736"/>
            <w:vAlign w:val="top"/>
            <w:shd w:fill="F5F7F9"/>
          </w:tcPr>
          <w:p>
            <w:pPr>
              <w:spacing w:after="40"/>
            </w:pPr>
            <w:r>
              <w:rPr>
                <w:rFonts w:ascii="Times New Roman" w:hAnsi="Times New Roman"/>
                <w:sz w:val="19"/>
              </w:rPr>
              <w:t>Primary forget condition</w:t>
            </w:r>
          </w:p>
        </w:tc>
        <w:tc>
          <w:tcPr>
            <w:tcW w:type="dxa" w:w="6480"/>
            <w:vAlign w:val="top"/>
            <w:shd w:fill="F5F7F9"/>
          </w:tcPr>
          <w:p>
            <w:pPr>
              <w:spacing w:after="40"/>
            </w:pPr>
            <w:r>
              <w:rPr>
                <w:rFonts w:ascii="Times New Roman" w:hAnsi="Times New Roman"/>
                <w:sz w:val="19"/>
              </w:rPr>
              <w:t>High-memorization stratum at fixed size (n = 3000); the oracle ensemble and validity analysis are anchored there</w:t>
            </w:r>
          </w:p>
        </w:tc>
      </w:tr>
    </w:tbl>
    <w:p>
      <w:pPr>
        <w:spacing w:after="20"/>
      </w:pPr>
    </w:p>
    <w:p>
      <w:pPr>
        <w:spacing w:after="120"/>
      </w:pPr>
      <w:r>
        <w:rPr>
          <w:i w:val="0"/>
        </w:rPr>
        <w:t>Six methods across the size and difficulty axes and five seeds produce on the order of two hundred and forty approximate-unlearning runs, in addition to original training, the retrained oracle ensemble, thirty-two membership-inference reference models, relearning runs and their anchor arms — roughly seven hundred runs in total. This is a substantially larger matrix than v1.0, and it is affordable: the experimental substrate is adopted from an existing public codebase rather than rebuilt, and training runs on cloud GPU sessions where the team’s available quota exceeds the requirement by an order of magnitude. The additional budget is deliberately spent on depth rather than breadth — more seeds, more oracles and more privacy reference models — because the contribution is a calibration claim, and calibration precision scales with the number of reference models rather than with the number of methods. A single-seed pilot must be run through the entire pipeline — including all four audits, the calibration checks of Section 15.5 and the disagreement analysis, not merely training — before the full matrix is launched, so that a design fault surfaces while it is still cheap to fix.</w:t>
      </w:r>
    </w:p>
    <w:p>
      <w:pPr>
        <w:pStyle w:val="Heading2"/>
        <w:keepNext/>
      </w:pPr>
      <w:r>
        <w:t>16.2 Statistical Reporting</w:t>
      </w:r>
    </w:p>
    <w:p>
      <w:pPr>
        <w:pStyle w:val="ListBullet"/>
        <w:spacing w:after="60"/>
        <w:ind w:left="346"/>
      </w:pPr>
      <w:r>
        <w:t>Report mean and standard deviation for every main metric across seeds.</w:t>
      </w:r>
    </w:p>
    <w:p>
      <w:pPr>
        <w:pStyle w:val="ListBullet"/>
        <w:spacing w:after="60"/>
        <w:ind w:left="346"/>
      </w:pPr>
      <w:r>
        <w:t>Use bootstrap confidence intervals where they materially aid interpretation.</w:t>
      </w:r>
    </w:p>
    <w:p>
      <w:pPr>
        <w:pStyle w:val="ListBullet"/>
        <w:spacing w:after="60"/>
        <w:ind w:left="346"/>
      </w:pPr>
      <w:r>
        <w:t>Prefer effect sizes and consistency over unnecessary large numbers of significance tests.</w:t>
      </w:r>
    </w:p>
    <w:p>
      <w:pPr>
        <w:pStyle w:val="ListBullet"/>
        <w:spacing w:after="60"/>
        <w:ind w:left="346"/>
      </w:pPr>
      <w:r>
        <w:t>Treat stochastic retraining variation as part of the reference distribution rather than a nuisance to hide.</w:t>
      </w:r>
    </w:p>
    <w:p>
      <w:pPr>
        <w:pStyle w:val="ListBullet"/>
        <w:spacing w:after="60"/>
        <w:ind w:left="346"/>
      </w:pPr>
      <w:r>
        <w:t>For paired comparisons, ensure the same forget set and seed logic are respected.</w:t>
      </w:r>
    </w:p>
    <w:p>
      <w:pPr>
        <w:pStyle w:val="ListParagraph"/>
        <w:spacing w:after="60"/>
        <w:ind w:left="346"/>
      </w:pPr>
      <w:r>
        <w:t>Use linear mixed-effects models for confirmatory tests, of the form metric ~ method + forget-condition + (1 | seed), so that the repeated-measures structure of the design is modelled rather than ignored. This follows established practice in comparable representation-level unlearning work [22].</w:t>
      </w:r>
    </w:p>
    <w:p>
      <w:pPr>
        <w:pStyle w:val="ListParagraph"/>
        <w:spacing w:after="60"/>
        <w:ind w:left="346"/>
      </w:pPr>
      <w:r>
        <w:t>Define all pass/fail thresholds in units of the oracle ensemble’s standard deviation for the metric in question, never as absolute values. A threshold that a genuine retrained model fails is a broken threshold, not a strict one.</w:t>
      </w:r>
    </w:p>
    <w:p>
      <w:pPr>
        <w:pStyle w:val="ListParagraph"/>
        <w:spacing w:after="60"/>
        <w:ind w:left="346"/>
      </w:pPr>
      <w:r>
        <w:t>Report the number of model instances entering each correlation, and never report a rank correlation over the six methods as though it carried inferential weight.</w:t>
      </w:r>
    </w:p>
    <w:p>
      <w:pPr>
        <w:pStyle w:val="Heading2"/>
        <w:keepNext/>
      </w:pPr>
      <w:r>
        <w:t>16.3 Canonical Evaluation Metrics</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304"/>
            <w:shd w:fill="17324D"/>
            <w:vAlign w:val="center"/>
          </w:tcPr>
          <w:p>
            <w:r>
              <w:rPr>
                <w:rFonts w:ascii="Times New Roman" w:hAnsi="Times New Roman"/>
                <w:b/>
                <w:color w:val="FFFFFF"/>
                <w:sz w:val="19"/>
              </w:rPr>
              <w:t>Dimension</w:t>
            </w:r>
          </w:p>
        </w:tc>
        <w:tc>
          <w:tcPr>
            <w:tcW w:type="dxa" w:w="6912"/>
            <w:shd w:fill="17324D"/>
            <w:vAlign w:val="center"/>
          </w:tcPr>
          <w:p>
            <w:r>
              <w:rPr>
                <w:rFonts w:ascii="Times New Roman" w:hAnsi="Times New Roman"/>
                <w:b/>
                <w:color w:val="FFFFFF"/>
                <w:sz w:val="19"/>
              </w:rPr>
              <w:t>Primary Metrics</w:t>
            </w:r>
          </w:p>
        </w:tc>
      </w:tr>
      <w:tr>
        <w:trPr>
          <w:cantSplit/>
        </w:trPr>
        <w:tc>
          <w:tcPr>
            <w:tcW w:type="dxa" w:w="2304"/>
            <w:vAlign w:val="top"/>
          </w:tcPr>
          <w:p>
            <w:pPr>
              <w:spacing w:after="40"/>
            </w:pPr>
            <w:r>
              <w:rPr>
                <w:rFonts w:ascii="Times New Roman" w:hAnsi="Times New Roman"/>
                <w:sz w:val="19"/>
              </w:rPr>
              <w:t>Retain utility</w:t>
            </w:r>
          </w:p>
        </w:tc>
        <w:tc>
          <w:tcPr>
            <w:tcW w:type="dxa" w:w="6912"/>
            <w:vAlign w:val="top"/>
          </w:tcPr>
          <w:p>
            <w:pPr>
              <w:spacing w:after="40"/>
            </w:pPr>
            <w:r>
              <w:rPr>
                <w:rFonts w:ascii="Times New Roman" w:hAnsi="Times New Roman"/>
                <w:sz w:val="19"/>
              </w:rPr>
              <w:t>Accuracy; Macro-F1; cross-entropy loss</w:t>
            </w:r>
          </w:p>
        </w:tc>
      </w:tr>
      <w:tr>
        <w:trPr>
          <w:cantSplit/>
        </w:trPr>
        <w:tc>
          <w:tcPr>
            <w:tcW w:type="dxa" w:w="2304"/>
            <w:vAlign w:val="top"/>
            <w:shd w:fill="F5F7F9"/>
          </w:tcPr>
          <w:p>
            <w:pPr>
              <w:spacing w:after="40"/>
            </w:pPr>
            <w:r>
              <w:rPr>
                <w:rFonts w:ascii="Times New Roman" w:hAnsi="Times New Roman"/>
                <w:sz w:val="19"/>
              </w:rPr>
              <w:t>Forget behavior</w:t>
            </w:r>
          </w:p>
        </w:tc>
        <w:tc>
          <w:tcPr>
            <w:tcW w:type="dxa" w:w="6912"/>
            <w:vAlign w:val="top"/>
            <w:shd w:fill="F5F7F9"/>
          </w:tcPr>
          <w:p>
            <w:pPr>
              <w:spacing w:after="40"/>
            </w:pPr>
            <w:r>
              <w:rPr>
                <w:rFonts w:ascii="Times New Roman" w:hAnsi="Times New Roman"/>
                <w:sz w:val="19"/>
              </w:rPr>
              <w:t>Forget-set loss/accuracy relative to retraining</w:t>
            </w:r>
          </w:p>
        </w:tc>
      </w:tr>
      <w:tr>
        <w:trPr>
          <w:cantSplit/>
        </w:trPr>
        <w:tc>
          <w:tcPr>
            <w:tcW w:type="dxa" w:w="2304"/>
            <w:vAlign w:val="top"/>
          </w:tcPr>
          <w:p>
            <w:pPr>
              <w:spacing w:after="40"/>
            </w:pPr>
            <w:r>
              <w:rPr>
                <w:rFonts w:ascii="Times New Roman" w:hAnsi="Times New Roman"/>
                <w:sz w:val="19"/>
              </w:rPr>
              <w:t>Oracle similarity</w:t>
            </w:r>
          </w:p>
        </w:tc>
        <w:tc>
          <w:tcPr>
            <w:tcW w:type="dxa" w:w="6912"/>
            <w:vAlign w:val="top"/>
          </w:tcPr>
          <w:p>
            <w:pPr>
              <w:spacing w:after="40"/>
            </w:pPr>
            <w:r>
              <w:rPr>
                <w:rFonts w:ascii="Times New Roman" w:hAnsi="Times New Roman"/>
                <w:sz w:val="19"/>
              </w:rPr>
              <w:t>Jensen-Shannon divergence; prediction agreement; logit distance</w:t>
            </w:r>
          </w:p>
        </w:tc>
      </w:tr>
      <w:tr>
        <w:trPr>
          <w:cantSplit/>
        </w:trPr>
        <w:tc>
          <w:tcPr>
            <w:tcW w:type="dxa" w:w="2304"/>
            <w:vAlign w:val="top"/>
            <w:shd w:fill="F5F7F9"/>
          </w:tcPr>
          <w:p>
            <w:pPr>
              <w:spacing w:after="40"/>
            </w:pPr>
            <w:r>
              <w:rPr>
                <w:rFonts w:ascii="Times New Roman" w:hAnsi="Times New Roman"/>
                <w:sz w:val="19"/>
              </w:rPr>
              <w:t>Privacy</w:t>
            </w:r>
          </w:p>
        </w:tc>
        <w:tc>
          <w:tcPr>
            <w:tcW w:type="dxa" w:w="6912"/>
            <w:vAlign w:val="top"/>
            <w:shd w:fill="F5F7F9"/>
          </w:tcPr>
          <w:p>
            <w:pPr>
              <w:spacing w:after="40"/>
            </w:pPr>
            <w:r>
              <w:rPr>
                <w:rFonts w:ascii="Times New Roman" w:hAnsi="Times New Roman"/>
                <w:sz w:val="19"/>
              </w:rPr>
              <w:t>MIA ROC-AUC and attack accuracy under both a population attack and a per-example attack (RMIA); TPR at fixed low FPR; gap between the two attack strengths</w:t>
            </w:r>
          </w:p>
        </w:tc>
      </w:tr>
      <w:tr>
        <w:trPr>
          <w:cantSplit/>
        </w:trPr>
        <w:tc>
          <w:tcPr>
            <w:tcW w:type="dxa" w:w="2304"/>
            <w:vAlign w:val="top"/>
          </w:tcPr>
          <w:p>
            <w:pPr>
              <w:spacing w:after="40"/>
            </w:pPr>
            <w:r>
              <w:rPr>
                <w:rFonts w:ascii="Times New Roman" w:hAnsi="Times New Roman"/>
                <w:sz w:val="19"/>
              </w:rPr>
              <w:t>Representation</w:t>
            </w:r>
          </w:p>
        </w:tc>
        <w:tc>
          <w:tcPr>
            <w:tcW w:type="dxa" w:w="6912"/>
            <w:vAlign w:val="top"/>
          </w:tcPr>
          <w:p>
            <w:pPr>
              <w:spacing w:after="40"/>
            </w:pPr>
            <w:r>
              <w:rPr>
                <w:rFonts w:ascii="Times New Roman" w:hAnsi="Times New Roman"/>
                <w:sz w:val="19"/>
              </w:rPr>
              <w:t>Layer-wise linear CKA plus a second, non-CKA similarity measure; activation distance; oracle-vs-oracle baseline; PCA visualization</w:t>
            </w:r>
          </w:p>
        </w:tc>
      </w:tr>
      <w:tr>
        <w:trPr>
          <w:cantSplit/>
        </w:trPr>
        <w:tc>
          <w:tcPr>
            <w:tcW w:type="dxa" w:w="2304"/>
            <w:vAlign w:val="top"/>
            <w:shd w:fill="F5F7F9"/>
          </w:tcPr>
          <w:p>
            <w:pPr>
              <w:spacing w:after="40"/>
            </w:pPr>
            <w:r>
              <w:rPr>
                <w:rFonts w:ascii="Times New Roman" w:hAnsi="Times New Roman"/>
                <w:sz w:val="19"/>
              </w:rPr>
              <w:t>Reversibility</w:t>
            </w:r>
          </w:p>
        </w:tc>
        <w:tc>
          <w:tcPr>
            <w:tcW w:type="dxa" w:w="6912"/>
            <w:vAlign w:val="top"/>
            <w:shd w:fill="F5F7F9"/>
          </w:tcPr>
          <w:p>
            <w:pPr>
              <w:spacing w:after="40"/>
            </w:pPr>
            <w:r>
              <w:rPr>
                <w:rFonts w:ascii="Times New Roman" w:hAnsi="Times New Roman"/>
                <w:sz w:val="19"/>
              </w:rPr>
              <w:t>Recovery curve normalised between M0 and no-exposure anchors; T80; area under the relearning curve</w:t>
            </w:r>
          </w:p>
        </w:tc>
      </w:tr>
      <w:tr>
        <w:trPr>
          <w:cantSplit/>
        </w:trPr>
        <w:tc>
          <w:tcPr>
            <w:tcW w:type="dxa" w:w="2304"/>
            <w:vAlign w:val="top"/>
          </w:tcPr>
          <w:p>
            <w:pPr>
              <w:spacing w:after="40"/>
            </w:pPr>
            <w:r>
              <w:rPr>
                <w:rFonts w:ascii="Times New Roman" w:hAnsi="Times New Roman"/>
                <w:sz w:val="19"/>
              </w:rPr>
              <w:t>Efficiency</w:t>
            </w:r>
          </w:p>
        </w:tc>
        <w:tc>
          <w:tcPr>
            <w:tcW w:type="dxa" w:w="6912"/>
            <w:vAlign w:val="top"/>
          </w:tcPr>
          <w:p>
            <w:pPr>
              <w:spacing w:after="40"/>
            </w:pPr>
            <w:r>
              <w:rPr>
                <w:rFonts w:ascii="Times New Roman" w:hAnsi="Times New Roman"/>
                <w:sz w:val="19"/>
              </w:rPr>
              <w:t>Wall-clock time; GPU time; optional energy estimate</w:t>
            </w:r>
          </w:p>
        </w:tc>
      </w:tr>
      <w:tr>
        <w:trPr>
          <w:cantSplit/>
        </w:trPr>
        <w:tc>
          <w:tcPr>
            <w:tcW w:type="dxa" w:w="2304"/>
            <w:vAlign w:val="top"/>
            <w:shd w:fill="F5F7F9"/>
          </w:tcPr>
          <w:p>
            <w:pPr>
              <w:spacing w:after="40"/>
            </w:pPr>
            <w:r>
              <w:rPr>
                <w:rFonts w:ascii="Times New Roman" w:hAnsi="Times New Roman"/>
                <w:sz w:val="19"/>
              </w:rPr>
              <w:t>Audit agreement</w:t>
            </w:r>
          </w:p>
        </w:tc>
        <w:tc>
          <w:tcPr>
            <w:tcW w:type="dxa" w:w="6912"/>
            <w:vAlign w:val="top"/>
            <w:shd w:fill="F5F7F9"/>
          </w:tcPr>
          <w:p>
            <w:pPr>
              <w:spacing w:after="40"/>
            </w:pPr>
            <w:r>
              <w:rPr>
                <w:rFonts w:ascii="Times New Roman" w:hAnsi="Times New Roman"/>
                <w:sz w:val="19"/>
              </w:rPr>
              <w:t>Instance-level Kendall tau and Spearman with bootstrap confidence intervals; pairwise disagreement rate; between-family and within-family (attack A vs attack B)</w:t>
            </w:r>
          </w:p>
        </w:tc>
      </w:tr>
      <w:tr>
        <w:trPr>
          <w:cantSplit/>
        </w:trPr>
        <w:tc>
          <w:tcPr>
            <w:tcW w:type="dxa" w:w="2304"/>
            <w:vAlign w:val="top"/>
          </w:tcPr>
          <w:p>
            <w:pPr>
              <w:spacing w:after="40"/>
            </w:pPr>
            <w:r>
              <w:rPr>
                <w:rFonts w:ascii="Times New Roman" w:hAnsi="Times New Roman"/>
                <w:sz w:val="19"/>
              </w:rPr>
              <w:t>Scalability</w:t>
            </w:r>
          </w:p>
        </w:tc>
        <w:tc>
          <w:tcPr>
            <w:tcW w:type="dxa" w:w="6912"/>
            <w:vAlign w:val="top"/>
          </w:tcPr>
          <w:p>
            <w:pPr>
              <w:spacing w:after="40"/>
            </w:pPr>
            <w:r>
              <w:rPr>
                <w:rFonts w:ascii="Times New Roman" w:hAnsi="Times New Roman"/>
                <w:sz w:val="19"/>
              </w:rPr>
              <w:t>Change across 1%, 5%, 10% deletion</w:t>
            </w:r>
          </w:p>
        </w:tc>
      </w:tr>
      <w:tr>
        <w:trPr>
          <w:cantSplit/>
        </w:trPr>
        <w:tc>
          <w:tcPr>
            <w:tcW w:type="dxa" w:w="2304"/>
            <w:vAlign w:val="top"/>
            <w:shd w:fill="F5F7F9"/>
          </w:tcPr>
          <w:p>
            <w:pPr>
              <w:spacing w:after="40"/>
            </w:pPr>
            <w:r>
              <w:rPr>
                <w:rFonts w:ascii="Times New Roman" w:hAnsi="Times New Roman"/>
                <w:sz w:val="19"/>
              </w:rPr>
              <w:t>Difficulty</w:t>
            </w:r>
          </w:p>
        </w:tc>
        <w:tc>
          <w:tcPr>
            <w:tcW w:type="dxa" w:w="6912"/>
            <w:vAlign w:val="top"/>
            <w:shd w:fill="F5F7F9"/>
          </w:tcPr>
          <w:p>
            <w:pPr>
              <w:spacing w:after="40"/>
            </w:pPr>
            <w:r>
              <w:rPr>
                <w:rFonts w:ascii="Times New Roman" w:hAnsi="Times New Roman"/>
                <w:sz w:val="19"/>
              </w:rPr>
              <w:t>Low vs medium vs high memorization at fixed forget-set size; random forget set as an additional comparison point</w:t>
            </w:r>
          </w:p>
        </w:tc>
      </w:tr>
      <w:tr>
        <w:trPr>
          <w:cantSplit/>
        </w:trPr>
        <w:tc>
          <w:tcPr>
            <w:tcW w:type="dxa" w:w="2304"/>
            <w:vAlign w:val="top"/>
            <w:shd w:fill="F5F7F9"/>
          </w:tcPr>
          <w:p>
            <w:pPr>
              <w:spacing w:after="40"/>
            </w:pPr>
            <w:r>
              <w:rPr>
                <w:rFonts w:ascii="Times New Roman" w:hAnsi="Times New Roman"/>
                <w:sz w:val="19"/>
              </w:rPr>
              <w:t>Audit validity</w:t>
            </w:r>
          </w:p>
        </w:tc>
        <w:tc>
          <w:tcPr>
            <w:tcW w:type="dxa" w:w="6912"/>
            <w:vAlign w:val="top"/>
            <w:shd w:fill="F5F7F9"/>
          </w:tcPr>
          <w:p>
            <w:pPr>
              <w:spacing w:after="40"/>
            </w:pPr>
            <w:r>
              <w:rPr>
                <w:rFonts w:ascii="Times New Roman" w:hAnsi="Times New Roman"/>
                <w:sz w:val="19"/>
              </w:rPr>
              <w:t>Oracle false-positive rate per audit family; canary-condition accuracy, sensitivity and specificity</w:t>
            </w:r>
          </w:p>
        </w:tc>
      </w:tr>
    </w:tbl>
    <w:p>
      <w:pPr>
        <w:spacing w:after="20"/>
      </w:pPr>
    </w:p>
    <w:p>
      <w:pPr>
        <w:pStyle w:val="Heading1"/>
        <w:keepNext/>
      </w:pPr>
      <w:r>
        <w:t>17. Implementation Plan and Repository Structure</w:t>
      </w:r>
    </w:p>
    <w:p>
      <w:pPr>
        <w:pStyle w:val="Heading2"/>
        <w:keepNext/>
      </w:pPr>
      <w:r>
        <w:t>17.1 Technology Stack</w:t>
      </w:r>
    </w:p>
    <w:p>
      <w:pPr>
        <w:pStyle w:val="Heading2"/>
        <w:keepNext/>
      </w:pPr>
      <w:r>
        <w:t>Implementation is governed by a separate engineering specification, docs/IMPLEMENTATION_PLAN.md, which fixes run identifiers, the result-record schema, the metric registry, the execution order and a per-stage acceptance gate. That document is binding on implementation detail; this one remains binding on scientific claims.</w:t>
      </w:r>
    </w:p>
    <w:p>
      <w:pPr>
        <w:pStyle w:val="Heading2"/>
        <w:keepNext/>
      </w:pPr>
      <w:r>
        <w:t>Compute is not a constraint on this project, but session persistence is. Training runs on ephemeral cloud notebook sessions, so the pipeline must be built around checkpoint artefacts rather than long-lived sessions: every training run writes its checkpoint and a structured result record to persistent storage, and every audit reads from checkpoints rather than from a model held in memory. The logging requirements of Section 18 are therefore load-bearing infrastructure and must be built in week 3, not retrofitted later.</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520"/>
            <w:shd w:fill="17324D"/>
            <w:vAlign w:val="center"/>
          </w:tcPr>
          <w:p>
            <w:r>
              <w:rPr>
                <w:rFonts w:ascii="Times New Roman" w:hAnsi="Times New Roman"/>
                <w:b/>
                <w:color w:val="FFFFFF"/>
                <w:sz w:val="19"/>
              </w:rPr>
              <w:t>Area</w:t>
            </w:r>
          </w:p>
        </w:tc>
        <w:tc>
          <w:tcPr>
            <w:tcW w:type="dxa" w:w="6696"/>
            <w:shd w:fill="17324D"/>
            <w:vAlign w:val="center"/>
          </w:tcPr>
          <w:p>
            <w:r>
              <w:rPr>
                <w:rFonts w:ascii="Times New Roman" w:hAnsi="Times New Roman"/>
                <w:b/>
                <w:color w:val="FFFFFF"/>
                <w:sz w:val="19"/>
              </w:rPr>
              <w:t>Recommended Tools</w:t>
            </w:r>
          </w:p>
        </w:tc>
      </w:tr>
      <w:tr>
        <w:trPr>
          <w:cantSplit/>
        </w:trPr>
        <w:tc>
          <w:tcPr>
            <w:tcW w:type="dxa" w:w="2520"/>
            <w:vAlign w:val="top"/>
          </w:tcPr>
          <w:p>
            <w:pPr>
              <w:spacing w:after="40"/>
            </w:pPr>
            <w:r>
              <w:rPr>
                <w:rFonts w:ascii="Times New Roman" w:hAnsi="Times New Roman"/>
                <w:sz w:val="19"/>
              </w:rPr>
              <w:t>Core ML</w:t>
            </w:r>
          </w:p>
        </w:tc>
        <w:tc>
          <w:tcPr>
            <w:tcW w:type="dxa" w:w="6696"/>
            <w:vAlign w:val="top"/>
          </w:tcPr>
          <w:p>
            <w:pPr>
              <w:spacing w:after="40"/>
            </w:pPr>
            <w:r>
              <w:rPr>
                <w:rFonts w:ascii="Times New Roman" w:hAnsi="Times New Roman"/>
                <w:sz w:val="19"/>
              </w:rPr>
              <w:t>Python, PyTorch, torchvision</w:t>
            </w:r>
          </w:p>
        </w:tc>
      </w:tr>
      <w:tr>
        <w:trPr>
          <w:cantSplit/>
        </w:trPr>
        <w:tc>
          <w:tcPr>
            <w:tcW w:type="dxa" w:w="2520"/>
            <w:vAlign w:val="top"/>
            <w:shd w:fill="F5F7F9"/>
          </w:tcPr>
          <w:p>
            <w:pPr>
              <w:spacing w:after="40"/>
            </w:pPr>
            <w:r>
              <w:rPr>
                <w:rFonts w:ascii="Times New Roman" w:hAnsi="Times New Roman"/>
                <w:sz w:val="19"/>
              </w:rPr>
              <w:t>Data/metrics</w:t>
            </w:r>
          </w:p>
        </w:tc>
        <w:tc>
          <w:tcPr>
            <w:tcW w:type="dxa" w:w="6696"/>
            <w:vAlign w:val="top"/>
            <w:shd w:fill="F5F7F9"/>
          </w:tcPr>
          <w:p>
            <w:pPr>
              <w:spacing w:after="40"/>
            </w:pPr>
            <w:r>
              <w:rPr>
                <w:rFonts w:ascii="Times New Roman" w:hAnsi="Times New Roman"/>
                <w:sz w:val="19"/>
              </w:rPr>
              <w:t>NumPy, pandas, scikit-learn, SciPy</w:t>
            </w:r>
          </w:p>
        </w:tc>
      </w:tr>
      <w:tr>
        <w:trPr>
          <w:cantSplit/>
        </w:trPr>
        <w:tc>
          <w:tcPr>
            <w:tcW w:type="dxa" w:w="2520"/>
            <w:vAlign w:val="top"/>
          </w:tcPr>
          <w:p>
            <w:pPr>
              <w:spacing w:after="40"/>
            </w:pPr>
            <w:r>
              <w:rPr>
                <w:rFonts w:ascii="Times New Roman" w:hAnsi="Times New Roman"/>
                <w:sz w:val="19"/>
              </w:rPr>
              <w:t>Visualization</w:t>
            </w:r>
          </w:p>
        </w:tc>
        <w:tc>
          <w:tcPr>
            <w:tcW w:type="dxa" w:w="6696"/>
            <w:vAlign w:val="top"/>
          </w:tcPr>
          <w:p>
            <w:pPr>
              <w:spacing w:after="40"/>
            </w:pPr>
            <w:r>
              <w:rPr>
                <w:rFonts w:ascii="Times New Roman" w:hAnsi="Times New Roman"/>
                <w:sz w:val="19"/>
              </w:rPr>
              <w:t>Matplotlib, Seaborn</w:t>
            </w:r>
          </w:p>
        </w:tc>
      </w:tr>
      <w:tr>
        <w:trPr>
          <w:cantSplit/>
        </w:trPr>
        <w:tc>
          <w:tcPr>
            <w:tcW w:type="dxa" w:w="2520"/>
            <w:vAlign w:val="top"/>
            <w:shd w:fill="F5F7F9"/>
          </w:tcPr>
          <w:p>
            <w:pPr>
              <w:spacing w:after="40"/>
            </w:pPr>
            <w:r>
              <w:rPr>
                <w:rFonts w:ascii="Times New Roman" w:hAnsi="Times New Roman"/>
                <w:sz w:val="19"/>
              </w:rPr>
              <w:t>Experiment tracking</w:t>
            </w:r>
          </w:p>
        </w:tc>
        <w:tc>
          <w:tcPr>
            <w:tcW w:type="dxa" w:w="6696"/>
            <w:vAlign w:val="top"/>
            <w:shd w:fill="F5F7F9"/>
          </w:tcPr>
          <w:p>
            <w:pPr>
              <w:spacing w:after="40"/>
            </w:pPr>
            <w:r>
              <w:rPr>
                <w:rFonts w:ascii="Times New Roman" w:hAnsi="Times New Roman"/>
                <w:sz w:val="19"/>
              </w:rPr>
              <w:t>Structured CSV/JSON records written per run to persistent storage; optional MLflow or Weights &amp; Biases</w:t>
            </w:r>
          </w:p>
        </w:tc>
      </w:tr>
      <w:tr>
        <w:trPr>
          <w:cantSplit/>
        </w:trPr>
        <w:tc>
          <w:tcPr>
            <w:tcW w:type="dxa" w:w="2520"/>
            <w:vAlign w:val="top"/>
          </w:tcPr>
          <w:p>
            <w:pPr>
              <w:spacing w:after="40"/>
            </w:pPr>
            <w:r>
              <w:rPr>
                <w:rFonts w:ascii="Times New Roman" w:hAnsi="Times New Roman"/>
                <w:sz w:val="19"/>
              </w:rPr>
              <w:t>Unlearning resources</w:t>
            </w:r>
          </w:p>
        </w:tc>
        <w:tc>
          <w:tcPr>
            <w:tcW w:type="dxa" w:w="6696"/>
            <w:vAlign w:val="top"/>
          </w:tcPr>
          <w:p>
            <w:pPr>
              <w:spacing w:after="40"/>
            </w:pPr>
            <w:r>
              <w:rPr>
                <w:rFonts w:ascii="Times New Roman" w:hAnsi="Times New Roman"/>
                <w:sz w:val="19"/>
              </w:rPr>
              <w:t>RUM codebase as the primary experimental substrate (CIFAR-10, ResNet-18, instance-level forget sets, released memorization scores, six of the six core methods, MIA scripts); SCRUB and torchunlearn as independent cross-checks; NeurIPS starter kit for the population attack</w:t>
            </w:r>
          </w:p>
        </w:tc>
      </w:tr>
      <w:tr>
        <w:trPr>
          <w:cantSplit/>
        </w:trPr>
        <w:tc>
          <w:tcPr>
            <w:tcW w:type="dxa" w:w="2520"/>
            <w:vAlign w:val="top"/>
            <w:shd w:fill="F5F7F9"/>
          </w:tcPr>
          <w:p>
            <w:pPr>
              <w:spacing w:after="40"/>
            </w:pPr>
            <w:r>
              <w:rPr>
                <w:rFonts w:ascii="Times New Roman" w:hAnsi="Times New Roman"/>
                <w:sz w:val="19"/>
              </w:rPr>
              <w:t>Demo</w:t>
            </w:r>
          </w:p>
        </w:tc>
        <w:tc>
          <w:tcPr>
            <w:tcW w:type="dxa" w:w="6696"/>
            <w:vAlign w:val="top"/>
            <w:shd w:fill="F5F7F9"/>
          </w:tcPr>
          <w:p>
            <w:pPr>
              <w:spacing w:after="40"/>
            </w:pPr>
            <w:r>
              <w:rPr>
                <w:rFonts w:ascii="Times New Roman" w:hAnsi="Times New Roman"/>
                <w:sz w:val="19"/>
              </w:rPr>
              <w:t>Streamlit</w:t>
            </w:r>
          </w:p>
        </w:tc>
      </w:tr>
      <w:tr>
        <w:trPr>
          <w:cantSplit/>
        </w:trPr>
        <w:tc>
          <w:tcPr>
            <w:tcW w:type="dxa" w:w="2520"/>
            <w:vAlign w:val="top"/>
          </w:tcPr>
          <w:p>
            <w:pPr>
              <w:spacing w:after="40"/>
            </w:pPr>
            <w:r>
              <w:rPr>
                <w:rFonts w:ascii="Times New Roman" w:hAnsi="Times New Roman"/>
                <w:sz w:val="19"/>
              </w:rPr>
              <w:t>Version control</w:t>
            </w:r>
          </w:p>
        </w:tc>
        <w:tc>
          <w:tcPr>
            <w:tcW w:type="dxa" w:w="6696"/>
            <w:vAlign w:val="top"/>
          </w:tcPr>
          <w:p>
            <w:pPr>
              <w:spacing w:after="40"/>
            </w:pPr>
            <w:r>
              <w:rPr>
                <w:rFonts w:ascii="Times New Roman" w:hAnsi="Times New Roman"/>
                <w:sz w:val="19"/>
              </w:rPr>
              <w:t>Git and GitHub</w:t>
            </w:r>
          </w:p>
        </w:tc>
      </w:tr>
      <w:tr>
        <w:trPr>
          <w:cantSplit/>
        </w:trPr>
        <w:tc>
          <w:tcPr>
            <w:tcW w:type="dxa" w:w="2520"/>
            <w:vAlign w:val="top"/>
            <w:shd w:fill="F5F7F9"/>
          </w:tcPr>
          <w:p>
            <w:pPr>
              <w:spacing w:after="40"/>
            </w:pPr>
            <w:r>
              <w:rPr>
                <w:rFonts w:ascii="Times New Roman" w:hAnsi="Times New Roman"/>
                <w:sz w:val="19"/>
              </w:rPr>
              <w:t>Environment</w:t>
            </w:r>
          </w:p>
        </w:tc>
        <w:tc>
          <w:tcPr>
            <w:tcW w:type="dxa" w:w="6696"/>
            <w:vAlign w:val="top"/>
            <w:shd w:fill="F5F7F9"/>
          </w:tcPr>
          <w:p>
            <w:pPr>
              <w:spacing w:after="40"/>
            </w:pPr>
            <w:r>
              <w:rPr>
                <w:rFonts w:ascii="Times New Roman" w:hAnsi="Times New Roman"/>
                <w:sz w:val="19"/>
              </w:rPr>
              <w:t>Conda or venv; frozen requirements; optional Docker</w:t>
            </w:r>
          </w:p>
        </w:tc>
      </w:tr>
      <w:tr>
        <w:trPr>
          <w:cantSplit/>
        </w:trPr>
        <w:tc>
          <w:tcPr>
            <w:tcW w:type="dxa" w:w="2520"/>
            <w:vAlign w:val="top"/>
            <w:shd w:fill="F5F7F9"/>
          </w:tcPr>
          <w:p>
            <w:pPr>
              <w:spacing w:after="40"/>
            </w:pPr>
            <w:r>
              <w:rPr>
                <w:rFonts w:ascii="Times New Roman" w:hAnsi="Times New Roman"/>
                <w:sz w:val="19"/>
              </w:rPr>
              <w:t>Training compute</w:t>
            </w:r>
          </w:p>
        </w:tc>
        <w:tc>
          <w:tcPr>
            <w:tcW w:type="dxa" w:w="6696"/>
            <w:vAlign w:val="top"/>
            <w:shd w:fill="F5F7F9"/>
          </w:tcPr>
          <w:p>
            <w:pPr>
              <w:spacing w:after="40"/>
            </w:pPr>
            <w:r>
              <w:rPr>
                <w:rFonts w:ascii="Times New Roman" w:hAnsi="Times New Roman"/>
                <w:sz w:val="19"/>
              </w:rPr>
              <w:t>Kaggle notebooks (P100 / T4, 30 GPU-hours per week per account, four accounts) as primary; Colab free tier as overflow</w:t>
            </w:r>
          </w:p>
        </w:tc>
      </w:tr>
      <w:tr>
        <w:trPr>
          <w:cantSplit/>
        </w:trPr>
        <w:tc>
          <w:tcPr>
            <w:tcW w:type="dxa" w:w="2520"/>
            <w:vAlign w:val="top"/>
            <w:shd w:fill="F5F7F9"/>
          </w:tcPr>
          <w:p>
            <w:pPr>
              <w:spacing w:after="40"/>
            </w:pPr>
            <w:r>
              <w:rPr>
                <w:rFonts w:ascii="Times New Roman" w:hAnsi="Times New Roman"/>
                <w:sz w:val="19"/>
              </w:rPr>
              <w:t>Local compute</w:t>
            </w:r>
          </w:p>
        </w:tc>
        <w:tc>
          <w:tcPr>
            <w:tcW w:type="dxa" w:w="6696"/>
            <w:vAlign w:val="top"/>
            <w:shd w:fill="F5F7F9"/>
          </w:tcPr>
          <w:p>
            <w:pPr>
              <w:spacing w:after="40"/>
            </w:pPr>
            <w:r>
              <w:rPr>
                <w:rFonts w:ascii="Times New Roman" w:hAnsi="Times New Roman"/>
                <w:sz w:val="19"/>
              </w:rPr>
              <w:t>Audits, layer-wise CKA, statistics, figures and the dashboard. Note: the team’s Ryzen AI 9 HX 370 machine cannot train PyTorch models on its Radeon 890M integrated GPU, which is unsupported by ROCm; local training is CPU-only and measured at 4.76 hours per 30-epoch CIFAR-10 run.</w:t>
            </w:r>
          </w:p>
        </w:tc>
      </w:tr>
    </w:tbl>
    <w:p>
      <w:pPr>
        <w:spacing w:after="20"/>
      </w:pPr>
    </w:p>
    <w:p>
      <w:pPr>
        <w:pStyle w:val="Heading2"/>
        <w:keepNext/>
      </w:pPr>
      <w:r>
        <w:t>17.2 Suggested Repository Layout</w:t>
      </w:r>
    </w:p>
    <w:p>
      <w:pPr>
        <w:ind w:left="360"/>
      </w:pPr>
      <w:r>
        <w:rPr>
          <w:rFonts w:ascii="Courier New" w:hAnsi="Courier New"/>
          <w:sz w:val="17"/>
        </w:rPr>
        <w:t>forgetcheck/</w:t>
        <w:br/>
        <w:t>├── configs/</w:t>
        <w:br/>
        <w:t>│   ├── baseline.yaml</w:t>
        <w:br/>
        <w:t>│   ├── unlearning/</w:t>
        <w:br/>
        <w:t>│   └── audits/</w:t>
        <w:br/>
        <w:t>├── data/                  # downloaded/derived data; large files ignored in Git</w:t>
        <w:br/>
        <w:t>├── src/</w:t>
        <w:br/>
        <w:t>│   ├── train_base.py</w:t>
        <w:br/>
        <w:t>│   ├── retrain_oracle.py</w:t>
        <w:br/>
        <w:t>│   ├── forget_sets.py</w:t>
        <w:br/>
        <w:t>│   ├── unlearning/</w:t>
        <w:br/>
        <w:t>│   │   ├── finetune.py</w:t>
        <w:br/>
        <w:t>│   │   ├── neggrad.py</w:t>
        <w:br/>
        <w:t>│   │   ├── scrub.py</w:t>
        <w:br/>
        <w:t>│   │   └── ssd.py</w:t>
        <w:br/>
        <w:t>│   ├── audits/</w:t>
        <w:br/>
        <w:t>│   │   ├── behavioral.py</w:t>
        <w:br/>
        <w:t>│   │   ├── membership.py</w:t>
        <w:br/>
        <w:t>│   │   ├── representations.py</w:t>
        <w:br/>
        <w:t>│   │   ├── relearning.py</w:t>
        <w:br/>
        <w:t>│   │   └── disagreement.py</w:t>
        <w:br/>
        <w:t>│   └── utils/</w:t>
        <w:br/>
        <w:t>├── experiments/</w:t>
        <w:br/>
        <w:t>├── checkpoints/</w:t>
        <w:br/>
        <w:t>├── results/</w:t>
        <w:br/>
        <w:t>│   ├── raw/</w:t>
        <w:br/>
        <w:t>│   ├── summary/</w:t>
        <w:br/>
        <w:t>│   └── figures/</w:t>
        <w:br/>
        <w:t>├── dashboard/</w:t>
        <w:br/>
        <w:t>├── tests/</w:t>
        <w:br/>
        <w:t>├── requirements.txt</w:t>
        <w:br/>
        <w:t>└── README.md</w:t>
      </w:r>
    </w:p>
    <w:p>
      <w:pPr>
        <w:pStyle w:val="Heading1"/>
        <w:keepNext/>
      </w:pPr>
      <w:r>
        <w:t>18. Reproducibility and Experiment Logging</w:t>
      </w:r>
    </w:p>
    <w:p>
      <w:pPr>
        <w:spacing w:after="120"/>
      </w:pPr>
      <w:r>
        <w:rPr>
          <w:i w:val="0"/>
        </w:rPr>
        <w:t>Every run must be machine-readable and reproducible. Do not manually copy experiment results into spreadsheets. Each script should append or write a structured record to results.csv or a small experiment database. Model checkpoints, config files and random seeds must be linked to the corresponding experiment ID.</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448"/>
            <w:shd w:fill="17324D"/>
            <w:vAlign w:val="center"/>
          </w:tcPr>
          <w:p>
            <w:r>
              <w:rPr>
                <w:rFonts w:ascii="Times New Roman" w:hAnsi="Times New Roman"/>
                <w:b/>
                <w:color w:val="FFFFFF"/>
                <w:sz w:val="18"/>
              </w:rPr>
              <w:t>Field</w:t>
            </w:r>
          </w:p>
        </w:tc>
        <w:tc>
          <w:tcPr>
            <w:tcW w:type="dxa" w:w="6768"/>
            <w:shd w:fill="17324D"/>
            <w:vAlign w:val="center"/>
          </w:tcPr>
          <w:p>
            <w:r>
              <w:rPr>
                <w:rFonts w:ascii="Times New Roman" w:hAnsi="Times New Roman"/>
                <w:b/>
                <w:color w:val="FFFFFF"/>
                <w:sz w:val="18"/>
              </w:rPr>
              <w:t>Example / Purpose</w:t>
            </w:r>
          </w:p>
        </w:tc>
      </w:tr>
      <w:tr>
        <w:trPr>
          <w:cantSplit/>
        </w:trPr>
        <w:tc>
          <w:tcPr>
            <w:tcW w:type="dxa" w:w="2448"/>
            <w:vAlign w:val="top"/>
          </w:tcPr>
          <w:p>
            <w:pPr>
              <w:spacing w:after="40"/>
            </w:pPr>
            <w:r>
              <w:rPr>
                <w:rFonts w:ascii="Times New Roman" w:hAnsi="Times New Roman"/>
                <w:sz w:val="18"/>
              </w:rPr>
              <w:t>experiment_id</w:t>
            </w:r>
          </w:p>
        </w:tc>
        <w:tc>
          <w:tcPr>
            <w:tcW w:type="dxa" w:w="6768"/>
            <w:vAlign w:val="top"/>
          </w:tcPr>
          <w:p>
            <w:pPr>
              <w:spacing w:after="40"/>
            </w:pPr>
            <w:r>
              <w:rPr>
                <w:rFonts w:ascii="Times New Roman" w:hAnsi="Times New Roman"/>
                <w:sz w:val="18"/>
              </w:rPr>
              <w:t>Unique identifier, e.g., cifar10_scrub_r5_seed42</w:t>
            </w:r>
          </w:p>
        </w:tc>
      </w:tr>
      <w:tr>
        <w:trPr>
          <w:cantSplit/>
        </w:trPr>
        <w:tc>
          <w:tcPr>
            <w:tcW w:type="dxa" w:w="2448"/>
            <w:vAlign w:val="top"/>
            <w:shd w:fill="F5F7F9"/>
          </w:tcPr>
          <w:p>
            <w:pPr>
              <w:spacing w:after="40"/>
            </w:pPr>
            <w:r>
              <w:rPr>
                <w:rFonts w:ascii="Times New Roman" w:hAnsi="Times New Roman"/>
                <w:sz w:val="18"/>
              </w:rPr>
              <w:t>dataset</w:t>
            </w:r>
          </w:p>
        </w:tc>
        <w:tc>
          <w:tcPr>
            <w:tcW w:type="dxa" w:w="6768"/>
            <w:vAlign w:val="top"/>
            <w:shd w:fill="F5F7F9"/>
          </w:tcPr>
          <w:p>
            <w:pPr>
              <w:spacing w:after="40"/>
            </w:pPr>
            <w:r>
              <w:rPr>
                <w:rFonts w:ascii="Times New Roman" w:hAnsi="Times New Roman"/>
                <w:sz w:val="18"/>
              </w:rPr>
              <w:t>CIFAR10</w:t>
            </w:r>
          </w:p>
        </w:tc>
      </w:tr>
      <w:tr>
        <w:trPr>
          <w:cantSplit/>
        </w:trPr>
        <w:tc>
          <w:tcPr>
            <w:tcW w:type="dxa" w:w="2448"/>
            <w:vAlign w:val="top"/>
          </w:tcPr>
          <w:p>
            <w:pPr>
              <w:spacing w:after="40"/>
            </w:pPr>
            <w:r>
              <w:rPr>
                <w:rFonts w:ascii="Times New Roman" w:hAnsi="Times New Roman"/>
                <w:sz w:val="18"/>
              </w:rPr>
              <w:t>architecture</w:t>
            </w:r>
          </w:p>
        </w:tc>
        <w:tc>
          <w:tcPr>
            <w:tcW w:type="dxa" w:w="6768"/>
            <w:vAlign w:val="top"/>
          </w:tcPr>
          <w:p>
            <w:pPr>
              <w:spacing w:after="40"/>
            </w:pPr>
            <w:r>
              <w:rPr>
                <w:rFonts w:ascii="Times New Roman" w:hAnsi="Times New Roman"/>
                <w:sz w:val="18"/>
              </w:rPr>
              <w:t>ResNet18</w:t>
            </w:r>
          </w:p>
        </w:tc>
      </w:tr>
      <w:tr>
        <w:trPr>
          <w:cantSplit/>
        </w:trPr>
        <w:tc>
          <w:tcPr>
            <w:tcW w:type="dxa" w:w="2448"/>
            <w:vAlign w:val="top"/>
            <w:shd w:fill="F5F7F9"/>
          </w:tcPr>
          <w:p>
            <w:pPr>
              <w:spacing w:after="40"/>
            </w:pPr>
            <w:r>
              <w:rPr>
                <w:rFonts w:ascii="Times New Roman" w:hAnsi="Times New Roman"/>
                <w:sz w:val="18"/>
              </w:rPr>
              <w:t>seed</w:t>
            </w:r>
          </w:p>
        </w:tc>
        <w:tc>
          <w:tcPr>
            <w:tcW w:type="dxa" w:w="6768"/>
            <w:vAlign w:val="top"/>
            <w:shd w:fill="F5F7F9"/>
          </w:tcPr>
          <w:p>
            <w:pPr>
              <w:spacing w:after="40"/>
            </w:pPr>
            <w:r>
              <w:rPr>
                <w:rFonts w:ascii="Times New Roman" w:hAnsi="Times New Roman"/>
                <w:sz w:val="18"/>
              </w:rPr>
              <w:t>42</w:t>
            </w:r>
          </w:p>
        </w:tc>
      </w:tr>
      <w:tr>
        <w:trPr>
          <w:cantSplit/>
        </w:trPr>
        <w:tc>
          <w:tcPr>
            <w:tcW w:type="dxa" w:w="2448"/>
            <w:vAlign w:val="top"/>
          </w:tcPr>
          <w:p>
            <w:pPr>
              <w:spacing w:after="40"/>
            </w:pPr>
            <w:r>
              <w:rPr>
                <w:rFonts w:ascii="Times New Roman" w:hAnsi="Times New Roman"/>
                <w:sz w:val="18"/>
              </w:rPr>
              <w:t>forget_type</w:t>
            </w:r>
          </w:p>
        </w:tc>
        <w:tc>
          <w:tcPr>
            <w:tcW w:type="dxa" w:w="6768"/>
            <w:vAlign w:val="top"/>
          </w:tcPr>
          <w:p>
            <w:pPr>
              <w:spacing w:after="40"/>
            </w:pPr>
            <w:r>
              <w:rPr>
                <w:rFonts w:ascii="Times New Roman" w:hAnsi="Times New Roman"/>
                <w:sz w:val="18"/>
              </w:rPr>
              <w:t>random or high_mem</w:t>
            </w:r>
          </w:p>
        </w:tc>
      </w:tr>
      <w:tr>
        <w:trPr>
          <w:cantSplit/>
        </w:trPr>
        <w:tc>
          <w:tcPr>
            <w:tcW w:type="dxa" w:w="2448"/>
            <w:vAlign w:val="top"/>
            <w:shd w:fill="F5F7F9"/>
          </w:tcPr>
          <w:p>
            <w:pPr>
              <w:spacing w:after="40"/>
            </w:pPr>
            <w:r>
              <w:rPr>
                <w:rFonts w:ascii="Times New Roman" w:hAnsi="Times New Roman"/>
                <w:sz w:val="18"/>
              </w:rPr>
              <w:t>forget_fraction</w:t>
            </w:r>
          </w:p>
        </w:tc>
        <w:tc>
          <w:tcPr>
            <w:tcW w:type="dxa" w:w="6768"/>
            <w:vAlign w:val="top"/>
            <w:shd w:fill="F5F7F9"/>
          </w:tcPr>
          <w:p>
            <w:pPr>
              <w:spacing w:after="40"/>
            </w:pPr>
            <w:r>
              <w:rPr>
                <w:rFonts w:ascii="Times New Roman" w:hAnsi="Times New Roman"/>
                <w:sz w:val="18"/>
              </w:rPr>
              <w:t>0.05</w:t>
            </w:r>
          </w:p>
        </w:tc>
      </w:tr>
      <w:tr>
        <w:trPr>
          <w:cantSplit/>
        </w:trPr>
        <w:tc>
          <w:tcPr>
            <w:tcW w:type="dxa" w:w="2448"/>
            <w:vAlign w:val="top"/>
          </w:tcPr>
          <w:p>
            <w:pPr>
              <w:spacing w:after="40"/>
            </w:pPr>
            <w:r>
              <w:rPr>
                <w:rFonts w:ascii="Times New Roman" w:hAnsi="Times New Roman"/>
                <w:sz w:val="18"/>
              </w:rPr>
              <w:t>unlearning_method</w:t>
            </w:r>
          </w:p>
        </w:tc>
        <w:tc>
          <w:tcPr>
            <w:tcW w:type="dxa" w:w="6768"/>
            <w:vAlign w:val="top"/>
          </w:tcPr>
          <w:p>
            <w:pPr>
              <w:spacing w:after="40"/>
            </w:pPr>
            <w:r>
              <w:rPr>
                <w:rFonts w:ascii="Times New Roman" w:hAnsi="Times New Roman"/>
                <w:sz w:val="18"/>
              </w:rPr>
              <w:t>scrub</w:t>
            </w:r>
          </w:p>
        </w:tc>
      </w:tr>
      <w:tr>
        <w:trPr>
          <w:cantSplit/>
        </w:trPr>
        <w:tc>
          <w:tcPr>
            <w:tcW w:type="dxa" w:w="2448"/>
            <w:vAlign w:val="top"/>
            <w:shd w:fill="F5F7F9"/>
          </w:tcPr>
          <w:p>
            <w:pPr>
              <w:spacing w:after="40"/>
            </w:pPr>
            <w:r>
              <w:rPr>
                <w:rFonts w:ascii="Times New Roman" w:hAnsi="Times New Roman"/>
                <w:sz w:val="18"/>
              </w:rPr>
              <w:t>hyperparameters</w:t>
            </w:r>
          </w:p>
        </w:tc>
        <w:tc>
          <w:tcPr>
            <w:tcW w:type="dxa" w:w="6768"/>
            <w:vAlign w:val="top"/>
            <w:shd w:fill="F5F7F9"/>
          </w:tcPr>
          <w:p>
            <w:pPr>
              <w:spacing w:after="40"/>
            </w:pPr>
            <w:r>
              <w:rPr>
                <w:rFonts w:ascii="Times New Roman" w:hAnsi="Times New Roman"/>
                <w:sz w:val="18"/>
              </w:rPr>
              <w:t>Serialized config / path to YAML</w:t>
            </w:r>
          </w:p>
        </w:tc>
      </w:tr>
      <w:tr>
        <w:trPr>
          <w:cantSplit/>
        </w:trPr>
        <w:tc>
          <w:tcPr>
            <w:tcW w:type="dxa" w:w="2448"/>
            <w:vAlign w:val="top"/>
          </w:tcPr>
          <w:p>
            <w:pPr>
              <w:spacing w:after="40"/>
            </w:pPr>
            <w:r>
              <w:rPr>
                <w:rFonts w:ascii="Times New Roman" w:hAnsi="Times New Roman"/>
                <w:sz w:val="18"/>
              </w:rPr>
              <w:t>retain_accuracy</w:t>
            </w:r>
          </w:p>
        </w:tc>
        <w:tc>
          <w:tcPr>
            <w:tcW w:type="dxa" w:w="6768"/>
            <w:vAlign w:val="top"/>
          </w:tcPr>
          <w:p>
            <w:pPr>
              <w:spacing w:after="40"/>
            </w:pPr>
            <w:r>
              <w:rPr>
                <w:rFonts w:ascii="Times New Roman" w:hAnsi="Times New Roman"/>
                <w:sz w:val="18"/>
              </w:rPr>
              <w:t>Primary utility metric</w:t>
            </w:r>
          </w:p>
        </w:tc>
      </w:tr>
      <w:tr>
        <w:trPr>
          <w:cantSplit/>
        </w:trPr>
        <w:tc>
          <w:tcPr>
            <w:tcW w:type="dxa" w:w="2448"/>
            <w:vAlign w:val="top"/>
            <w:shd w:fill="F5F7F9"/>
          </w:tcPr>
          <w:p>
            <w:pPr>
              <w:spacing w:after="40"/>
            </w:pPr>
            <w:r>
              <w:rPr>
                <w:rFonts w:ascii="Times New Roman" w:hAnsi="Times New Roman"/>
                <w:sz w:val="18"/>
              </w:rPr>
              <w:t>forget_metrics</w:t>
            </w:r>
          </w:p>
        </w:tc>
        <w:tc>
          <w:tcPr>
            <w:tcW w:type="dxa" w:w="6768"/>
            <w:vAlign w:val="top"/>
            <w:shd w:fill="F5F7F9"/>
          </w:tcPr>
          <w:p>
            <w:pPr>
              <w:spacing w:after="40"/>
            </w:pPr>
            <w:r>
              <w:rPr>
                <w:rFonts w:ascii="Times New Roman" w:hAnsi="Times New Roman"/>
                <w:sz w:val="18"/>
              </w:rPr>
              <w:t>Loss/accuracy relative to oracle</w:t>
            </w:r>
          </w:p>
        </w:tc>
      </w:tr>
      <w:tr>
        <w:trPr>
          <w:cantSplit/>
        </w:trPr>
        <w:tc>
          <w:tcPr>
            <w:tcW w:type="dxa" w:w="2448"/>
            <w:vAlign w:val="top"/>
          </w:tcPr>
          <w:p>
            <w:pPr>
              <w:spacing w:after="40"/>
            </w:pPr>
            <w:r>
              <w:rPr>
                <w:rFonts w:ascii="Times New Roman" w:hAnsi="Times New Roman"/>
                <w:sz w:val="18"/>
              </w:rPr>
              <w:t>MIA_AUC</w:t>
            </w:r>
          </w:p>
        </w:tc>
        <w:tc>
          <w:tcPr>
            <w:tcW w:type="dxa" w:w="6768"/>
            <w:vAlign w:val="top"/>
          </w:tcPr>
          <w:p>
            <w:pPr>
              <w:spacing w:after="40"/>
            </w:pPr>
            <w:r>
              <w:rPr>
                <w:rFonts w:ascii="Times New Roman" w:hAnsi="Times New Roman"/>
                <w:sz w:val="18"/>
              </w:rPr>
              <w:t>Privacy audit</w:t>
            </w:r>
          </w:p>
        </w:tc>
      </w:tr>
      <w:tr>
        <w:trPr>
          <w:cantSplit/>
        </w:trPr>
        <w:tc>
          <w:tcPr>
            <w:tcW w:type="dxa" w:w="2448"/>
            <w:vAlign w:val="top"/>
            <w:shd w:fill="F5F7F9"/>
          </w:tcPr>
          <w:p>
            <w:pPr>
              <w:spacing w:after="40"/>
            </w:pPr>
            <w:r>
              <w:rPr>
                <w:rFonts w:ascii="Times New Roman" w:hAnsi="Times New Roman"/>
                <w:sz w:val="18"/>
              </w:rPr>
              <w:t>JS_distance</w:t>
            </w:r>
          </w:p>
        </w:tc>
        <w:tc>
          <w:tcPr>
            <w:tcW w:type="dxa" w:w="6768"/>
            <w:vAlign w:val="top"/>
            <w:shd w:fill="F5F7F9"/>
          </w:tcPr>
          <w:p>
            <w:pPr>
              <w:spacing w:after="40"/>
            </w:pPr>
            <w:r>
              <w:rPr>
                <w:rFonts w:ascii="Times New Roman" w:hAnsi="Times New Roman"/>
                <w:sz w:val="18"/>
              </w:rPr>
              <w:t>Output similarity to oracle</w:t>
            </w:r>
          </w:p>
        </w:tc>
      </w:tr>
      <w:tr>
        <w:trPr>
          <w:cantSplit/>
        </w:trPr>
        <w:tc>
          <w:tcPr>
            <w:tcW w:type="dxa" w:w="2448"/>
            <w:vAlign w:val="top"/>
          </w:tcPr>
          <w:p>
            <w:pPr>
              <w:spacing w:after="40"/>
            </w:pPr>
            <w:r>
              <w:rPr>
                <w:rFonts w:ascii="Times New Roman" w:hAnsi="Times New Roman"/>
                <w:sz w:val="18"/>
              </w:rPr>
              <w:t>CKA_scores</w:t>
            </w:r>
          </w:p>
        </w:tc>
        <w:tc>
          <w:tcPr>
            <w:tcW w:type="dxa" w:w="6768"/>
            <w:vAlign w:val="top"/>
          </w:tcPr>
          <w:p>
            <w:pPr>
              <w:spacing w:after="40"/>
            </w:pPr>
            <w:r>
              <w:rPr>
                <w:rFonts w:ascii="Times New Roman" w:hAnsi="Times New Roman"/>
                <w:sz w:val="18"/>
              </w:rPr>
              <w:t>Layer-wise representation metrics</w:t>
            </w:r>
          </w:p>
        </w:tc>
      </w:tr>
      <w:tr>
        <w:trPr>
          <w:cantSplit/>
        </w:trPr>
        <w:tc>
          <w:tcPr>
            <w:tcW w:type="dxa" w:w="2448"/>
            <w:vAlign w:val="top"/>
            <w:shd w:fill="F5F7F9"/>
          </w:tcPr>
          <w:p>
            <w:pPr>
              <w:spacing w:after="40"/>
            </w:pPr>
            <w:r>
              <w:rPr>
                <w:rFonts w:ascii="Times New Roman" w:hAnsi="Times New Roman"/>
                <w:sz w:val="18"/>
              </w:rPr>
              <w:t>relearning_AUC</w:t>
            </w:r>
          </w:p>
        </w:tc>
        <w:tc>
          <w:tcPr>
            <w:tcW w:type="dxa" w:w="6768"/>
            <w:vAlign w:val="top"/>
            <w:shd w:fill="F5F7F9"/>
          </w:tcPr>
          <w:p>
            <w:pPr>
              <w:spacing w:after="40"/>
            </w:pPr>
            <w:r>
              <w:rPr>
                <w:rFonts w:ascii="Times New Roman" w:hAnsi="Times New Roman"/>
                <w:sz w:val="18"/>
              </w:rPr>
              <w:t>Reversibility metric</w:t>
            </w:r>
          </w:p>
        </w:tc>
      </w:tr>
      <w:tr>
        <w:trPr>
          <w:cantSplit/>
        </w:trPr>
        <w:tc>
          <w:tcPr>
            <w:tcW w:type="dxa" w:w="2448"/>
            <w:vAlign w:val="top"/>
          </w:tcPr>
          <w:p>
            <w:pPr>
              <w:spacing w:after="40"/>
            </w:pPr>
            <w:r>
              <w:rPr>
                <w:rFonts w:ascii="Times New Roman" w:hAnsi="Times New Roman"/>
                <w:sz w:val="18"/>
              </w:rPr>
              <w:t>runtime_seconds</w:t>
            </w:r>
          </w:p>
        </w:tc>
        <w:tc>
          <w:tcPr>
            <w:tcW w:type="dxa" w:w="6768"/>
            <w:vAlign w:val="top"/>
          </w:tcPr>
          <w:p>
            <w:pPr>
              <w:spacing w:after="40"/>
            </w:pPr>
            <w:r>
              <w:rPr>
                <w:rFonts w:ascii="Times New Roman" w:hAnsi="Times New Roman"/>
                <w:sz w:val="18"/>
              </w:rPr>
              <w:t>Efficiency</w:t>
            </w:r>
          </w:p>
        </w:tc>
      </w:tr>
      <w:tr>
        <w:trPr>
          <w:cantSplit/>
        </w:trPr>
        <w:tc>
          <w:tcPr>
            <w:tcW w:type="dxa" w:w="2448"/>
            <w:vAlign w:val="top"/>
            <w:shd w:fill="F5F7F9"/>
          </w:tcPr>
          <w:p>
            <w:pPr>
              <w:spacing w:after="40"/>
            </w:pPr>
            <w:r>
              <w:rPr>
                <w:rFonts w:ascii="Times New Roman" w:hAnsi="Times New Roman"/>
                <w:sz w:val="18"/>
              </w:rPr>
              <w:t>checkpoint_path</w:t>
            </w:r>
          </w:p>
        </w:tc>
        <w:tc>
          <w:tcPr>
            <w:tcW w:type="dxa" w:w="6768"/>
            <w:vAlign w:val="top"/>
            <w:shd w:fill="F5F7F9"/>
          </w:tcPr>
          <w:p>
            <w:pPr>
              <w:spacing w:after="40"/>
            </w:pPr>
            <w:r>
              <w:rPr>
                <w:rFonts w:ascii="Times New Roman" w:hAnsi="Times New Roman"/>
                <w:sz w:val="18"/>
              </w:rPr>
              <w:t>Exact model state used in audits</w:t>
            </w:r>
          </w:p>
        </w:tc>
      </w:tr>
      <w:tr>
        <w:trPr>
          <w:cantSplit/>
        </w:trPr>
        <w:tc>
          <w:tcPr>
            <w:tcW w:type="dxa" w:w="2448"/>
            <w:vAlign w:val="top"/>
          </w:tcPr>
          <w:p>
            <w:pPr>
              <w:spacing w:after="40"/>
            </w:pPr>
            <w:r>
              <w:rPr>
                <w:rFonts w:ascii="Times New Roman" w:hAnsi="Times New Roman"/>
                <w:sz w:val="18"/>
              </w:rPr>
              <w:t>git_commit</w:t>
            </w:r>
          </w:p>
        </w:tc>
        <w:tc>
          <w:tcPr>
            <w:tcW w:type="dxa" w:w="6768"/>
            <w:vAlign w:val="top"/>
          </w:tcPr>
          <w:p>
            <w:pPr>
              <w:spacing w:after="40"/>
            </w:pPr>
            <w:r>
              <w:rPr>
                <w:rFonts w:ascii="Times New Roman" w:hAnsi="Times New Roman"/>
                <w:sz w:val="18"/>
              </w:rPr>
              <w:t>Code version used to create result</w:t>
            </w:r>
          </w:p>
        </w:tc>
      </w:tr>
    </w:tbl>
    <w:p>
      <w:pPr>
        <w:spacing w:after="20"/>
      </w:pPr>
    </w:p>
    <w:p>
      <w:pPr>
        <w:pStyle w:val="ListBullet"/>
        <w:spacing w:after="60"/>
        <w:ind w:left="346"/>
      </w:pPr>
      <w:r>
        <w:t>Freeze the environment after the first stable pipeline.</w:t>
      </w:r>
    </w:p>
    <w:p>
      <w:pPr>
        <w:pStyle w:val="ListBullet"/>
        <w:spacing w:after="60"/>
        <w:ind w:left="346"/>
      </w:pPr>
      <w:r>
        <w:t>Set deterministic/random seeds explicitly but acknowledge that GPU training may still show nondeterminism.</w:t>
      </w:r>
    </w:p>
    <w:p>
      <w:pPr>
        <w:pStyle w:val="ListBullet"/>
        <w:spacing w:after="60"/>
        <w:ind w:left="346"/>
      </w:pPr>
      <w:r>
        <w:t>Keep train/validation/test and member/non-member partitions fixed per experimental protocol.</w:t>
      </w:r>
    </w:p>
    <w:p>
      <w:pPr>
        <w:pStyle w:val="ListBullet"/>
        <w:spacing w:after="60"/>
        <w:ind w:left="346"/>
      </w:pPr>
      <w:r>
        <w:t>Generate paper figures from logged results, not from hand-edited numbers.</w:t>
      </w:r>
    </w:p>
    <w:p>
      <w:pPr>
        <w:pStyle w:val="ListBullet"/>
        <w:spacing w:after="60"/>
        <w:ind w:left="346"/>
      </w:pPr>
      <w:r>
        <w:t>Document any departure from published baseline code.</w:t>
      </w:r>
    </w:p>
    <w:p>
      <w:pPr>
        <w:pStyle w:val="Heading1"/>
        <w:keepNext/>
      </w:pPr>
      <w:r>
        <w:t>19. Risks and Mitigation</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1944"/>
            <w:shd w:fill="17324D"/>
            <w:vAlign w:val="center"/>
          </w:tcPr>
          <w:p>
            <w:r>
              <w:rPr>
                <w:rFonts w:ascii="Times New Roman" w:hAnsi="Times New Roman"/>
                <w:b/>
                <w:color w:val="FFFFFF"/>
                <w:sz w:val="17"/>
              </w:rPr>
              <w:t>Risk</w:t>
            </w:r>
          </w:p>
        </w:tc>
        <w:tc>
          <w:tcPr>
            <w:tcW w:type="dxa" w:w="3240"/>
            <w:shd w:fill="17324D"/>
            <w:vAlign w:val="center"/>
          </w:tcPr>
          <w:p>
            <w:r>
              <w:rPr>
                <w:rFonts w:ascii="Times New Roman" w:hAnsi="Times New Roman"/>
                <w:b/>
                <w:color w:val="FFFFFF"/>
                <w:sz w:val="17"/>
              </w:rPr>
              <w:t>Why It Matters</w:t>
            </w:r>
          </w:p>
        </w:tc>
        <w:tc>
          <w:tcPr>
            <w:tcW w:type="dxa" w:w="3960"/>
            <w:shd w:fill="17324D"/>
            <w:vAlign w:val="center"/>
          </w:tcPr>
          <w:p>
            <w:r>
              <w:rPr>
                <w:rFonts w:ascii="Times New Roman" w:hAnsi="Times New Roman"/>
                <w:b/>
                <w:color w:val="FFFFFF"/>
                <w:sz w:val="17"/>
              </w:rPr>
              <w:t>Mitigation</w:t>
            </w:r>
          </w:p>
        </w:tc>
      </w:tr>
      <w:tr>
        <w:trPr>
          <w:cantSplit/>
        </w:trPr>
        <w:tc>
          <w:tcPr>
            <w:tcW w:type="dxa" w:w="1944"/>
            <w:vAlign w:val="top"/>
          </w:tcPr>
          <w:p>
            <w:pPr>
              <w:spacing w:after="40"/>
            </w:pPr>
            <w:r>
              <w:rPr>
                <w:rFonts w:ascii="Times New Roman" w:hAnsi="Times New Roman"/>
                <w:sz w:val="17"/>
              </w:rPr>
              <w:t>Compute platform mismatch</w:t>
            </w:r>
          </w:p>
        </w:tc>
        <w:tc>
          <w:tcPr>
            <w:tcW w:type="dxa" w:w="3240"/>
            <w:vAlign w:val="top"/>
          </w:tcPr>
          <w:p>
            <w:pPr>
              <w:spacing w:after="40"/>
            </w:pPr>
            <w:r>
              <w:rPr>
                <w:rFonts w:ascii="Times New Roman" w:hAnsi="Times New Roman"/>
                <w:sz w:val="17"/>
              </w:rPr>
              <w:t>The team’s most powerful local machine has no PyTorch-capable GPU: ROCm does not support the Radeon 890M integrated GPU, and the NPU is not exposed for training. Measured CPU throughput is 4.76 hours per 30-epoch CIFAR-10 run, roughly forty to fifty times slower than a free cloud GPU.</w:t>
            </w:r>
          </w:p>
        </w:tc>
        <w:tc>
          <w:tcPr>
            <w:tcW w:type="dxa" w:w="3960"/>
            <w:vAlign w:val="top"/>
          </w:tcPr>
          <w:p>
            <w:pPr>
              <w:spacing w:after="40"/>
            </w:pPr>
            <w:r>
              <w:rPr>
                <w:rFonts w:ascii="Times New Roman" w:hAnsi="Times New Roman"/>
                <w:sz w:val="17"/>
              </w:rPr>
              <w:t>Train exclusively on Kaggle and Colab GPU sessions; use local machines for audits, statistics and the dashboard, where 32 GB of RAM is a genuine advantage. Four Kaggle accounts supply about 120 GPU-hours per week against a total budget of roughly 11 to 26 hours.</w:t>
            </w:r>
          </w:p>
        </w:tc>
      </w:tr>
      <w:tr>
        <w:trPr>
          <w:cantSplit/>
        </w:trPr>
        <w:tc>
          <w:tcPr>
            <w:tcW w:type="dxa" w:w="1944"/>
            <w:vAlign w:val="top"/>
            <w:shd w:fill="F5F7F9"/>
          </w:tcPr>
          <w:p>
            <w:pPr>
              <w:spacing w:after="40"/>
            </w:pPr>
            <w:r>
              <w:rPr>
                <w:rFonts w:ascii="Times New Roman" w:hAnsi="Times New Roman"/>
                <w:sz w:val="17"/>
              </w:rPr>
              <w:t>Old research code breaks</w:t>
            </w:r>
          </w:p>
        </w:tc>
        <w:tc>
          <w:tcPr>
            <w:tcW w:type="dxa" w:w="3240"/>
            <w:vAlign w:val="top"/>
            <w:shd w:fill="F5F7F9"/>
          </w:tcPr>
          <w:p>
            <w:pPr>
              <w:spacing w:after="40"/>
            </w:pPr>
            <w:r>
              <w:rPr>
                <w:rFonts w:ascii="Times New Roman" w:hAnsi="Times New Roman"/>
                <w:sz w:val="17"/>
              </w:rPr>
              <w:t>Academic repositories may depend on outdated libraries.</w:t>
            </w:r>
          </w:p>
        </w:tc>
        <w:tc>
          <w:tcPr>
            <w:tcW w:type="dxa" w:w="3960"/>
            <w:vAlign w:val="top"/>
            <w:shd w:fill="F5F7F9"/>
          </w:tcPr>
          <w:p>
            <w:pPr>
              <w:spacing w:after="40"/>
            </w:pPr>
            <w:r>
              <w:rPr>
                <w:rFonts w:ascii="Times New Roman" w:hAnsi="Times New Roman"/>
                <w:sz w:val="17"/>
              </w:rPr>
              <w:t>Containerize or freeze environment; port only the minimum necessary components; validate on reported baseline setting.</w:t>
            </w:r>
          </w:p>
        </w:tc>
      </w:tr>
      <w:tr>
        <w:trPr>
          <w:cantSplit/>
        </w:trPr>
        <w:tc>
          <w:tcPr>
            <w:tcW w:type="dxa" w:w="1944"/>
            <w:vAlign w:val="top"/>
          </w:tcPr>
          <w:p>
            <w:pPr>
              <w:spacing w:after="40"/>
            </w:pPr>
            <w:r>
              <w:rPr>
                <w:rFonts w:ascii="Times New Roman" w:hAnsi="Times New Roman"/>
                <w:sz w:val="17"/>
              </w:rPr>
              <w:t>MIA choice changes the ranking</w:t>
            </w:r>
          </w:p>
        </w:tc>
        <w:tc>
          <w:tcPr>
            <w:tcW w:type="dxa" w:w="3240"/>
            <w:vAlign w:val="top"/>
          </w:tcPr>
          <w:p>
            <w:pPr>
              <w:spacing w:after="40"/>
            </w:pPr>
            <w:r>
              <w:rPr>
                <w:rFonts w:ascii="Times New Roman" w:hAnsi="Times New Roman"/>
                <w:sz w:val="17"/>
              </w:rPr>
              <w:t>Population and per-example attacks disagree, and population attacks systematically overestimate privacy protection [21]. Reporting only one would produce a misleading method ranking, not merely an understated leakage number.</w:t>
            </w:r>
          </w:p>
        </w:tc>
        <w:tc>
          <w:tcPr>
            <w:tcW w:type="dxa" w:w="3960"/>
            <w:vAlign w:val="top"/>
          </w:tcPr>
          <w:p>
            <w:pPr>
              <w:spacing w:after="40"/>
            </w:pPr>
            <w:r>
              <w:rPr>
                <w:rFonts w:ascii="Times New Roman" w:hAnsi="Times New Roman"/>
                <w:sz w:val="17"/>
              </w:rPr>
              <w:t>Run both attack strengths and report the gap as an intra-family disagreement result. Read every privacy verdict together with the retained-utility guard, since per-example scores can be gamed by utility-destroying strategies [25].</w:t>
            </w:r>
          </w:p>
        </w:tc>
      </w:tr>
      <w:tr>
        <w:trPr>
          <w:cantSplit/>
        </w:trPr>
        <w:tc>
          <w:tcPr>
            <w:tcW w:type="dxa" w:w="1944"/>
            <w:vAlign w:val="top"/>
            <w:shd w:fill="F5F7F9"/>
          </w:tcPr>
          <w:p>
            <w:pPr>
              <w:spacing w:after="40"/>
            </w:pPr>
            <w:r>
              <w:rPr>
                <w:rFonts w:ascii="Times New Roman" w:hAnsi="Times New Roman"/>
                <w:sz w:val="17"/>
              </w:rPr>
              <w:t>Representation metrics are ambiguous</w:t>
            </w:r>
          </w:p>
        </w:tc>
        <w:tc>
          <w:tcPr>
            <w:tcW w:type="dxa" w:w="3240"/>
            <w:vAlign w:val="top"/>
            <w:shd w:fill="F5F7F9"/>
          </w:tcPr>
          <w:p>
            <w:pPr>
              <w:spacing w:after="40"/>
            </w:pPr>
            <w:r>
              <w:rPr>
                <w:rFonts w:ascii="Times New Roman" w:hAnsi="Times New Roman"/>
                <w:sz w:val="17"/>
              </w:rPr>
              <w:t>High CKA similarity does not equal retained private data, and CKA values can change without a corresponding change in functional behavior [26].</w:t>
            </w:r>
          </w:p>
        </w:tc>
        <w:tc>
          <w:tcPr>
            <w:tcW w:type="dxa" w:w="3960"/>
            <w:vAlign w:val="top"/>
            <w:shd w:fill="F5F7F9"/>
          </w:tcPr>
          <w:p>
            <w:pPr>
              <w:spacing w:after="40"/>
            </w:pPr>
            <w:r>
              <w:rPr>
                <w:rFonts w:ascii="Times New Roman" w:hAnsi="Times New Roman"/>
                <w:sz w:val="17"/>
              </w:rPr>
              <w:t>Require agreement between linear CKA and a second, mechanistically different measure before any representation claim; interpret only against the oracle-vs-oracle baseline.</w:t>
            </w:r>
          </w:p>
        </w:tc>
      </w:tr>
      <w:tr>
        <w:trPr>
          <w:cantSplit/>
        </w:trPr>
        <w:tc>
          <w:tcPr>
            <w:tcW w:type="dxa" w:w="1944"/>
            <w:vAlign w:val="top"/>
          </w:tcPr>
          <w:p>
            <w:pPr>
              <w:spacing w:after="40"/>
            </w:pPr>
            <w:r>
              <w:rPr>
                <w:rFonts w:ascii="Times New Roman" w:hAnsi="Times New Roman"/>
                <w:sz w:val="17"/>
              </w:rPr>
              <w:t>Forget set is too easy</w:t>
            </w:r>
          </w:p>
        </w:tc>
        <w:tc>
          <w:tcPr>
            <w:tcW w:type="dxa" w:w="3240"/>
            <w:vAlign w:val="top"/>
          </w:tcPr>
          <w:p>
            <w:pPr>
              <w:spacing w:after="40"/>
            </w:pPr>
            <w:r>
              <w:rPr>
                <w:rFonts w:ascii="Times New Roman" w:hAnsi="Times New Roman"/>
                <w:sz w:val="17"/>
              </w:rPr>
              <w:t>For low-memorization examples the ideal untraining solution is close to no change from the original model [19], so much of a randomly drawn forget set carries no detectable signal and normalized oracle-gap denominators collapse.</w:t>
            </w:r>
          </w:p>
        </w:tc>
        <w:tc>
          <w:tcPr>
            <w:tcW w:type="dxa" w:w="3960"/>
            <w:vAlign w:val="top"/>
          </w:tcPr>
          <w:p>
            <w:pPr>
              <w:spacing w:after="40"/>
            </w:pPr>
            <w:r>
              <w:rPr>
                <w:rFonts w:ascii="Times New Roman" w:hAnsi="Times New Roman"/>
                <w:sz w:val="17"/>
              </w:rPr>
              <w:t>Make memorization difficulty an explicit experimental axis; keep the low-memorization stratum as a designed negative control rather than a discarded cell; retain the low-discriminability flag of Section 15.4.</w:t>
            </w:r>
          </w:p>
        </w:tc>
      </w:tr>
      <w:tr>
        <w:trPr>
          <w:cantSplit/>
        </w:trPr>
        <w:tc>
          <w:tcPr>
            <w:tcW w:type="dxa" w:w="1944"/>
            <w:vAlign w:val="top"/>
            <w:shd w:fill="F5F7F9"/>
          </w:tcPr>
          <w:p>
            <w:pPr>
              <w:spacing w:after="40"/>
            </w:pPr>
            <w:r>
              <w:rPr>
                <w:rFonts w:ascii="Times New Roman" w:hAnsi="Times New Roman"/>
                <w:sz w:val="17"/>
              </w:rPr>
              <w:t>Relearning result confounded by optimization</w:t>
            </w:r>
          </w:p>
        </w:tc>
        <w:tc>
          <w:tcPr>
            <w:tcW w:type="dxa" w:w="3240"/>
            <w:vAlign w:val="top"/>
            <w:shd w:fill="F5F7F9"/>
          </w:tcPr>
          <w:p>
            <w:pPr>
              <w:spacing w:after="40"/>
            </w:pPr>
            <w:r>
              <w:rPr>
                <w:rFonts w:ascii="Times New Roman" w:hAnsi="Times New Roman"/>
                <w:sz w:val="17"/>
              </w:rPr>
              <w:t>A faster recovery curve may reflect learning-rate or data effects.</w:t>
            </w:r>
          </w:p>
        </w:tc>
        <w:tc>
          <w:tcPr>
            <w:tcW w:type="dxa" w:w="3960"/>
            <w:vAlign w:val="top"/>
            <w:shd w:fill="F5F7F9"/>
          </w:tcPr>
          <w:p>
            <w:pPr>
              <w:spacing w:after="40"/>
            </w:pPr>
            <w:r>
              <w:rPr>
                <w:rFonts w:ascii="Times New Roman" w:hAnsi="Times New Roman"/>
                <w:sz w:val="17"/>
              </w:rPr>
              <w:t>Use identical optimizer/data schedules for Mu and Mr and repeat across seeds.</w:t>
            </w:r>
          </w:p>
        </w:tc>
      </w:tr>
      <w:tr>
        <w:trPr>
          <w:cantSplit/>
        </w:trPr>
        <w:tc>
          <w:tcPr>
            <w:tcW w:type="dxa" w:w="1944"/>
            <w:vAlign w:val="top"/>
          </w:tcPr>
          <w:p>
            <w:pPr>
              <w:spacing w:after="40"/>
            </w:pPr>
            <w:r>
              <w:rPr>
                <w:rFonts w:ascii="Times New Roman" w:hAnsi="Times New Roman"/>
                <w:sz w:val="17"/>
              </w:rPr>
              <w:t>Scope creep into LLMs</w:t>
            </w:r>
          </w:p>
        </w:tc>
        <w:tc>
          <w:tcPr>
            <w:tcW w:type="dxa" w:w="3240"/>
            <w:vAlign w:val="top"/>
          </w:tcPr>
          <w:p>
            <w:pPr>
              <w:spacing w:after="40"/>
            </w:pPr>
            <w:r>
              <w:rPr>
                <w:rFonts w:ascii="Times New Roman" w:hAnsi="Times New Roman"/>
                <w:sz w:val="17"/>
              </w:rPr>
              <w:t>LLM extension can consume compute and obscure the core paper.</w:t>
            </w:r>
          </w:p>
        </w:tc>
        <w:tc>
          <w:tcPr>
            <w:tcW w:type="dxa" w:w="3960"/>
            <w:vAlign w:val="top"/>
          </w:tcPr>
          <w:p>
            <w:pPr>
              <w:spacing w:after="40"/>
            </w:pPr>
            <w:r>
              <w:rPr>
                <w:rFonts w:ascii="Times New Roman" w:hAnsi="Times New Roman"/>
                <w:sz w:val="17"/>
              </w:rPr>
              <w:t>Keep TOFU/LLM work optional until all CIFAR experiments and audits are complete.</w:t>
            </w:r>
          </w:p>
        </w:tc>
      </w:tr>
      <w:tr>
        <w:trPr>
          <w:cantSplit/>
        </w:trPr>
        <w:tc>
          <w:tcPr>
            <w:tcW w:type="dxa" w:w="1944"/>
            <w:vAlign w:val="top"/>
            <w:shd w:fill="F5F7F9"/>
          </w:tcPr>
          <w:p>
            <w:pPr>
              <w:spacing w:after="40"/>
            </w:pPr>
            <w:r>
              <w:rPr>
                <w:rFonts w:ascii="Times New Roman" w:hAnsi="Times New Roman"/>
                <w:sz w:val="17"/>
              </w:rPr>
              <w:t>Novelty overclaim</w:t>
            </w:r>
          </w:p>
        </w:tc>
        <w:tc>
          <w:tcPr>
            <w:tcW w:type="dxa" w:w="3240"/>
            <w:vAlign w:val="top"/>
            <w:shd w:fill="F5F7F9"/>
          </w:tcPr>
          <w:p>
            <w:pPr>
              <w:spacing w:after="40"/>
            </w:pPr>
            <w:r>
              <w:rPr>
                <w:rFonts w:ascii="Times New Roman" w:hAnsi="Times New Roman"/>
                <w:sz w:val="17"/>
              </w:rPr>
              <w:t>Work published after the v1.0 freeze already performs cross-audit disagreement analysis against a retrained oracle, including on CIFAR-10 with ResNet-18 [20], and independently establishes former hypothesis H1 [22], [23].</w:t>
            </w:r>
          </w:p>
        </w:tc>
        <w:tc>
          <w:tcPr>
            <w:tcW w:type="dxa" w:w="3960"/>
            <w:vAlign w:val="top"/>
            <w:shd w:fill="F5F7F9"/>
          </w:tcPr>
          <w:p>
            <w:pPr>
              <w:spacing w:after="40"/>
            </w:pPr>
            <w:r>
              <w:rPr>
                <w:rFonts w:ascii="Times New Roman" w:hAnsi="Times New Roman"/>
                <w:sz w:val="17"/>
              </w:rPr>
              <w:t>Use the narrowed novelty statement of Section 6, cite the overlapping work prominently, and state the replication component as replication. Re-run the novelty check before submission; the procedure is recorded in docs/RESEARCH_LOG.md.</w:t>
            </w:r>
          </w:p>
        </w:tc>
      </w:tr>
      <w:tr>
        <w:trPr>
          <w:cantSplit/>
        </w:trPr>
        <w:tc>
          <w:tcPr>
            <w:tcW w:type="dxa" w:w="1944"/>
            <w:vAlign w:val="top"/>
            <w:shd w:fill="F5F7F9"/>
          </w:tcPr>
          <w:p>
            <w:pPr>
              <w:spacing w:after="40"/>
            </w:pPr>
            <w:r>
              <w:rPr>
                <w:rFonts w:ascii="Times New Roman" w:hAnsi="Times New Roman"/>
                <w:sz w:val="17"/>
              </w:rPr>
              <w:t>Underpowered agreement statistics</w:t>
            </w:r>
          </w:p>
        </w:tc>
        <w:tc>
          <w:tcPr>
            <w:tcW w:type="dxa" w:w="3240"/>
            <w:vAlign w:val="top"/>
            <w:shd w:fill="F5F7F9"/>
          </w:tcPr>
          <w:p>
            <w:pPr>
              <w:spacing w:after="40"/>
            </w:pPr>
            <w:r>
              <w:rPr>
                <w:rFonts w:ascii="Times New Roman" w:hAnsi="Times New Roman"/>
                <w:sz w:val="17"/>
              </w:rPr>
              <w:t>Rank correlation over a small set of methods cannot reach significance under any possible data; at four methods the minimum attainable two-sided p-value is 0.0833.</w:t>
            </w:r>
          </w:p>
        </w:tc>
        <w:tc>
          <w:tcPr>
            <w:tcW w:type="dxa" w:w="3960"/>
            <w:vAlign w:val="top"/>
            <w:shd w:fill="F5F7F9"/>
          </w:tcPr>
          <w:p>
            <w:pPr>
              <w:spacing w:after="40"/>
            </w:pPr>
            <w:r>
              <w:rPr>
                <w:rFonts w:ascii="Times New Roman" w:hAnsi="Times New Roman"/>
                <w:sz w:val="17"/>
              </w:rPr>
              <w:t>Correlate metric values across model instances rather than ranks across methods; carry six ranked methods; use mixed-effects models for confirmatory tests and report bootstrap intervals.</w:t>
            </w:r>
          </w:p>
        </w:tc>
      </w:tr>
      <w:tr>
        <w:trPr>
          <w:cantSplit/>
        </w:trPr>
        <w:tc>
          <w:tcPr>
            <w:tcW w:type="dxa" w:w="1944"/>
            <w:vAlign w:val="top"/>
            <w:shd w:fill="F5F7F9"/>
          </w:tcPr>
          <w:p>
            <w:pPr>
              <w:spacing w:after="40"/>
            </w:pPr>
            <w:r>
              <w:rPr>
                <w:rFonts w:ascii="Times New Roman" w:hAnsi="Times New Roman"/>
                <w:sz w:val="17"/>
              </w:rPr>
              <w:t>Schema drift across the team</w:t>
            </w:r>
          </w:p>
        </w:tc>
        <w:tc>
          <w:tcPr>
            <w:tcW w:type="dxa" w:w="3240"/>
            <w:vAlign w:val="top"/>
            <w:shd w:fill="F5F7F9"/>
          </w:tcPr>
          <w:p>
            <w:pPr>
              <w:spacing w:after="40"/>
            </w:pPr>
            <w:r>
              <w:rPr>
                <w:rFonts w:ascii="Times New Roman" w:hAnsi="Times New Roman"/>
                <w:sz w:val="17"/>
              </w:rPr>
              <w:t>Four members writing four audit modules can produce four incompatible result formats, which surfaces only at the analysis stage when there is no time to fix it.</w:t>
            </w:r>
          </w:p>
        </w:tc>
        <w:tc>
          <w:tcPr>
            <w:tcW w:type="dxa" w:w="3960"/>
            <w:vAlign w:val="top"/>
            <w:shd w:fill="F5F7F9"/>
          </w:tcPr>
          <w:p>
            <w:pPr>
              <w:spacing w:after="40"/>
            </w:pPr>
            <w:r>
              <w:rPr>
                <w:rFonts w:ascii="Times New Roman" w:hAnsi="Times New Roman"/>
                <w:sz w:val="17"/>
              </w:rPr>
              <w:t>Freeze the result-record schema in week 3, before any audit module is written. One row per (model, condition, seed) with identical keys across all audits.</w:t>
            </w:r>
          </w:p>
        </w:tc>
      </w:tr>
    </w:tbl>
    <w:p>
      <w:pPr>
        <w:spacing w:after="20"/>
      </w:pPr>
    </w:p>
    <w:p>
      <w:pPr>
        <w:pStyle w:val="Heading1"/>
        <w:keepNext/>
      </w:pPr>
      <w:r>
        <w:t>20. Expected Deliverables and Demo</w:t>
      </w:r>
    </w:p>
    <w:p>
      <w:pPr>
        <w:pStyle w:val="Heading2"/>
        <w:keepNext/>
      </w:pPr>
      <w:r>
        <w:t>20.1 Final Deliverables</w:t>
      </w:r>
    </w:p>
    <w:p>
      <w:pPr>
        <w:spacing w:after="60"/>
        <w:ind w:left="403" w:hanging="317"/>
      </w:pPr>
      <w:r>
        <w:rPr>
          <w:b/>
        </w:rPr>
        <w:t xml:space="preserve">1. </w:t>
      </w:r>
      <w:r>
        <w:t>Complete literature survey and annotated bibliography.</w:t>
      </w:r>
    </w:p>
    <w:p>
      <w:pPr>
        <w:spacing w:after="60"/>
        <w:ind w:left="403" w:hanging="317"/>
      </w:pPr>
      <w:r>
        <w:rPr>
          <w:b/>
        </w:rPr>
        <w:t xml:space="preserve">2. </w:t>
      </w:r>
      <w:r>
        <w:t>Reproducible Git repository and environment specification.</w:t>
      </w:r>
    </w:p>
    <w:p>
      <w:pPr>
        <w:spacing w:after="60"/>
        <w:ind w:left="403" w:hanging="317"/>
      </w:pPr>
      <w:r>
        <w:rPr>
          <w:b/>
        </w:rPr>
        <w:t xml:space="preserve">3. </w:t>
      </w:r>
      <w:r>
        <w:t>Original and retrained model checkpoints for the controlled benchmark settings.</w:t>
      </w:r>
    </w:p>
    <w:p>
      <w:pPr>
        <w:spacing w:after="60"/>
        <w:ind w:left="403" w:hanging="317"/>
      </w:pPr>
      <w:r>
        <w:rPr>
          <w:b/>
        </w:rPr>
        <w:t xml:space="preserve">4. </w:t>
      </w:r>
      <w:r>
        <w:t>Implementations/wrappers for four core unlearning methods.</w:t>
      </w:r>
    </w:p>
    <w:p>
      <w:pPr>
        <w:spacing w:after="60"/>
        <w:ind w:left="403" w:hanging="317"/>
      </w:pPr>
      <w:r>
        <w:rPr>
          <w:b/>
        </w:rPr>
        <w:t xml:space="preserve">5. </w:t>
      </w:r>
      <w:r>
        <w:t>Behavioral and output-similarity audit module.</w:t>
      </w:r>
    </w:p>
    <w:p>
      <w:pPr>
        <w:spacing w:after="60"/>
        <w:ind w:left="403" w:hanging="317"/>
      </w:pPr>
      <w:r>
        <w:rPr>
          <w:b/>
        </w:rPr>
        <w:t xml:space="preserve">6. </w:t>
      </w:r>
      <w:r>
        <w:t>Membership-inference privacy audit module.</w:t>
      </w:r>
    </w:p>
    <w:p>
      <w:pPr>
        <w:spacing w:after="60"/>
        <w:ind w:left="403" w:hanging="317"/>
      </w:pPr>
      <w:r>
        <w:rPr>
          <w:b/>
        </w:rPr>
        <w:t xml:space="preserve">7. </w:t>
      </w:r>
      <w:r>
        <w:t>Representation-analysis module with CKA and visualization.</w:t>
      </w:r>
    </w:p>
    <w:p>
      <w:pPr>
        <w:spacing w:after="60"/>
        <w:ind w:left="403" w:hanging="317"/>
      </w:pPr>
      <w:r>
        <w:rPr>
          <w:b/>
        </w:rPr>
        <w:t xml:space="preserve">8. </w:t>
      </w:r>
      <w:r>
        <w:t>Relearning/reversibility module.</w:t>
      </w:r>
    </w:p>
    <w:p>
      <w:pPr>
        <w:spacing w:after="60"/>
        <w:ind w:left="403" w:hanging="317"/>
      </w:pPr>
      <w:r>
        <w:rPr>
          <w:b/>
        </w:rPr>
        <w:t xml:space="preserve">9. </w:t>
      </w:r>
      <w:r>
        <w:t>Cross-audit agreement/disagreement analyzer.</w:t>
      </w:r>
    </w:p>
    <w:p>
      <w:pPr>
        <w:pStyle w:val="ListParagraph"/>
        <w:spacing w:after="60"/>
        <w:ind w:left="403" w:hanging="317"/>
      </w:pPr>
      <w:r>
        <w:rPr>
          <w:b/>
        </w:rPr>
        <w:t>Audit calibration module: oracle false-positive rates and canary-condition scoring per audit family.</w:t>
      </w:r>
    </w:p>
    <w:p>
      <w:pPr>
        <w:spacing w:after="60"/>
        <w:ind w:left="403" w:hanging="317"/>
      </w:pPr>
      <w:r>
        <w:rPr>
          <w:b/>
        </w:rPr>
        <w:t xml:space="preserve">10. </w:t>
      </w:r>
      <w:r>
        <w:t>Final result tables and publication-quality figures.</w:t>
      </w:r>
    </w:p>
    <w:p>
      <w:pPr>
        <w:spacing w:after="60"/>
        <w:ind w:left="403" w:hanging="317"/>
      </w:pPr>
      <w:r>
        <w:rPr>
          <w:b/>
        </w:rPr>
        <w:t xml:space="preserve">11. </w:t>
      </w:r>
      <w:r>
        <w:t>Streamlit demonstration dashboard.</w:t>
      </w:r>
    </w:p>
    <w:p>
      <w:pPr>
        <w:spacing w:after="60"/>
        <w:ind w:left="403" w:hanging="317"/>
      </w:pPr>
      <w:r>
        <w:rPr>
          <w:b/>
        </w:rPr>
        <w:t xml:space="preserve">12. </w:t>
      </w:r>
      <w:r>
        <w:t>Project report, IEEE-style research paper and presentation deck.</w:t>
      </w:r>
    </w:p>
    <w:p>
      <w:pPr>
        <w:pStyle w:val="Heading2"/>
        <w:keepNext/>
      </w:pPr>
      <w:r>
        <w:t>20.2 Demonstration Dashboard</w:t>
      </w:r>
    </w:p>
    <w:p>
      <w:pPr>
        <w:spacing w:after="120"/>
      </w:pPr>
      <w:r>
        <w:rPr>
          <w:i w:val="0"/>
        </w:rPr>
        <w:t>The dashboard should allow a user/evaluator to select a forget setting and an unlearning method and view the major audit results. It is a visualization layer over completed experiments, not the research contribution itself.</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592"/>
            <w:shd w:fill="17324D"/>
            <w:vAlign w:val="center"/>
          </w:tcPr>
          <w:p>
            <w:r>
              <w:rPr>
                <w:rFonts w:ascii="Times New Roman" w:hAnsi="Times New Roman"/>
                <w:b/>
                <w:color w:val="FFFFFF"/>
                <w:sz w:val="19"/>
              </w:rPr>
              <w:t>Dashboard Component</w:t>
            </w:r>
          </w:p>
        </w:tc>
        <w:tc>
          <w:tcPr>
            <w:tcW w:type="dxa" w:w="6624"/>
            <w:shd w:fill="17324D"/>
            <w:vAlign w:val="center"/>
          </w:tcPr>
          <w:p>
            <w:r>
              <w:rPr>
                <w:rFonts w:ascii="Times New Roman" w:hAnsi="Times New Roman"/>
                <w:b/>
                <w:color w:val="FFFFFF"/>
                <w:sz w:val="19"/>
              </w:rPr>
              <w:t>Display</w:t>
            </w:r>
          </w:p>
        </w:tc>
      </w:tr>
      <w:tr>
        <w:trPr>
          <w:cantSplit/>
        </w:trPr>
        <w:tc>
          <w:tcPr>
            <w:tcW w:type="dxa" w:w="2592"/>
            <w:vAlign w:val="top"/>
          </w:tcPr>
          <w:p>
            <w:pPr>
              <w:spacing w:after="40"/>
            </w:pPr>
            <w:r>
              <w:rPr>
                <w:rFonts w:ascii="Times New Roman" w:hAnsi="Times New Roman"/>
                <w:sz w:val="19"/>
              </w:rPr>
              <w:t>Model selector</w:t>
            </w:r>
          </w:p>
        </w:tc>
        <w:tc>
          <w:tcPr>
            <w:tcW w:type="dxa" w:w="6624"/>
            <w:vAlign w:val="top"/>
          </w:tcPr>
          <w:p>
            <w:pPr>
              <w:spacing w:after="40"/>
            </w:pPr>
            <w:r>
              <w:rPr>
                <w:rFonts w:ascii="Times New Roman" w:hAnsi="Times New Roman"/>
                <w:sz w:val="19"/>
              </w:rPr>
              <w:t>Original / Retrained oracle / Fine-tune / NegGrad+ / NegGrad control / SCRUB / SalUn / L1-sparse</w:t>
            </w:r>
          </w:p>
        </w:tc>
      </w:tr>
      <w:tr>
        <w:trPr>
          <w:cantSplit/>
        </w:trPr>
        <w:tc>
          <w:tcPr>
            <w:tcW w:type="dxa" w:w="2592"/>
            <w:vAlign w:val="top"/>
            <w:shd w:fill="F5F7F9"/>
          </w:tcPr>
          <w:p>
            <w:pPr>
              <w:spacing w:after="40"/>
            </w:pPr>
            <w:r>
              <w:rPr>
                <w:rFonts w:ascii="Times New Roman" w:hAnsi="Times New Roman"/>
                <w:sz w:val="19"/>
              </w:rPr>
              <w:t>Forget setting</w:t>
            </w:r>
          </w:p>
        </w:tc>
        <w:tc>
          <w:tcPr>
            <w:tcW w:type="dxa" w:w="6624"/>
            <w:vAlign w:val="top"/>
            <w:shd w:fill="F5F7F9"/>
          </w:tcPr>
          <w:p>
            <w:pPr>
              <w:spacing w:after="40"/>
            </w:pPr>
            <w:r>
              <w:rPr>
                <w:rFonts w:ascii="Times New Roman" w:hAnsi="Times New Roman"/>
                <w:sz w:val="19"/>
              </w:rPr>
              <w:t>Size axis (random 1 / 5 / 10%); difficulty axis (low / medium / high memorization); canary condition</w:t>
            </w:r>
          </w:p>
        </w:tc>
      </w:tr>
      <w:tr>
        <w:trPr>
          <w:cantSplit/>
        </w:trPr>
        <w:tc>
          <w:tcPr>
            <w:tcW w:type="dxa" w:w="2592"/>
            <w:vAlign w:val="top"/>
          </w:tcPr>
          <w:p>
            <w:pPr>
              <w:spacing w:after="40"/>
            </w:pPr>
            <w:r>
              <w:rPr>
                <w:rFonts w:ascii="Times New Roman" w:hAnsi="Times New Roman"/>
                <w:sz w:val="19"/>
              </w:rPr>
              <w:t>Utility card</w:t>
            </w:r>
          </w:p>
        </w:tc>
        <w:tc>
          <w:tcPr>
            <w:tcW w:type="dxa" w:w="6624"/>
            <w:vAlign w:val="top"/>
          </w:tcPr>
          <w:p>
            <w:pPr>
              <w:spacing w:after="40"/>
            </w:pPr>
            <w:r>
              <w:rPr>
                <w:rFonts w:ascii="Times New Roman" w:hAnsi="Times New Roman"/>
                <w:sz w:val="19"/>
              </w:rPr>
              <w:t>Retain/test accuracy</w:t>
            </w:r>
          </w:p>
        </w:tc>
      </w:tr>
      <w:tr>
        <w:trPr>
          <w:cantSplit/>
        </w:trPr>
        <w:tc>
          <w:tcPr>
            <w:tcW w:type="dxa" w:w="2592"/>
            <w:vAlign w:val="top"/>
            <w:shd w:fill="F5F7F9"/>
          </w:tcPr>
          <w:p>
            <w:pPr>
              <w:spacing w:after="40"/>
            </w:pPr>
            <w:r>
              <w:rPr>
                <w:rFonts w:ascii="Times New Roman" w:hAnsi="Times New Roman"/>
                <w:sz w:val="19"/>
              </w:rPr>
              <w:t>Privacy card</w:t>
            </w:r>
          </w:p>
        </w:tc>
        <w:tc>
          <w:tcPr>
            <w:tcW w:type="dxa" w:w="6624"/>
            <w:vAlign w:val="top"/>
            <w:shd w:fill="F5F7F9"/>
          </w:tcPr>
          <w:p>
            <w:pPr>
              <w:spacing w:after="40"/>
            </w:pPr>
            <w:r>
              <w:rPr>
                <w:rFonts w:ascii="Times New Roman" w:hAnsi="Times New Roman"/>
                <w:sz w:val="19"/>
              </w:rPr>
              <w:t>MIA AUC and attack accuracy under both attack strengths, with the gap between them</w:t>
            </w:r>
          </w:p>
        </w:tc>
      </w:tr>
      <w:tr>
        <w:trPr>
          <w:cantSplit/>
        </w:trPr>
        <w:tc>
          <w:tcPr>
            <w:tcW w:type="dxa" w:w="2592"/>
            <w:vAlign w:val="top"/>
          </w:tcPr>
          <w:p>
            <w:pPr>
              <w:spacing w:after="40"/>
            </w:pPr>
            <w:r>
              <w:rPr>
                <w:rFonts w:ascii="Times New Roman" w:hAnsi="Times New Roman"/>
                <w:sz w:val="19"/>
              </w:rPr>
              <w:t>Oracle similarity</w:t>
            </w:r>
          </w:p>
        </w:tc>
        <w:tc>
          <w:tcPr>
            <w:tcW w:type="dxa" w:w="6624"/>
            <w:vAlign w:val="top"/>
          </w:tcPr>
          <w:p>
            <w:pPr>
              <w:spacing w:after="40"/>
            </w:pPr>
            <w:r>
              <w:rPr>
                <w:rFonts w:ascii="Times New Roman" w:hAnsi="Times New Roman"/>
                <w:sz w:val="19"/>
              </w:rPr>
              <w:t>JS distance and prediction agreement</w:t>
            </w:r>
          </w:p>
        </w:tc>
      </w:tr>
      <w:tr>
        <w:trPr>
          <w:cantSplit/>
        </w:trPr>
        <w:tc>
          <w:tcPr>
            <w:tcW w:type="dxa" w:w="2592"/>
            <w:vAlign w:val="top"/>
            <w:shd w:fill="F5F7F9"/>
          </w:tcPr>
          <w:p>
            <w:pPr>
              <w:spacing w:after="40"/>
            </w:pPr>
            <w:r>
              <w:rPr>
                <w:rFonts w:ascii="Times New Roman" w:hAnsi="Times New Roman"/>
                <w:sz w:val="19"/>
              </w:rPr>
              <w:t>Representation</w:t>
            </w:r>
          </w:p>
        </w:tc>
        <w:tc>
          <w:tcPr>
            <w:tcW w:type="dxa" w:w="6624"/>
            <w:vAlign w:val="top"/>
            <w:shd w:fill="F5F7F9"/>
          </w:tcPr>
          <w:p>
            <w:pPr>
              <w:spacing w:after="40"/>
            </w:pPr>
            <w:r>
              <w:rPr>
                <w:rFonts w:ascii="Times New Roman" w:hAnsi="Times New Roman"/>
                <w:sz w:val="19"/>
              </w:rPr>
              <w:t>CKA heatmap and optional PCA view</w:t>
            </w:r>
          </w:p>
        </w:tc>
      </w:tr>
      <w:tr>
        <w:trPr>
          <w:cantSplit/>
        </w:trPr>
        <w:tc>
          <w:tcPr>
            <w:tcW w:type="dxa" w:w="2592"/>
            <w:vAlign w:val="top"/>
          </w:tcPr>
          <w:p>
            <w:pPr>
              <w:spacing w:after="40"/>
            </w:pPr>
            <w:r>
              <w:rPr>
                <w:rFonts w:ascii="Times New Roman" w:hAnsi="Times New Roman"/>
                <w:sz w:val="19"/>
              </w:rPr>
              <w:t>Relearning</w:t>
            </w:r>
          </w:p>
        </w:tc>
        <w:tc>
          <w:tcPr>
            <w:tcW w:type="dxa" w:w="6624"/>
            <w:vAlign w:val="top"/>
          </w:tcPr>
          <w:p>
            <w:pPr>
              <w:spacing w:after="40"/>
            </w:pPr>
            <w:r>
              <w:rPr>
                <w:rFonts w:ascii="Times New Roman" w:hAnsi="Times New Roman"/>
                <w:sz w:val="19"/>
              </w:rPr>
              <w:t>Recovery curve and T80 / AUC</w:t>
            </w:r>
          </w:p>
        </w:tc>
      </w:tr>
      <w:tr>
        <w:trPr>
          <w:cantSplit/>
        </w:trPr>
        <w:tc>
          <w:tcPr>
            <w:tcW w:type="dxa" w:w="2592"/>
            <w:vAlign w:val="top"/>
            <w:shd w:fill="F5F7F9"/>
          </w:tcPr>
          <w:p>
            <w:pPr>
              <w:spacing w:after="40"/>
            </w:pPr>
            <w:r>
              <w:rPr>
                <w:rFonts w:ascii="Times New Roman" w:hAnsi="Times New Roman"/>
                <w:sz w:val="19"/>
              </w:rPr>
              <w:t>Comparison</w:t>
            </w:r>
          </w:p>
        </w:tc>
        <w:tc>
          <w:tcPr>
            <w:tcW w:type="dxa" w:w="6624"/>
            <w:vAlign w:val="top"/>
            <w:shd w:fill="F5F7F9"/>
          </w:tcPr>
          <w:p>
            <w:pPr>
              <w:spacing w:after="40"/>
            </w:pPr>
            <w:r>
              <w:rPr>
                <w:rFonts w:ascii="Times New Roman" w:hAnsi="Times New Roman"/>
                <w:sz w:val="19"/>
              </w:rPr>
              <w:t>Audit rankings and disagreement matrix</w:t>
            </w:r>
          </w:p>
        </w:tc>
      </w:tr>
      <w:tr>
        <w:trPr>
          <w:cantSplit/>
        </w:trPr>
        <w:tc>
          <w:tcPr>
            <w:tcW w:type="dxa" w:w="2592"/>
            <w:vAlign w:val="top"/>
          </w:tcPr>
          <w:p>
            <w:pPr>
              <w:spacing w:after="40"/>
            </w:pPr>
            <w:r>
              <w:rPr>
                <w:rFonts w:ascii="Times New Roman" w:hAnsi="Times New Roman"/>
                <w:sz w:val="19"/>
              </w:rPr>
              <w:t>Efficiency</w:t>
            </w:r>
          </w:p>
        </w:tc>
        <w:tc>
          <w:tcPr>
            <w:tcW w:type="dxa" w:w="6624"/>
            <w:vAlign w:val="top"/>
          </w:tcPr>
          <w:p>
            <w:pPr>
              <w:spacing w:after="40"/>
            </w:pPr>
            <w:r>
              <w:rPr>
                <w:rFonts w:ascii="Times New Roman" w:hAnsi="Times New Roman"/>
                <w:sz w:val="19"/>
              </w:rPr>
              <w:t>Runtime / GPU time</w:t>
            </w:r>
          </w:p>
        </w:tc>
      </w:tr>
      <w:tr>
        <w:trPr>
          <w:cantSplit/>
        </w:trPr>
        <w:tc>
          <w:tcPr>
            <w:tcW w:type="dxa" w:w="2592"/>
            <w:vAlign w:val="top"/>
          </w:tcPr>
          <w:p>
            <w:pPr>
              <w:spacing w:after="40"/>
            </w:pPr>
            <w:r>
              <w:rPr>
                <w:rFonts w:ascii="Times New Roman" w:hAnsi="Times New Roman"/>
                <w:sz w:val="19"/>
              </w:rPr>
              <w:t>Audit validity</w:t>
            </w:r>
          </w:p>
        </w:tc>
        <w:tc>
          <w:tcPr>
            <w:tcW w:type="dxa" w:w="6624"/>
            <w:vAlign w:val="top"/>
          </w:tcPr>
          <w:p>
            <w:pPr>
              <w:spacing w:after="40"/>
            </w:pPr>
            <w:r>
              <w:rPr>
                <w:rFonts w:ascii="Times New Roman" w:hAnsi="Times New Roman"/>
                <w:sz w:val="19"/>
              </w:rPr>
              <w:t>Oracle false-positive rate and canary accuracy per audit family</w:t>
            </w:r>
          </w:p>
        </w:tc>
      </w:tr>
    </w:tbl>
    <w:p>
      <w:pPr>
        <w:spacing w:after="20"/>
      </w:pPr>
    </w:p>
    <w:p>
      <w:pPr>
        <w:pStyle w:val="Heading1"/>
        <w:keepNext/>
      </w:pPr>
      <w:r>
        <w:t>21. Semester Plan / Gantt</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1008"/>
            <w:shd w:fill="17324D"/>
            <w:vAlign w:val="center"/>
          </w:tcPr>
          <w:p>
            <w:r>
              <w:rPr>
                <w:rFonts w:ascii="Times New Roman" w:hAnsi="Times New Roman"/>
                <w:b/>
                <w:color w:val="FFFFFF"/>
                <w:sz w:val="18"/>
              </w:rPr>
              <w:t>Week</w:t>
            </w:r>
          </w:p>
        </w:tc>
        <w:tc>
          <w:tcPr>
            <w:tcW w:type="dxa" w:w="4176"/>
            <w:shd w:fill="17324D"/>
            <w:vAlign w:val="center"/>
          </w:tcPr>
          <w:p>
            <w:r>
              <w:rPr>
                <w:rFonts w:ascii="Times New Roman" w:hAnsi="Times New Roman"/>
                <w:b/>
                <w:color w:val="FFFFFF"/>
                <w:sz w:val="18"/>
              </w:rPr>
              <w:t>Primary Work</w:t>
            </w:r>
          </w:p>
        </w:tc>
        <w:tc>
          <w:tcPr>
            <w:tcW w:type="dxa" w:w="4032"/>
            <w:shd w:fill="17324D"/>
            <w:vAlign w:val="center"/>
          </w:tcPr>
          <w:p>
            <w:r>
              <w:rPr>
                <w:rFonts w:ascii="Times New Roman" w:hAnsi="Times New Roman"/>
                <w:b/>
                <w:color w:val="FFFFFF"/>
                <w:sz w:val="18"/>
              </w:rPr>
              <w:t>Concrete Output</w:t>
            </w:r>
          </w:p>
        </w:tc>
      </w:tr>
      <w:tr>
        <w:trPr>
          <w:cantSplit/>
        </w:trPr>
        <w:tc>
          <w:tcPr>
            <w:tcW w:type="dxa" w:w="1008"/>
            <w:vAlign w:val="top"/>
          </w:tcPr>
          <w:p>
            <w:pPr>
              <w:spacing w:after="40"/>
            </w:pPr>
            <w:r>
              <w:rPr>
                <w:rFonts w:ascii="Times New Roman" w:hAnsi="Times New Roman"/>
                <w:sz w:val="18"/>
              </w:rPr>
              <w:t>1</w:t>
            </w:r>
          </w:p>
        </w:tc>
        <w:tc>
          <w:tcPr>
            <w:tcW w:type="dxa" w:w="4176"/>
            <w:vAlign w:val="top"/>
          </w:tcPr>
          <w:p>
            <w:pPr>
              <w:spacing w:after="40"/>
            </w:pPr>
            <w:r>
              <w:rPr>
                <w:rFonts w:ascii="Times New Roman" w:hAnsi="Times New Roman"/>
                <w:sz w:val="18"/>
              </w:rPr>
              <w:t>Reposition claim and hypotheses against post-freeze literature; rewrite Sections 6 and 8</w:t>
            </w:r>
          </w:p>
        </w:tc>
        <w:tc>
          <w:tcPr>
            <w:tcW w:type="dxa" w:w="4032"/>
            <w:vAlign w:val="top"/>
          </w:tcPr>
          <w:p>
            <w:pPr>
              <w:spacing w:after="40"/>
            </w:pPr>
            <w:r>
              <w:rPr>
                <w:rFonts w:ascii="Times New Roman" w:hAnsi="Times New Roman"/>
                <w:sz w:val="18"/>
              </w:rPr>
              <w:t>Revised master reference v2.0; changelog</w:t>
            </w:r>
          </w:p>
        </w:tc>
      </w:tr>
      <w:tr>
        <w:trPr>
          <w:cantSplit/>
        </w:trPr>
        <w:tc>
          <w:tcPr>
            <w:tcW w:type="dxa" w:w="1008"/>
            <w:vAlign w:val="top"/>
            <w:shd w:fill="F5F7F9"/>
          </w:tcPr>
          <w:p>
            <w:pPr>
              <w:spacing w:after="40"/>
            </w:pPr>
            <w:r>
              <w:rPr>
                <w:rFonts w:ascii="Times New Roman" w:hAnsi="Times New Roman"/>
                <w:sz w:val="18"/>
              </w:rPr>
              <w:t>2</w:t>
            </w:r>
          </w:p>
        </w:tc>
        <w:tc>
          <w:tcPr>
            <w:tcW w:type="dxa" w:w="4176"/>
            <w:vAlign w:val="top"/>
            <w:shd w:fill="F5F7F9"/>
          </w:tcPr>
          <w:p>
            <w:pPr>
              <w:spacing w:after="40"/>
            </w:pPr>
            <w:r>
              <w:rPr>
                <w:rFonts w:ascii="Times New Roman" w:hAnsi="Times New Roman"/>
                <w:sz w:val="18"/>
              </w:rPr>
              <w:t>Synopsis and experiment specification; freeze RQs, metrics and metric directions</w:t>
            </w:r>
          </w:p>
        </w:tc>
        <w:tc>
          <w:tcPr>
            <w:tcW w:type="dxa" w:w="4032"/>
            <w:vAlign w:val="top"/>
            <w:shd w:fill="F5F7F9"/>
          </w:tcPr>
          <w:p>
            <w:pPr>
              <w:spacing w:after="40"/>
            </w:pPr>
            <w:r>
              <w:rPr>
                <w:rFonts w:ascii="Times New Roman" w:hAnsi="Times New Roman"/>
                <w:sz w:val="18"/>
              </w:rPr>
              <w:t>Approved synopsis; frozen specification</w:t>
            </w:r>
          </w:p>
        </w:tc>
      </w:tr>
      <w:tr>
        <w:trPr>
          <w:cantSplit/>
        </w:trPr>
        <w:tc>
          <w:tcPr>
            <w:tcW w:type="dxa" w:w="1008"/>
            <w:vAlign w:val="top"/>
          </w:tcPr>
          <w:p>
            <w:pPr>
              <w:spacing w:after="40"/>
            </w:pPr>
            <w:r>
              <w:rPr>
                <w:rFonts w:ascii="Times New Roman" w:hAnsi="Times New Roman"/>
                <w:sz w:val="18"/>
              </w:rPr>
              <w:t>3</w:t>
            </w:r>
          </w:p>
        </w:tc>
        <w:tc>
          <w:tcPr>
            <w:tcW w:type="dxa" w:w="4176"/>
            <w:vAlign w:val="top"/>
          </w:tcPr>
          <w:p>
            <w:pPr>
              <w:spacing w:after="40"/>
            </w:pPr>
            <w:r>
              <w:rPr>
                <w:rFonts w:ascii="Times New Roman" w:hAnsi="Times New Roman"/>
                <w:sz w:val="18"/>
              </w:rPr>
              <w:t>Adopt RUM codebase; reproduce its reported baseline; M0 pipeline; download memorization scores; freeze result-record and checkpoint schema</w:t>
            </w:r>
          </w:p>
        </w:tc>
        <w:tc>
          <w:tcPr>
            <w:tcW w:type="dxa" w:w="4032"/>
            <w:vAlign w:val="top"/>
          </w:tcPr>
          <w:p>
            <w:pPr>
              <w:spacing w:after="40"/>
            </w:pPr>
            <w:r>
              <w:rPr>
                <w:rFonts w:ascii="Times New Roman" w:hAnsi="Times New Roman"/>
                <w:sz w:val="18"/>
              </w:rPr>
              <w:t>Reproducible M0 pipeline; frozen schema</w:t>
            </w:r>
          </w:p>
        </w:tc>
      </w:tr>
      <w:tr>
        <w:trPr>
          <w:cantSplit/>
        </w:trPr>
        <w:tc>
          <w:tcPr>
            <w:tcW w:type="dxa" w:w="1008"/>
            <w:vAlign w:val="top"/>
            <w:shd w:fill="F5F7F9"/>
          </w:tcPr>
          <w:p>
            <w:pPr>
              <w:spacing w:after="40"/>
            </w:pPr>
            <w:r>
              <w:rPr>
                <w:rFonts w:ascii="Times New Roman" w:hAnsi="Times New Roman"/>
                <w:sz w:val="18"/>
              </w:rPr>
              <w:t>4</w:t>
            </w:r>
          </w:p>
        </w:tc>
        <w:tc>
          <w:tcPr>
            <w:tcW w:type="dxa" w:w="4176"/>
            <w:vAlign w:val="top"/>
            <w:shd w:fill="F5F7F9"/>
          </w:tcPr>
          <w:p>
            <w:pPr>
              <w:spacing w:after="40"/>
            </w:pPr>
            <w:r>
              <w:rPr>
                <w:rFonts w:ascii="Times New Roman" w:hAnsi="Times New Roman"/>
                <w:sz w:val="18"/>
              </w:rPr>
              <w:t>Forget-set generator: size axis, memorization strata, canary condition; first oracles</w:t>
            </w:r>
          </w:p>
        </w:tc>
        <w:tc>
          <w:tcPr>
            <w:tcW w:type="dxa" w:w="4032"/>
            <w:vAlign w:val="top"/>
            <w:shd w:fill="F5F7F9"/>
          </w:tcPr>
          <w:p>
            <w:pPr>
              <w:spacing w:after="40"/>
            </w:pPr>
            <w:r>
              <w:rPr>
                <w:rFonts w:ascii="Times New Roman" w:hAnsi="Times New Roman"/>
                <w:sz w:val="18"/>
              </w:rPr>
              <w:t>All forget conditions; first Mr</w:t>
            </w:r>
          </w:p>
        </w:tc>
      </w:tr>
      <w:tr>
        <w:trPr>
          <w:cantSplit/>
        </w:trPr>
        <w:tc>
          <w:tcPr>
            <w:tcW w:type="dxa" w:w="1008"/>
            <w:vAlign w:val="top"/>
          </w:tcPr>
          <w:p>
            <w:pPr>
              <w:spacing w:after="40"/>
            </w:pPr>
            <w:r>
              <w:rPr>
                <w:rFonts w:ascii="Times New Roman" w:hAnsi="Times New Roman"/>
                <w:sz w:val="18"/>
              </w:rPr>
              <w:t>5</w:t>
            </w:r>
          </w:p>
        </w:tc>
        <w:tc>
          <w:tcPr>
            <w:tcW w:type="dxa" w:w="4176"/>
            <w:vAlign w:val="top"/>
          </w:tcPr>
          <w:p>
            <w:pPr>
              <w:spacing w:after="40"/>
            </w:pPr>
            <w:r>
              <w:rPr>
                <w:rFonts w:ascii="Times New Roman" w:hAnsi="Times New Roman"/>
                <w:sz w:val="18"/>
              </w:rPr>
              <w:t>All six unlearning methods running end to end at one seed</w:t>
            </w:r>
          </w:p>
        </w:tc>
        <w:tc>
          <w:tcPr>
            <w:tcW w:type="dxa" w:w="4032"/>
            <w:vAlign w:val="top"/>
          </w:tcPr>
          <w:p>
            <w:pPr>
              <w:spacing w:after="40"/>
            </w:pPr>
            <w:r>
              <w:rPr>
                <w:rFonts w:ascii="Times New Roman" w:hAnsi="Times New Roman"/>
                <w:sz w:val="18"/>
              </w:rPr>
              <w:t>Six validated unlearning pipelines</w:t>
            </w:r>
          </w:p>
        </w:tc>
      </w:tr>
      <w:tr>
        <w:trPr>
          <w:cantSplit/>
        </w:trPr>
        <w:tc>
          <w:tcPr>
            <w:tcW w:type="dxa" w:w="1008"/>
            <w:vAlign w:val="top"/>
            <w:shd w:fill="F5F7F9"/>
          </w:tcPr>
          <w:p>
            <w:pPr>
              <w:spacing w:after="40"/>
            </w:pPr>
            <w:r>
              <w:rPr>
                <w:rFonts w:ascii="Times New Roman" w:hAnsi="Times New Roman"/>
                <w:sz w:val="18"/>
              </w:rPr>
              <w:t>6</w:t>
            </w:r>
          </w:p>
        </w:tc>
        <w:tc>
          <w:tcPr>
            <w:tcW w:type="dxa" w:w="4176"/>
            <w:vAlign w:val="top"/>
            <w:shd w:fill="F5F7F9"/>
          </w:tcPr>
          <w:p>
            <w:pPr>
              <w:spacing w:after="40"/>
            </w:pPr>
            <w:r>
              <w:rPr>
                <w:rFonts w:ascii="Times New Roman" w:hAnsi="Times New Roman"/>
                <w:sz w:val="18"/>
              </w:rPr>
              <w:t>Full-pipeline pilot: one seed, one condition, all four audits, calibration checks and disagreement analysis run through to a figure</w:t>
            </w:r>
          </w:p>
        </w:tc>
        <w:tc>
          <w:tcPr>
            <w:tcW w:type="dxa" w:w="4032"/>
            <w:vAlign w:val="top"/>
            <w:shd w:fill="F5F7F9"/>
          </w:tcPr>
          <w:p>
            <w:pPr>
              <w:spacing w:after="40"/>
            </w:pPr>
            <w:r>
              <w:rPr>
                <w:rFonts w:ascii="Times New Roman" w:hAnsi="Times New Roman"/>
                <w:sz w:val="18"/>
              </w:rPr>
              <w:t>Pilot result figure; design faults surfaced</w:t>
            </w:r>
          </w:p>
        </w:tc>
      </w:tr>
      <w:tr>
        <w:trPr>
          <w:cantSplit/>
        </w:trPr>
        <w:tc>
          <w:tcPr>
            <w:tcW w:type="dxa" w:w="1008"/>
            <w:vAlign w:val="top"/>
          </w:tcPr>
          <w:p>
            <w:pPr>
              <w:spacing w:after="40"/>
            </w:pPr>
            <w:r>
              <w:rPr>
                <w:rFonts w:ascii="Times New Roman" w:hAnsi="Times New Roman"/>
                <w:sz w:val="18"/>
              </w:rPr>
              <w:t>7</w:t>
            </w:r>
          </w:p>
        </w:tc>
        <w:tc>
          <w:tcPr>
            <w:tcW w:type="dxa" w:w="4176"/>
            <w:vAlign w:val="top"/>
          </w:tcPr>
          <w:p>
            <w:pPr>
              <w:spacing w:after="40"/>
            </w:pPr>
            <w:r>
              <w:rPr>
                <w:rFonts w:ascii="Times New Roman" w:hAnsi="Times New Roman"/>
                <w:sz w:val="18"/>
              </w:rPr>
              <w:t>Oracle ensemble; oracle-vs-oracle null bands; oracle false-positive-rate calibration</w:t>
            </w:r>
          </w:p>
        </w:tc>
        <w:tc>
          <w:tcPr>
            <w:tcW w:type="dxa" w:w="4032"/>
            <w:vAlign w:val="top"/>
          </w:tcPr>
          <w:p>
            <w:pPr>
              <w:spacing w:after="40"/>
            </w:pPr>
            <w:r>
              <w:rPr>
                <w:rFonts w:ascii="Times New Roman" w:hAnsi="Times New Roman"/>
                <w:sz w:val="18"/>
              </w:rPr>
              <w:t>Calibrated thresholds in oracle-SD units</w:t>
            </w:r>
          </w:p>
        </w:tc>
      </w:tr>
      <w:tr>
        <w:trPr>
          <w:cantSplit/>
        </w:trPr>
        <w:tc>
          <w:tcPr>
            <w:tcW w:type="dxa" w:w="1008"/>
            <w:vAlign w:val="top"/>
            <w:shd w:fill="F5F7F9"/>
          </w:tcPr>
          <w:p>
            <w:pPr>
              <w:spacing w:after="40"/>
            </w:pPr>
            <w:r>
              <w:rPr>
                <w:rFonts w:ascii="Times New Roman" w:hAnsi="Times New Roman"/>
                <w:sz w:val="18"/>
              </w:rPr>
              <w:t>8</w:t>
            </w:r>
          </w:p>
        </w:tc>
        <w:tc>
          <w:tcPr>
            <w:tcW w:type="dxa" w:w="4176"/>
            <w:vAlign w:val="top"/>
            <w:shd w:fill="F5F7F9"/>
          </w:tcPr>
          <w:p>
            <w:pPr>
              <w:spacing w:after="40"/>
            </w:pPr>
            <w:r>
              <w:rPr>
                <w:rFonts w:ascii="Times New Roman" w:hAnsi="Times New Roman"/>
                <w:sz w:val="18"/>
              </w:rPr>
              <w:t>Behavioral, forget-set and output-similarity audits</w:t>
            </w:r>
          </w:p>
        </w:tc>
        <w:tc>
          <w:tcPr>
            <w:tcW w:type="dxa" w:w="4032"/>
            <w:vAlign w:val="top"/>
            <w:shd w:fill="F5F7F9"/>
          </w:tcPr>
          <w:p>
            <w:pPr>
              <w:spacing w:after="40"/>
            </w:pPr>
            <w:r>
              <w:rPr>
                <w:rFonts w:ascii="Times New Roman" w:hAnsi="Times New Roman"/>
                <w:sz w:val="18"/>
              </w:rPr>
              <w:t>Utility and output-similarity results</w:t>
            </w:r>
          </w:p>
        </w:tc>
      </w:tr>
      <w:tr>
        <w:trPr>
          <w:cantSplit/>
        </w:trPr>
        <w:tc>
          <w:tcPr>
            <w:tcW w:type="dxa" w:w="1008"/>
            <w:vAlign w:val="top"/>
          </w:tcPr>
          <w:p>
            <w:pPr>
              <w:spacing w:after="40"/>
            </w:pPr>
            <w:r>
              <w:rPr>
                <w:rFonts w:ascii="Times New Roman" w:hAnsi="Times New Roman"/>
                <w:sz w:val="18"/>
              </w:rPr>
              <w:t>9</w:t>
            </w:r>
          </w:p>
        </w:tc>
        <w:tc>
          <w:tcPr>
            <w:tcW w:type="dxa" w:w="4176"/>
            <w:vAlign w:val="top"/>
          </w:tcPr>
          <w:p>
            <w:pPr>
              <w:spacing w:after="40"/>
            </w:pPr>
            <w:r>
              <w:rPr>
                <w:rFonts w:ascii="Times New Roman" w:hAnsi="Times New Roman"/>
                <w:sz w:val="18"/>
              </w:rPr>
              <w:t>Membership inference, population attack</w:t>
            </w:r>
          </w:p>
        </w:tc>
        <w:tc>
          <w:tcPr>
            <w:tcW w:type="dxa" w:w="4032"/>
            <w:vAlign w:val="top"/>
          </w:tcPr>
          <w:p>
            <w:pPr>
              <w:spacing w:after="40"/>
            </w:pPr>
            <w:r>
              <w:rPr>
                <w:rFonts w:ascii="Times New Roman" w:hAnsi="Times New Roman"/>
                <w:sz w:val="18"/>
              </w:rPr>
              <w:t>Attack A results and checks</w:t>
            </w:r>
          </w:p>
        </w:tc>
      </w:tr>
      <w:tr>
        <w:trPr>
          <w:cantSplit/>
        </w:trPr>
        <w:tc>
          <w:tcPr>
            <w:tcW w:type="dxa" w:w="1008"/>
            <w:vAlign w:val="top"/>
            <w:shd w:fill="F5F7F9"/>
          </w:tcPr>
          <w:p>
            <w:pPr>
              <w:spacing w:after="40"/>
            </w:pPr>
            <w:r>
              <w:rPr>
                <w:rFonts w:ascii="Times New Roman" w:hAnsi="Times New Roman"/>
                <w:sz w:val="18"/>
              </w:rPr>
              <w:t>10</w:t>
            </w:r>
          </w:p>
        </w:tc>
        <w:tc>
          <w:tcPr>
            <w:tcW w:type="dxa" w:w="4176"/>
            <w:vAlign w:val="top"/>
            <w:shd w:fill="F5F7F9"/>
          </w:tcPr>
          <w:p>
            <w:pPr>
              <w:spacing w:after="40"/>
            </w:pPr>
            <w:r>
              <w:rPr>
                <w:rFonts w:ascii="Times New Roman" w:hAnsi="Times New Roman"/>
                <w:sz w:val="18"/>
              </w:rPr>
              <w:t>Membership inference, per-example attack (RMIA); intra-family gap analysis</w:t>
            </w:r>
          </w:p>
        </w:tc>
        <w:tc>
          <w:tcPr>
            <w:tcW w:type="dxa" w:w="4032"/>
            <w:vAlign w:val="top"/>
            <w:shd w:fill="F5F7F9"/>
          </w:tcPr>
          <w:p>
            <w:pPr>
              <w:spacing w:after="40"/>
            </w:pPr>
            <w:r>
              <w:rPr>
                <w:rFonts w:ascii="Times New Roman" w:hAnsi="Times New Roman"/>
                <w:sz w:val="18"/>
              </w:rPr>
              <w:t>Attack B results; A-vs-B disagreement</w:t>
            </w:r>
          </w:p>
        </w:tc>
      </w:tr>
      <w:tr>
        <w:trPr>
          <w:cantSplit/>
        </w:trPr>
        <w:tc>
          <w:tcPr>
            <w:tcW w:type="dxa" w:w="1008"/>
            <w:vAlign w:val="top"/>
          </w:tcPr>
          <w:p>
            <w:pPr>
              <w:spacing w:after="40"/>
            </w:pPr>
            <w:r>
              <w:rPr>
                <w:rFonts w:ascii="Times New Roman" w:hAnsi="Times New Roman"/>
                <w:sz w:val="18"/>
              </w:rPr>
              <w:t>11</w:t>
            </w:r>
          </w:p>
        </w:tc>
        <w:tc>
          <w:tcPr>
            <w:tcW w:type="dxa" w:w="4176"/>
            <w:vAlign w:val="top"/>
          </w:tcPr>
          <w:p>
            <w:pPr>
              <w:spacing w:after="40"/>
            </w:pPr>
            <w:r>
              <w:rPr>
                <w:rFonts w:ascii="Times New Roman" w:hAnsi="Times New Roman"/>
                <w:sz w:val="18"/>
              </w:rPr>
              <w:t>Representation extraction; layer-wise CKA plus second measure; oracle baseline</w:t>
            </w:r>
          </w:p>
        </w:tc>
        <w:tc>
          <w:tcPr>
            <w:tcW w:type="dxa" w:w="4032"/>
            <w:vAlign w:val="top"/>
          </w:tcPr>
          <w:p>
            <w:pPr>
              <w:spacing w:after="40"/>
            </w:pPr>
            <w:r>
              <w:rPr>
                <w:rFonts w:ascii="Times New Roman" w:hAnsi="Times New Roman"/>
                <w:sz w:val="18"/>
              </w:rPr>
              <w:t>Representation audit results</w:t>
            </w:r>
          </w:p>
        </w:tc>
      </w:tr>
      <w:tr>
        <w:trPr>
          <w:cantSplit/>
        </w:trPr>
        <w:tc>
          <w:tcPr>
            <w:tcW w:type="dxa" w:w="1008"/>
            <w:vAlign w:val="top"/>
            <w:shd w:fill="F5F7F9"/>
          </w:tcPr>
          <w:p>
            <w:pPr>
              <w:spacing w:after="40"/>
            </w:pPr>
            <w:r>
              <w:rPr>
                <w:rFonts w:ascii="Times New Roman" w:hAnsi="Times New Roman"/>
                <w:sz w:val="18"/>
              </w:rPr>
              <w:t>12</w:t>
            </w:r>
          </w:p>
        </w:tc>
        <w:tc>
          <w:tcPr>
            <w:tcW w:type="dxa" w:w="4176"/>
            <w:vAlign w:val="top"/>
            <w:shd w:fill="F5F7F9"/>
          </w:tcPr>
          <w:p>
            <w:pPr>
              <w:spacing w:after="40"/>
            </w:pPr>
            <w:r>
              <w:rPr>
                <w:rFonts w:ascii="Times New Roman" w:hAnsi="Times New Roman"/>
                <w:sz w:val="18"/>
              </w:rPr>
              <w:t>Relearning experiment with anchor arms and normalised recovery</w:t>
            </w:r>
          </w:p>
        </w:tc>
        <w:tc>
          <w:tcPr>
            <w:tcW w:type="dxa" w:w="4032"/>
            <w:vAlign w:val="top"/>
            <w:shd w:fill="F5F7F9"/>
          </w:tcPr>
          <w:p>
            <w:pPr>
              <w:spacing w:after="40"/>
            </w:pPr>
            <w:r>
              <w:rPr>
                <w:rFonts w:ascii="Times New Roman" w:hAnsi="Times New Roman"/>
                <w:sz w:val="18"/>
              </w:rPr>
              <w:t>Recovery curves; T80 and AUC</w:t>
            </w:r>
          </w:p>
        </w:tc>
      </w:tr>
      <w:tr>
        <w:trPr>
          <w:cantSplit/>
        </w:trPr>
        <w:tc>
          <w:tcPr>
            <w:tcW w:type="dxa" w:w="1008"/>
            <w:vAlign w:val="top"/>
          </w:tcPr>
          <w:p>
            <w:pPr>
              <w:spacing w:after="40"/>
            </w:pPr>
            <w:r>
              <w:rPr>
                <w:rFonts w:ascii="Times New Roman" w:hAnsi="Times New Roman"/>
                <w:sz w:val="18"/>
              </w:rPr>
              <w:t>13</w:t>
            </w:r>
          </w:p>
        </w:tc>
        <w:tc>
          <w:tcPr>
            <w:tcW w:type="dxa" w:w="4176"/>
            <w:vAlign w:val="top"/>
          </w:tcPr>
          <w:p>
            <w:pPr>
              <w:spacing w:after="40"/>
            </w:pPr>
            <w:r>
              <w:rPr>
                <w:rFonts w:ascii="Times New Roman" w:hAnsi="Times New Roman"/>
                <w:sz w:val="18"/>
              </w:rPr>
              <w:t>Full multi-seed matrix across both forget-set axes</w:t>
            </w:r>
          </w:p>
        </w:tc>
        <w:tc>
          <w:tcPr>
            <w:tcW w:type="dxa" w:w="4032"/>
            <w:vAlign w:val="top"/>
          </w:tcPr>
          <w:p>
            <w:pPr>
              <w:spacing w:after="40"/>
            </w:pPr>
            <w:r>
              <w:rPr>
                <w:rFonts w:ascii="Times New Roman" w:hAnsi="Times New Roman"/>
                <w:sz w:val="18"/>
              </w:rPr>
              <w:t>Primary experiment completion</w:t>
            </w:r>
          </w:p>
        </w:tc>
      </w:tr>
      <w:tr>
        <w:trPr>
          <w:cantSplit/>
        </w:trPr>
        <w:tc>
          <w:tcPr>
            <w:tcW w:type="dxa" w:w="1008"/>
            <w:vAlign w:val="top"/>
            <w:shd w:fill="F5F7F9"/>
          </w:tcPr>
          <w:p>
            <w:pPr>
              <w:spacing w:after="40"/>
            </w:pPr>
            <w:r>
              <w:rPr>
                <w:rFonts w:ascii="Times New Roman" w:hAnsi="Times New Roman"/>
                <w:sz w:val="18"/>
              </w:rPr>
              <w:t>14</w:t>
            </w:r>
          </w:p>
        </w:tc>
        <w:tc>
          <w:tcPr>
            <w:tcW w:type="dxa" w:w="4176"/>
            <w:vAlign w:val="top"/>
            <w:shd w:fill="F5F7F9"/>
          </w:tcPr>
          <w:p>
            <w:pPr>
              <w:spacing w:after="40"/>
            </w:pPr>
            <w:r>
              <w:rPr>
                <w:rFonts w:ascii="Times New Roman" w:hAnsi="Times New Roman"/>
                <w:sz w:val="18"/>
              </w:rPr>
              <w:t>Mixed-effects models; instance-level correlations; disagreement matrix; canary scoring</w:t>
            </w:r>
          </w:p>
        </w:tc>
        <w:tc>
          <w:tcPr>
            <w:tcW w:type="dxa" w:w="4032"/>
            <w:vAlign w:val="top"/>
            <w:shd w:fill="F5F7F9"/>
          </w:tcPr>
          <w:p>
            <w:pPr>
              <w:spacing w:after="40"/>
            </w:pPr>
            <w:r>
              <w:rPr>
                <w:rFonts w:ascii="Times New Roman" w:hAnsi="Times New Roman"/>
                <w:sz w:val="18"/>
              </w:rPr>
              <w:t>Agreement statistics; audit validity table</w:t>
            </w:r>
          </w:p>
        </w:tc>
      </w:tr>
      <w:tr>
        <w:trPr>
          <w:cantSplit/>
        </w:trPr>
        <w:tc>
          <w:tcPr>
            <w:tcW w:type="dxa" w:w="1008"/>
            <w:vAlign w:val="top"/>
          </w:tcPr>
          <w:p>
            <w:pPr>
              <w:spacing w:after="40"/>
            </w:pPr>
            <w:r>
              <w:rPr>
                <w:rFonts w:ascii="Times New Roman" w:hAnsi="Times New Roman"/>
                <w:sz w:val="18"/>
              </w:rPr>
              <w:t>15</w:t>
            </w:r>
          </w:p>
        </w:tc>
        <w:tc>
          <w:tcPr>
            <w:tcW w:type="dxa" w:w="4176"/>
            <w:vAlign w:val="top"/>
          </w:tcPr>
          <w:p>
            <w:pPr>
              <w:spacing w:after="40"/>
            </w:pPr>
            <w:r>
              <w:rPr>
                <w:rFonts w:ascii="Times New Roman" w:hAnsi="Times New Roman"/>
                <w:sz w:val="18"/>
              </w:rPr>
              <w:t>Dashboard and report draft</w:t>
            </w:r>
          </w:p>
        </w:tc>
        <w:tc>
          <w:tcPr>
            <w:tcW w:type="dxa" w:w="4032"/>
            <w:vAlign w:val="top"/>
          </w:tcPr>
          <w:p>
            <w:pPr>
              <w:spacing w:after="40"/>
            </w:pPr>
            <w:r>
              <w:rPr>
                <w:rFonts w:ascii="Times New Roman" w:hAnsi="Times New Roman"/>
                <w:sz w:val="18"/>
              </w:rPr>
              <w:t>Demo and report draft</w:t>
            </w:r>
          </w:p>
        </w:tc>
      </w:tr>
      <w:tr>
        <w:trPr>
          <w:cantSplit/>
        </w:trPr>
        <w:tc>
          <w:tcPr>
            <w:tcW w:type="dxa" w:w="1008"/>
            <w:vAlign w:val="top"/>
            <w:shd w:fill="F5F7F9"/>
          </w:tcPr>
          <w:p>
            <w:pPr>
              <w:spacing w:after="40"/>
            </w:pPr>
            <w:r>
              <w:rPr>
                <w:rFonts w:ascii="Times New Roman" w:hAnsi="Times New Roman"/>
                <w:sz w:val="18"/>
              </w:rPr>
              <w:t>16</w:t>
            </w:r>
          </w:p>
        </w:tc>
        <w:tc>
          <w:tcPr>
            <w:tcW w:type="dxa" w:w="4176"/>
            <w:vAlign w:val="top"/>
            <w:shd w:fill="F5F7F9"/>
          </w:tcPr>
          <w:p>
            <w:pPr>
              <w:spacing w:after="40"/>
            </w:pPr>
            <w:r>
              <w:rPr>
                <w:rFonts w:ascii="Times New Roman" w:hAnsi="Times New Roman"/>
                <w:sz w:val="18"/>
              </w:rPr>
              <w:t>IEEE paper and presentation</w:t>
            </w:r>
          </w:p>
        </w:tc>
        <w:tc>
          <w:tcPr>
            <w:tcW w:type="dxa" w:w="4032"/>
            <w:vAlign w:val="top"/>
            <w:shd w:fill="F5F7F9"/>
          </w:tcPr>
          <w:p>
            <w:pPr>
              <w:spacing w:after="40"/>
            </w:pPr>
            <w:r>
              <w:rPr>
                <w:rFonts w:ascii="Times New Roman" w:hAnsi="Times New Roman"/>
                <w:sz w:val="18"/>
              </w:rPr>
              <w:t>Final paper and defense materials</w:t>
            </w:r>
          </w:p>
        </w:tc>
      </w:tr>
    </w:tbl>
    <w:p>
      <w:pPr>
        <w:spacing w:after="20"/>
      </w:pPr>
    </w:p>
    <w:p>
      <w:pPr>
        <w:pStyle w:val="Heading1"/>
        <w:keepNext/>
      </w:pPr>
      <w:r>
        <w:t>22. Working Abstract and Mentor Explanation</w:t>
      </w:r>
    </w:p>
    <w:p>
      <w:pPr>
        <w:pStyle w:val="Heading2"/>
        <w:keepNext/>
      </w:pPr>
      <w:r>
        <w:t>22.1 Working Abstract</w:t>
      </w:r>
    </w:p>
    <w:p>
      <w:pPr>
        <w:spacing w:after="120"/>
        <w:ind w:left="259" w:right="259"/>
      </w:pPr>
      <w:r>
        <w:rPr>
          <w:i/>
        </w:rPr>
        <w:t>Machine unlearning aims to remove the influence of selected training data from an already trained model without incurring the computational cost of complete retraining. Although many approximate techniques have been proposed, determining whether a model has genuinely forgotten the requested data remains difficult, and recent work has shown that different evaluation metrics can rank the same methods differently. Establishing that such disagreement exists, however, does not establish which evaluation to believe. This project presents ForgetCheck, a retraining-grounded study of audit disagreement, reversibility and audit validity in approximate machine unlearning, in the Untraining setting where the influence of specific training examples is to be removed. Six unlearning methods are evaluated on CIFAR-10 image classifiers under four audit families: behavioral, membership privacy at two attack strengths, representation-level, and controlled relearning. Forget-set memorization difficulty is treated as an experimental factor rather than held fixed, and an ensemble of independently retrained models provides a reference distribution rather than a single reference model. Beyond measuring agreement, each audit is calibrated for validity: its false-positive rate is measured against held-out retrained oracles, and its accuracy is measured on a canary condition in which residual influence is known by construction. The study aims to determine not only when conventional measures of forgetting disagree, but which of them can be trusted, and whether that answer depends on how hard the deletion request is.</w:t>
      </w:r>
    </w:p>
    <w:p>
      <w:pPr>
        <w:pStyle w:val="Heading2"/>
        <w:keepNext/>
      </w:pPr>
      <w:r>
        <w:t>22.2 One-Minute Mentor Explanation</w:t>
      </w:r>
    </w:p>
    <w:tbl>
      <w:tblPr>
        <w:tblStyle w:val="TableGrid"/>
        <w:tblW w:type="auto" w:w="0"/>
        <w:jc w:val="center"/>
        <w:tblLook w:firstColumn="1" w:firstRow="1" w:lastColumn="0" w:lastRow="0" w:noHBand="0" w:noVBand="1" w:val="04A0"/>
      </w:tblPr>
      <w:tblGrid>
        <w:gridCol w:w="9242"/>
      </w:tblGrid>
      <w:tr>
        <w:trPr>
          <w:cantSplit/>
        </w:trPr>
        <w:tc>
          <w:tcPr>
            <w:tcW w:type="dxa" w:w="9242"/>
            <w:shd w:fill="EAF3F8"/>
          </w:tcPr>
          <w:p>
            <w:pPr>
              <w:spacing w:after="60"/>
            </w:pPr>
            <w:r>
              <w:rPr>
                <w:b/>
                <w:color w:val="17324D"/>
                <w:sz w:val="23"/>
              </w:rPr>
              <w:t>Use this explanation in mentor discussions</w:t>
            </w:r>
          </w:p>
          <w:p>
            <w:pPr>
              <w:spacing w:after="20"/>
            </w:pPr>
            <w:r>
              <w:rPr>
                <w:sz w:val="21"/>
              </w:rPr>
              <w:t>Machine-learning models can memorize information from their training data. If selected data later has to be removed, deleting the files from storage does not necessarily remove their influence from an already trained model. Machine unlearning attempts to remove that influence without completely retraining the model. The problem is that researchers use different metrics to decide whether unlearning was successful, and recent research shows that some metrics can be misleading. Our project compares several unlearning algorithms and audits them at four levels—behavior, membership privacy, internal representations and relearning. We compare everything against a model retrained without the forgotten data, and study whether these different audits agree or contradict each other. We additionally test whether conclusions change when difficult, highly memorized examples are deleted instead of random examples.</w:t>
            </w:r>
          </w:p>
        </w:tc>
      </w:tr>
    </w:tbl>
    <w:p>
      <w:pPr>
        <w:spacing w:after="20"/>
      </w:pPr>
    </w:p>
    <w:p>
      <w:pPr>
        <w:pStyle w:val="Heading2"/>
        <w:keepNext/>
      </w:pPr>
      <w:r>
        <w:t>22.3 Claims We Must Not Make</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3888"/>
            <w:shd w:fill="17324D"/>
            <w:vAlign w:val="center"/>
          </w:tcPr>
          <w:p>
            <w:r>
              <w:rPr>
                <w:rFonts w:ascii="Times New Roman" w:hAnsi="Times New Roman"/>
                <w:b/>
                <w:color w:val="FFFFFF"/>
                <w:sz w:val="18"/>
              </w:rPr>
              <w:t>Do Not Say</w:t>
            </w:r>
          </w:p>
        </w:tc>
        <w:tc>
          <w:tcPr>
            <w:tcW w:type="dxa" w:w="5328"/>
            <w:shd w:fill="17324D"/>
            <w:vAlign w:val="center"/>
          </w:tcPr>
          <w:p>
            <w:r>
              <w:rPr>
                <w:rFonts w:ascii="Times New Roman" w:hAnsi="Times New Roman"/>
                <w:b/>
                <w:color w:val="FFFFFF"/>
                <w:sz w:val="18"/>
              </w:rPr>
              <w:t>Use This Instead</w:t>
            </w:r>
          </w:p>
        </w:tc>
      </w:tr>
      <w:tr>
        <w:trPr>
          <w:cantSplit/>
        </w:trPr>
        <w:tc>
          <w:tcPr>
            <w:tcW w:type="dxa" w:w="3888"/>
            <w:vAlign w:val="top"/>
          </w:tcPr>
          <w:p>
            <w:pPr>
              <w:spacing w:after="40"/>
            </w:pPr>
            <w:r>
              <w:rPr>
                <w:rFonts w:ascii="Times New Roman" w:hAnsi="Times New Roman"/>
                <w:sz w:val="18"/>
              </w:rPr>
              <w:t>“We prove that the model completely forgot the data.”</w:t>
            </w:r>
          </w:p>
        </w:tc>
        <w:tc>
          <w:tcPr>
            <w:tcW w:type="dxa" w:w="5328"/>
            <w:vAlign w:val="top"/>
          </w:tcPr>
          <w:p>
            <w:pPr>
              <w:spacing w:after="40"/>
            </w:pPr>
            <w:r>
              <w:rPr>
                <w:rFonts w:ascii="Times New Roman" w:hAnsi="Times New Roman"/>
                <w:sz w:val="18"/>
              </w:rPr>
              <w:t>“We find stronger or weaker empirical evidence of retraining-consistent forgetting under the evaluated audits.”</w:t>
            </w:r>
          </w:p>
        </w:tc>
      </w:tr>
      <w:tr>
        <w:trPr>
          <w:cantSplit/>
        </w:trPr>
        <w:tc>
          <w:tcPr>
            <w:tcW w:type="dxa" w:w="3888"/>
            <w:vAlign w:val="top"/>
            <w:shd w:fill="F5F7F9"/>
          </w:tcPr>
          <w:p>
            <w:pPr>
              <w:spacing w:after="40"/>
            </w:pPr>
            <w:r>
              <w:rPr>
                <w:rFonts w:ascii="Times New Roman" w:hAnsi="Times New Roman"/>
                <w:sz w:val="18"/>
              </w:rPr>
              <w:t>“Membership inference proves deletion.”</w:t>
            </w:r>
          </w:p>
        </w:tc>
        <w:tc>
          <w:tcPr>
            <w:tcW w:type="dxa" w:w="5328"/>
            <w:vAlign w:val="top"/>
            <w:shd w:fill="F5F7F9"/>
          </w:tcPr>
          <w:p>
            <w:pPr>
              <w:spacing w:after="40"/>
            </w:pPr>
            <w:r>
              <w:rPr>
                <w:rFonts w:ascii="Times New Roman" w:hAnsi="Times New Roman"/>
                <w:sz w:val="18"/>
              </w:rPr>
              <w:t>“Membership-inference resistance is one privacy-oriented diagnostic.”</w:t>
            </w:r>
          </w:p>
        </w:tc>
      </w:tr>
      <w:tr>
        <w:trPr>
          <w:cantSplit/>
        </w:trPr>
        <w:tc>
          <w:tcPr>
            <w:tcW w:type="dxa" w:w="3888"/>
            <w:vAlign w:val="top"/>
          </w:tcPr>
          <w:p>
            <w:pPr>
              <w:spacing w:after="40"/>
            </w:pPr>
            <w:r>
              <w:rPr>
                <w:rFonts w:ascii="Times New Roman" w:hAnsi="Times New Roman"/>
                <w:sz w:val="18"/>
              </w:rPr>
              <w:t>“ForgetCheck is the first machine-unlearning auditor.”</w:t>
            </w:r>
          </w:p>
        </w:tc>
        <w:tc>
          <w:tcPr>
            <w:tcW w:type="dxa" w:w="5328"/>
            <w:vAlign w:val="top"/>
          </w:tcPr>
          <w:p>
            <w:pPr>
              <w:spacing w:after="40"/>
            </w:pPr>
            <w:r>
              <w:rPr>
                <w:rFonts w:ascii="Times New Roman" w:hAnsi="Times New Roman"/>
                <w:sz w:val="18"/>
              </w:rPr>
              <w:t>“ForgetCheck studies disagreement among existing audit families under a controlled retraining-grounded protocol.”</w:t>
            </w:r>
          </w:p>
        </w:tc>
      </w:tr>
      <w:tr>
        <w:trPr>
          <w:cantSplit/>
        </w:trPr>
        <w:tc>
          <w:tcPr>
            <w:tcW w:type="dxa" w:w="3888"/>
            <w:vAlign w:val="top"/>
            <w:shd w:fill="F5F7F9"/>
          </w:tcPr>
          <w:p>
            <w:pPr>
              <w:spacing w:after="40"/>
            </w:pPr>
            <w:r>
              <w:rPr>
                <w:rFonts w:ascii="Times New Roman" w:hAnsi="Times New Roman"/>
                <w:sz w:val="18"/>
              </w:rPr>
              <w:t>“GDPR requires machine unlearning.”</w:t>
            </w:r>
          </w:p>
        </w:tc>
        <w:tc>
          <w:tcPr>
            <w:tcW w:type="dxa" w:w="5328"/>
            <w:vAlign w:val="top"/>
            <w:shd w:fill="F5F7F9"/>
          </w:tcPr>
          <w:p>
            <w:pPr>
              <w:spacing w:after="40"/>
            </w:pPr>
            <w:r>
              <w:rPr>
                <w:rFonts w:ascii="Times New Roman" w:hAnsi="Times New Roman"/>
                <w:sz w:val="18"/>
              </w:rPr>
              <w:t>“Data-erasure obligations are one motivation for machine-unlearning research; legal compliance depends on context and is outside this project.”</w:t>
            </w:r>
          </w:p>
        </w:tc>
      </w:tr>
      <w:tr>
        <w:trPr>
          <w:cantSplit/>
        </w:trPr>
        <w:tc>
          <w:tcPr>
            <w:tcW w:type="dxa" w:w="3888"/>
            <w:vAlign w:val="top"/>
          </w:tcPr>
          <w:p>
            <w:pPr>
              <w:spacing w:after="40"/>
            </w:pPr>
            <w:r>
              <w:rPr>
                <w:rFonts w:ascii="Times New Roman" w:hAnsi="Times New Roman"/>
                <w:sz w:val="18"/>
              </w:rPr>
              <w:t>“Internal similarity proves the data is still memorized.”</w:t>
            </w:r>
          </w:p>
        </w:tc>
        <w:tc>
          <w:tcPr>
            <w:tcW w:type="dxa" w:w="5328"/>
            <w:vAlign w:val="top"/>
          </w:tcPr>
          <w:p>
            <w:pPr>
              <w:spacing w:after="40"/>
            </w:pPr>
            <w:r>
              <w:rPr>
                <w:rFonts w:ascii="Times New Roman" w:hAnsi="Times New Roman"/>
                <w:sz w:val="18"/>
              </w:rPr>
              <w:t>“Internal similarity is a diagnostic and must be interpreted relative to original and retrained references.”</w:t>
            </w:r>
          </w:p>
        </w:tc>
      </w:tr>
      <w:tr>
        <w:trPr>
          <w:cantSplit/>
        </w:trPr>
        <w:tc>
          <w:tcPr>
            <w:tcW w:type="dxa" w:w="3888"/>
            <w:vAlign w:val="top"/>
          </w:tcPr>
          <w:p>
            <w:pPr>
              <w:spacing w:after="40"/>
            </w:pPr>
            <w:r>
              <w:rPr>
                <w:rFonts w:ascii="Times New Roman" w:hAnsi="Times New Roman"/>
                <w:sz w:val="18"/>
              </w:rPr>
              <w:t>"We are the first to study whether unlearning audits agree."</w:t>
            </w:r>
          </w:p>
        </w:tc>
        <w:tc>
          <w:tcPr>
            <w:tcW w:type="dxa" w:w="5328"/>
            <w:vAlign w:val="top"/>
          </w:tcPr>
          <w:p>
            <w:pPr>
              <w:spacing w:after="40"/>
            </w:pPr>
            <w:r>
              <w:rPr>
                <w:rFonts w:ascii="Times New Roman" w:hAnsi="Times New Roman"/>
                <w:sz w:val="18"/>
              </w:rPr>
              <w:t>"Cross-audit disagreement has been reported in recent work [20]; we extend the analysis with a reversibility axis, an intra-family privacy comparison, a difficulty factor, and a calibration procedure that scores audits for validity rather than only comparing them."</w:t>
            </w:r>
          </w:p>
        </w:tc>
      </w:tr>
      <w:tr>
        <w:trPr>
          <w:cantSplit/>
        </w:trPr>
        <w:tc>
          <w:tcPr>
            <w:tcW w:type="dxa" w:w="3888"/>
            <w:vAlign w:val="top"/>
          </w:tcPr>
          <w:p>
            <w:pPr>
              <w:spacing w:after="40"/>
            </w:pPr>
            <w:r>
              <w:rPr>
                <w:rFonts w:ascii="Times New Roman" w:hAnsi="Times New Roman"/>
                <w:sz w:val="18"/>
              </w:rPr>
              <w:t>"Audit X is better than audit Y."</w:t>
            </w:r>
          </w:p>
        </w:tc>
        <w:tc>
          <w:tcPr>
            <w:tcW w:type="dxa" w:w="5328"/>
            <w:vAlign w:val="top"/>
          </w:tcPr>
          <w:p>
            <w:pPr>
              <w:spacing w:after="40"/>
            </w:pPr>
            <w:r>
              <w:rPr>
                <w:rFonts w:ascii="Times New Roman" w:hAnsi="Times New Roman"/>
                <w:sz w:val="18"/>
              </w:rPr>
              <w:t>"Under this protocol, audit X showed a lower false-positive rate against held-out retrained oracles and higher accuracy on the canary condition than audit Y. This is evidence about these audits in this setting, not a general ordering."</w:t>
            </w:r>
          </w:p>
        </w:tc>
      </w:tr>
      <w:tr>
        <w:trPr>
          <w:cantSplit/>
        </w:trPr>
        <w:tc>
          <w:tcPr>
            <w:tcW w:type="dxa" w:w="3888"/>
            <w:vAlign w:val="top"/>
          </w:tcPr>
          <w:p>
            <w:pPr>
              <w:spacing w:after="40"/>
            </w:pPr>
            <w:r>
              <w:rPr>
                <w:rFonts w:ascii="Times New Roman" w:hAnsi="Times New Roman"/>
                <w:sz w:val="18"/>
              </w:rPr>
              <w:t>"SSD performs poorly at unlearning."</w:t>
            </w:r>
          </w:p>
        </w:tc>
        <w:tc>
          <w:tcPr>
            <w:tcW w:type="dxa" w:w="5328"/>
            <w:vAlign w:val="top"/>
          </w:tcPr>
          <w:p>
            <w:pPr>
              <w:spacing w:after="40"/>
            </w:pPr>
            <w:r>
              <w:rPr>
                <w:rFonts w:ascii="Times New Roman" w:hAnsi="Times New Roman"/>
                <w:sz w:val="18"/>
              </w:rPr>
              <w:t>"SSD is designed for class and sub-class forgetting; its parameter-importance mechanism is not applicable to randomly drawn instance-level forget sets, which is a mismatch between mechanism and task rather than a quality judgement."</w:t>
            </w:r>
          </w:p>
        </w:tc>
      </w:tr>
    </w:tbl>
    <w:p>
      <w:pPr>
        <w:spacing w:after="20"/>
      </w:pPr>
    </w:p>
    <w:p>
      <w:pPr>
        <w:pStyle w:val="Heading1"/>
        <w:keepNext/>
      </w:pPr>
      <w:r>
        <w:t>23. Literature Map</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2088"/>
            <w:shd w:fill="17324D"/>
            <w:vAlign w:val="center"/>
          </w:tcPr>
          <w:p>
            <w:r>
              <w:rPr>
                <w:rFonts w:ascii="Times New Roman" w:hAnsi="Times New Roman"/>
                <w:b/>
                <w:color w:val="FFFFFF"/>
                <w:sz w:val="17"/>
              </w:rPr>
              <w:t>Research Stage</w:t>
            </w:r>
          </w:p>
        </w:tc>
        <w:tc>
          <w:tcPr>
            <w:tcW w:type="dxa" w:w="3384"/>
            <w:shd w:fill="17324D"/>
            <w:vAlign w:val="center"/>
          </w:tcPr>
          <w:p>
            <w:r>
              <w:rPr>
                <w:rFonts w:ascii="Times New Roman" w:hAnsi="Times New Roman"/>
                <w:b/>
                <w:color w:val="FFFFFF"/>
                <w:sz w:val="17"/>
              </w:rPr>
              <w:t>Key Work</w:t>
            </w:r>
          </w:p>
        </w:tc>
        <w:tc>
          <w:tcPr>
            <w:tcW w:type="dxa" w:w="4032"/>
            <w:shd w:fill="17324D"/>
            <w:vAlign w:val="center"/>
          </w:tcPr>
          <w:p>
            <w:r>
              <w:rPr>
                <w:rFonts w:ascii="Times New Roman" w:hAnsi="Times New Roman"/>
                <w:b/>
                <w:color w:val="FFFFFF"/>
                <w:sz w:val="17"/>
              </w:rPr>
              <w:t>Role in ForgetCheck</w:t>
            </w:r>
          </w:p>
        </w:tc>
      </w:tr>
      <w:tr>
        <w:trPr>
          <w:cantSplit/>
        </w:trPr>
        <w:tc>
          <w:tcPr>
            <w:tcW w:type="dxa" w:w="2088"/>
            <w:vAlign w:val="top"/>
          </w:tcPr>
          <w:p>
            <w:pPr>
              <w:spacing w:after="40"/>
            </w:pPr>
            <w:r>
              <w:rPr>
                <w:rFonts w:ascii="Times New Roman" w:hAnsi="Times New Roman"/>
                <w:sz w:val="17"/>
              </w:rPr>
              <w:t>Certified/counterfactual target</w:t>
            </w:r>
          </w:p>
        </w:tc>
        <w:tc>
          <w:tcPr>
            <w:tcW w:type="dxa" w:w="3384"/>
            <w:vAlign w:val="top"/>
          </w:tcPr>
          <w:p>
            <w:pPr>
              <w:spacing w:after="40"/>
            </w:pPr>
            <w:r>
              <w:rPr>
                <w:rFonts w:ascii="Times New Roman" w:hAnsi="Times New Roman"/>
                <w:sz w:val="17"/>
              </w:rPr>
              <w:t>Guo et al. [1]</w:t>
            </w:r>
          </w:p>
        </w:tc>
        <w:tc>
          <w:tcPr>
            <w:tcW w:type="dxa" w:w="4032"/>
            <w:vAlign w:val="top"/>
          </w:tcPr>
          <w:p>
            <w:pPr>
              <w:spacing w:after="40"/>
            </w:pPr>
            <w:r>
              <w:rPr>
                <w:rFonts w:ascii="Times New Roman" w:hAnsi="Times New Roman"/>
                <w:sz w:val="17"/>
              </w:rPr>
              <w:t>Motivates retraining-consistent removal as a strong conceptual target.</w:t>
            </w:r>
          </w:p>
        </w:tc>
      </w:tr>
      <w:tr>
        <w:trPr>
          <w:cantSplit/>
        </w:trPr>
        <w:tc>
          <w:tcPr>
            <w:tcW w:type="dxa" w:w="2088"/>
            <w:vAlign w:val="top"/>
            <w:shd w:fill="F5F7F9"/>
          </w:tcPr>
          <w:p>
            <w:pPr>
              <w:spacing w:after="40"/>
            </w:pPr>
            <w:r>
              <w:rPr>
                <w:rFonts w:ascii="Times New Roman" w:hAnsi="Times New Roman"/>
                <w:sz w:val="17"/>
              </w:rPr>
              <w:t>Efficient deletion</w:t>
            </w:r>
          </w:p>
        </w:tc>
        <w:tc>
          <w:tcPr>
            <w:tcW w:type="dxa" w:w="3384"/>
            <w:vAlign w:val="top"/>
            <w:shd w:fill="F5F7F9"/>
          </w:tcPr>
          <w:p>
            <w:pPr>
              <w:spacing w:after="40"/>
            </w:pPr>
            <w:r>
              <w:rPr>
                <w:rFonts w:ascii="Times New Roman" w:hAnsi="Times New Roman"/>
                <w:sz w:val="17"/>
              </w:rPr>
              <w:t>Bourtoule et al. / SISA [2]</w:t>
            </w:r>
          </w:p>
        </w:tc>
        <w:tc>
          <w:tcPr>
            <w:tcW w:type="dxa" w:w="4032"/>
            <w:vAlign w:val="top"/>
            <w:shd w:fill="F5F7F9"/>
          </w:tcPr>
          <w:p>
            <w:pPr>
              <w:spacing w:after="40"/>
            </w:pPr>
            <w:r>
              <w:rPr>
                <w:rFonts w:ascii="Times New Roman" w:hAnsi="Times New Roman"/>
                <w:sz w:val="17"/>
              </w:rPr>
              <w:t>Shows practical motivation for avoiding full retraining.</w:t>
            </w:r>
          </w:p>
        </w:tc>
      </w:tr>
      <w:tr>
        <w:trPr>
          <w:cantSplit/>
        </w:trPr>
        <w:tc>
          <w:tcPr>
            <w:tcW w:type="dxa" w:w="2088"/>
            <w:vAlign w:val="top"/>
          </w:tcPr>
          <w:p>
            <w:pPr>
              <w:spacing w:after="40"/>
            </w:pPr>
            <w:r>
              <w:rPr>
                <w:rFonts w:ascii="Times New Roman" w:hAnsi="Times New Roman"/>
                <w:sz w:val="17"/>
              </w:rPr>
              <w:t>Deep unlearning algorithms</w:t>
            </w:r>
          </w:p>
        </w:tc>
        <w:tc>
          <w:tcPr>
            <w:tcW w:type="dxa" w:w="3384"/>
            <w:vAlign w:val="top"/>
          </w:tcPr>
          <w:p>
            <w:pPr>
              <w:spacing w:after="40"/>
            </w:pPr>
            <w:r>
              <w:rPr>
                <w:rFonts w:ascii="Times New Roman" w:hAnsi="Times New Roman"/>
                <w:sz w:val="17"/>
              </w:rPr>
              <w:t>Incompetent Teacher [3], SCRUB [4], sparsity [5], SSD [6], SalUn and NegGrad+ via RUM [8]</w:t>
            </w:r>
          </w:p>
        </w:tc>
        <w:tc>
          <w:tcPr>
            <w:tcW w:type="dxa" w:w="4032"/>
            <w:vAlign w:val="top"/>
          </w:tcPr>
          <w:p>
            <w:pPr>
              <w:spacing w:after="40"/>
            </w:pPr>
            <w:r>
              <w:rPr>
                <w:rFonts w:ascii="Times New Roman" w:hAnsi="Times New Roman"/>
                <w:sz w:val="17"/>
              </w:rPr>
              <w:t>Provides the six core methods and their mechanisms. SSD is retained as a documented mechanism-task mismatch rather than a core method [24].</w:t>
            </w:r>
          </w:p>
        </w:tc>
      </w:tr>
      <w:tr>
        <w:trPr>
          <w:cantSplit/>
        </w:trPr>
        <w:tc>
          <w:tcPr>
            <w:tcW w:type="dxa" w:w="2088"/>
            <w:vAlign w:val="top"/>
            <w:shd w:fill="F5F7F9"/>
          </w:tcPr>
          <w:p>
            <w:pPr>
              <w:spacing w:after="40"/>
            </w:pPr>
            <w:r>
              <w:rPr>
                <w:rFonts w:ascii="Times New Roman" w:hAnsi="Times New Roman"/>
                <w:sz w:val="17"/>
              </w:rPr>
              <w:t>Standardized evaluation</w:t>
            </w:r>
          </w:p>
        </w:tc>
        <w:tc>
          <w:tcPr>
            <w:tcW w:type="dxa" w:w="3384"/>
            <w:vAlign w:val="top"/>
            <w:shd w:fill="F5F7F9"/>
          </w:tcPr>
          <w:p>
            <w:pPr>
              <w:spacing w:after="40"/>
            </w:pPr>
            <w:r>
              <w:rPr>
                <w:rFonts w:ascii="Times New Roman" w:hAnsi="Times New Roman"/>
                <w:sz w:val="17"/>
              </w:rPr>
              <w:t>NeurIPS 2023 Challenge [17]</w:t>
            </w:r>
          </w:p>
        </w:tc>
        <w:tc>
          <w:tcPr>
            <w:tcW w:type="dxa" w:w="4032"/>
            <w:vAlign w:val="top"/>
            <w:shd w:fill="F5F7F9"/>
          </w:tcPr>
          <w:p>
            <w:pPr>
              <w:spacing w:after="40"/>
            </w:pPr>
            <w:r>
              <w:rPr>
                <w:rFonts w:ascii="Times New Roman" w:hAnsi="Times New Roman"/>
                <w:sz w:val="17"/>
              </w:rPr>
              <w:t>Provides public CIFAR/MIA infrastructure and validates evaluation as a research problem.</w:t>
            </w:r>
          </w:p>
        </w:tc>
      </w:tr>
      <w:tr>
        <w:trPr>
          <w:cantSplit/>
        </w:trPr>
        <w:tc>
          <w:tcPr>
            <w:tcW w:type="dxa" w:w="2088"/>
            <w:vAlign w:val="top"/>
          </w:tcPr>
          <w:p>
            <w:pPr>
              <w:spacing w:after="40"/>
            </w:pPr>
            <w:r>
              <w:rPr>
                <w:rFonts w:ascii="Times New Roman" w:hAnsi="Times New Roman"/>
                <w:sz w:val="17"/>
              </w:rPr>
              <w:t>Forget-set difficulty</w:t>
            </w:r>
          </w:p>
        </w:tc>
        <w:tc>
          <w:tcPr>
            <w:tcW w:type="dxa" w:w="3384"/>
            <w:vAlign w:val="top"/>
          </w:tcPr>
          <w:p>
            <w:pPr>
              <w:spacing w:after="40"/>
            </w:pPr>
            <w:r>
              <w:rPr>
                <w:rFonts w:ascii="Times New Roman" w:hAnsi="Times New Roman"/>
                <w:sz w:val="17"/>
              </w:rPr>
              <w:t>Wichert &amp; Sikdar [7], RUM [8]</w:t>
            </w:r>
          </w:p>
        </w:tc>
        <w:tc>
          <w:tcPr>
            <w:tcW w:type="dxa" w:w="4032"/>
            <w:vAlign w:val="top"/>
          </w:tcPr>
          <w:p>
            <w:pPr>
              <w:spacing w:after="40"/>
            </w:pPr>
            <w:r>
              <w:rPr>
                <w:rFonts w:ascii="Times New Roman" w:hAnsi="Times New Roman"/>
                <w:sz w:val="17"/>
              </w:rPr>
              <w:t>Motivates hard/high-memorization deletion condition.</w:t>
            </w:r>
          </w:p>
        </w:tc>
      </w:tr>
      <w:tr>
        <w:trPr>
          <w:cantSplit/>
        </w:trPr>
        <w:tc>
          <w:tcPr>
            <w:tcW w:type="dxa" w:w="2088"/>
            <w:vAlign w:val="top"/>
            <w:shd w:fill="F5F7F9"/>
          </w:tcPr>
          <w:p>
            <w:pPr>
              <w:spacing w:after="40"/>
            </w:pPr>
            <w:r>
              <w:rPr>
                <w:rFonts w:ascii="Times New Roman" w:hAnsi="Times New Roman"/>
                <w:sz w:val="17"/>
              </w:rPr>
              <w:t>LLM controlled benchmarks</w:t>
            </w:r>
          </w:p>
        </w:tc>
        <w:tc>
          <w:tcPr>
            <w:tcW w:type="dxa" w:w="3384"/>
            <w:vAlign w:val="top"/>
            <w:shd w:fill="F5F7F9"/>
          </w:tcPr>
          <w:p>
            <w:pPr>
              <w:spacing w:after="40"/>
            </w:pPr>
            <w:r>
              <w:rPr>
                <w:rFonts w:ascii="Times New Roman" w:hAnsi="Times New Roman"/>
                <w:sz w:val="17"/>
              </w:rPr>
              <w:t>TOFU [9], MUSE [11]</w:t>
            </w:r>
          </w:p>
        </w:tc>
        <w:tc>
          <w:tcPr>
            <w:tcW w:type="dxa" w:w="4032"/>
            <w:vAlign w:val="top"/>
            <w:shd w:fill="F5F7F9"/>
          </w:tcPr>
          <w:p>
            <w:pPr>
              <w:spacing w:after="40"/>
            </w:pPr>
            <w:r>
              <w:rPr>
                <w:rFonts w:ascii="Times New Roman" w:hAnsi="Times New Roman"/>
                <w:sz w:val="17"/>
              </w:rPr>
              <w:t>Shows multi-dimensional evaluation and controlled/synthetic forgetting.</w:t>
            </w:r>
          </w:p>
        </w:tc>
      </w:tr>
      <w:tr>
        <w:trPr>
          <w:cantSplit/>
        </w:trPr>
        <w:tc>
          <w:tcPr>
            <w:tcW w:type="dxa" w:w="2088"/>
            <w:vAlign w:val="top"/>
          </w:tcPr>
          <w:p>
            <w:pPr>
              <w:spacing w:after="40"/>
            </w:pPr>
            <w:r>
              <w:rPr>
                <w:rFonts w:ascii="Times New Roman" w:hAnsi="Times New Roman"/>
                <w:sz w:val="17"/>
              </w:rPr>
              <w:t>Robust behavioral evaluation</w:t>
            </w:r>
          </w:p>
        </w:tc>
        <w:tc>
          <w:tcPr>
            <w:tcW w:type="dxa" w:w="3384"/>
            <w:vAlign w:val="top"/>
          </w:tcPr>
          <w:p>
            <w:pPr>
              <w:spacing w:after="40"/>
            </w:pPr>
            <w:r>
              <w:rPr>
                <w:rFonts w:ascii="Times New Roman" w:hAnsi="Times New Roman"/>
                <w:sz w:val="17"/>
              </w:rPr>
              <w:t>Joshi et al. [10]</w:t>
            </w:r>
          </w:p>
        </w:tc>
        <w:tc>
          <w:tcPr>
            <w:tcW w:type="dxa" w:w="4032"/>
            <w:vAlign w:val="top"/>
          </w:tcPr>
          <w:p>
            <w:pPr>
              <w:spacing w:after="40"/>
            </w:pPr>
            <w:r>
              <w:rPr>
                <w:rFonts w:ascii="Times New Roman" w:hAnsi="Times New Roman"/>
                <w:sz w:val="17"/>
              </w:rPr>
              <w:t>Shows that transformed tests can reveal failures hidden by one query form.</w:t>
            </w:r>
          </w:p>
        </w:tc>
      </w:tr>
      <w:tr>
        <w:trPr>
          <w:cantSplit/>
        </w:trPr>
        <w:tc>
          <w:tcPr>
            <w:tcW w:type="dxa" w:w="2088"/>
            <w:vAlign w:val="top"/>
            <w:shd w:fill="F5F7F9"/>
          </w:tcPr>
          <w:p>
            <w:pPr>
              <w:spacing w:after="40"/>
            </w:pPr>
            <w:r>
              <w:rPr>
                <w:rFonts w:ascii="Times New Roman" w:hAnsi="Times New Roman"/>
                <w:sz w:val="17"/>
              </w:rPr>
              <w:t>Current trustworthy-unlearning context</w:t>
            </w:r>
          </w:p>
        </w:tc>
        <w:tc>
          <w:tcPr>
            <w:tcW w:type="dxa" w:w="3384"/>
            <w:vAlign w:val="top"/>
            <w:shd w:fill="F5F7F9"/>
          </w:tcPr>
          <w:p>
            <w:pPr>
              <w:spacing w:after="40"/>
            </w:pPr>
            <w:r>
              <w:rPr>
                <w:rFonts w:ascii="Times New Roman" w:hAnsi="Times New Roman"/>
                <w:sz w:val="17"/>
              </w:rPr>
              <w:t>Liu et al. [12]</w:t>
            </w:r>
          </w:p>
        </w:tc>
        <w:tc>
          <w:tcPr>
            <w:tcW w:type="dxa" w:w="4032"/>
            <w:vAlign w:val="top"/>
            <w:shd w:fill="F5F7F9"/>
          </w:tcPr>
          <w:p>
            <w:pPr>
              <w:spacing w:after="40"/>
            </w:pPr>
            <w:r>
              <w:rPr>
                <w:rFonts w:ascii="Times New Roman" w:hAnsi="Times New Roman"/>
                <w:sz w:val="17"/>
              </w:rPr>
              <w:t>Recent survey/review framing of LLM-unlearning limitations.</w:t>
            </w:r>
          </w:p>
        </w:tc>
      </w:tr>
      <w:tr>
        <w:trPr>
          <w:cantSplit/>
        </w:trPr>
        <w:tc>
          <w:tcPr>
            <w:tcW w:type="dxa" w:w="2088"/>
            <w:vAlign w:val="top"/>
          </w:tcPr>
          <w:p>
            <w:pPr>
              <w:spacing w:after="40"/>
            </w:pPr>
            <w:r>
              <w:rPr>
                <w:rFonts w:ascii="Times New Roman" w:hAnsi="Times New Roman"/>
                <w:sz w:val="17"/>
              </w:rPr>
              <w:t>Representation + reversibility</w:t>
            </w:r>
          </w:p>
        </w:tc>
        <w:tc>
          <w:tcPr>
            <w:tcW w:type="dxa" w:w="3384"/>
            <w:vAlign w:val="top"/>
          </w:tcPr>
          <w:p>
            <w:pPr>
              <w:spacing w:after="40"/>
            </w:pPr>
            <w:r>
              <w:rPr>
                <w:rFonts w:ascii="Times New Roman" w:hAnsi="Times New Roman"/>
                <w:sz w:val="17"/>
              </w:rPr>
              <w:t>Xu et al. [13]</w:t>
            </w:r>
          </w:p>
        </w:tc>
        <w:tc>
          <w:tcPr>
            <w:tcW w:type="dxa" w:w="4032"/>
            <w:vAlign w:val="top"/>
          </w:tcPr>
          <w:p>
            <w:pPr>
              <w:spacing w:after="40"/>
            </w:pPr>
            <w:r>
              <w:rPr>
                <w:rFonts w:ascii="Times New Roman" w:hAnsi="Times New Roman"/>
                <w:sz w:val="17"/>
              </w:rPr>
              <w:t>Direct motivation for CKA/relearning audit layer.</w:t>
            </w:r>
          </w:p>
        </w:tc>
      </w:tr>
      <w:tr>
        <w:trPr>
          <w:cantSplit/>
        </w:trPr>
        <w:tc>
          <w:tcPr>
            <w:tcW w:type="dxa" w:w="2088"/>
            <w:vAlign w:val="top"/>
            <w:shd w:fill="F5F7F9"/>
          </w:tcPr>
          <w:p>
            <w:pPr>
              <w:spacing w:after="40"/>
            </w:pPr>
            <w:r>
              <w:rPr>
                <w:rFonts w:ascii="Times New Roman" w:hAnsi="Times New Roman"/>
                <w:sz w:val="17"/>
              </w:rPr>
              <w:t>Statistical auditing</w:t>
            </w:r>
          </w:p>
        </w:tc>
        <w:tc>
          <w:tcPr>
            <w:tcW w:type="dxa" w:w="3384"/>
            <w:vAlign w:val="top"/>
            <w:shd w:fill="F5F7F9"/>
          </w:tcPr>
          <w:p>
            <w:pPr>
              <w:spacing w:after="40"/>
            </w:pPr>
            <w:r>
              <w:rPr>
                <w:rFonts w:ascii="Times New Roman" w:hAnsi="Times New Roman"/>
                <w:sz w:val="17"/>
              </w:rPr>
              <w:t>Ribero et al. [14] and Google Research [15]</w:t>
            </w:r>
          </w:p>
        </w:tc>
        <w:tc>
          <w:tcPr>
            <w:tcW w:type="dxa" w:w="4032"/>
            <w:vAlign w:val="top"/>
            <w:shd w:fill="F5F7F9"/>
          </w:tcPr>
          <w:p>
            <w:pPr>
              <w:spacing w:after="40"/>
            </w:pPr>
            <w:r>
              <w:rPr>
                <w:rFonts w:ascii="Times New Roman" w:hAnsi="Times New Roman"/>
                <w:sz w:val="17"/>
              </w:rPr>
              <w:t>Motivates relative three-distribution thinking and retraining stochasticity.</w:t>
            </w:r>
          </w:p>
        </w:tc>
      </w:tr>
      <w:tr>
        <w:trPr>
          <w:cantSplit/>
        </w:trPr>
        <w:tc>
          <w:tcPr>
            <w:tcW w:type="dxa" w:w="2088"/>
            <w:vAlign w:val="top"/>
          </w:tcPr>
          <w:p>
            <w:pPr>
              <w:spacing w:after="40"/>
            </w:pPr>
            <w:r>
              <w:rPr>
                <w:rFonts w:ascii="Times New Roman" w:hAnsi="Times New Roman"/>
                <w:sz w:val="17"/>
              </w:rPr>
              <w:t>General auditing frontier</w:t>
            </w:r>
          </w:p>
        </w:tc>
        <w:tc>
          <w:tcPr>
            <w:tcW w:type="dxa" w:w="3384"/>
            <w:vAlign w:val="top"/>
          </w:tcPr>
          <w:p>
            <w:pPr>
              <w:spacing w:after="40"/>
            </w:pPr>
            <w:r>
              <w:rPr>
                <w:rFonts w:ascii="Times New Roman" w:hAnsi="Times New Roman"/>
                <w:sz w:val="17"/>
              </w:rPr>
              <w:t>Ye et al. [16]</w:t>
            </w:r>
          </w:p>
        </w:tc>
        <w:tc>
          <w:tcPr>
            <w:tcW w:type="dxa" w:w="4032"/>
            <w:vAlign w:val="top"/>
          </w:tcPr>
          <w:p>
            <w:pPr>
              <w:spacing w:after="40"/>
            </w:pPr>
            <w:r>
              <w:rPr>
                <w:rFonts w:ascii="Times New Roman" w:hAnsi="Times New Roman"/>
                <w:sz w:val="17"/>
              </w:rPr>
              <w:t>Makes it essential to position ForgetCheck around audit disagreement, not “first auditor.”</w:t>
            </w:r>
          </w:p>
        </w:tc>
      </w:tr>
      <w:tr>
        <w:trPr>
          <w:cantSplit/>
        </w:trPr>
        <w:tc>
          <w:tcPr>
            <w:tcW w:type="dxa" w:w="2088"/>
            <w:vAlign w:val="top"/>
          </w:tcPr>
          <w:p>
            <w:pPr>
              <w:spacing w:after="40"/>
            </w:pPr>
            <w:r>
              <w:rPr>
                <w:rFonts w:ascii="Times New Roman" w:hAnsi="Times New Roman"/>
                <w:sz w:val="17"/>
              </w:rPr>
              <w:t>Problem formulation</w:t>
            </w:r>
          </w:p>
        </w:tc>
        <w:tc>
          <w:tcPr>
            <w:tcW w:type="dxa" w:w="3384"/>
            <w:vAlign w:val="top"/>
          </w:tcPr>
          <w:p>
            <w:pPr>
              <w:spacing w:after="40"/>
            </w:pPr>
            <w:r>
              <w:rPr>
                <w:rFonts w:ascii="Times New Roman" w:hAnsi="Times New Roman"/>
                <w:sz w:val="17"/>
              </w:rPr>
              <w:t>Triantafillou et al. [19]</w:t>
            </w:r>
          </w:p>
        </w:tc>
        <w:tc>
          <w:tcPr>
            <w:tcW w:type="dxa" w:w="4032"/>
            <w:vAlign w:val="top"/>
          </w:tcPr>
          <w:p>
            <w:pPr>
              <w:spacing w:after="40"/>
            </w:pPr>
            <w:r>
              <w:rPr>
                <w:rFonts w:ascii="Times New Roman" w:hAnsi="Times New Roman"/>
                <w:sz w:val="17"/>
              </w:rPr>
              <w:t>Fixes the Untraining framing, which licenses both the retrained oracle and membership inference as appropriate for this setting.</w:t>
            </w:r>
          </w:p>
        </w:tc>
      </w:tr>
      <w:tr>
        <w:trPr>
          <w:cantSplit/>
        </w:trPr>
        <w:tc>
          <w:tcPr>
            <w:tcW w:type="dxa" w:w="2088"/>
            <w:vAlign w:val="top"/>
          </w:tcPr>
          <w:p>
            <w:pPr>
              <w:spacing w:after="40"/>
            </w:pPr>
            <w:r>
              <w:rPr>
                <w:rFonts w:ascii="Times New Roman" w:hAnsi="Times New Roman"/>
                <w:sz w:val="17"/>
              </w:rPr>
              <w:t>Cross-audit disagreement</w:t>
            </w:r>
          </w:p>
        </w:tc>
        <w:tc>
          <w:tcPr>
            <w:tcW w:type="dxa" w:w="3384"/>
            <w:vAlign w:val="top"/>
          </w:tcPr>
          <w:p>
            <w:pPr>
              <w:spacing w:after="40"/>
            </w:pPr>
            <w:r>
              <w:rPr>
                <w:rFonts w:ascii="Times New Roman" w:hAnsi="Times New Roman"/>
                <w:sz w:val="17"/>
              </w:rPr>
              <w:t>Khan et al. [20]</w:t>
            </w:r>
          </w:p>
        </w:tc>
        <w:tc>
          <w:tcPr>
            <w:tcW w:type="dxa" w:w="4032"/>
            <w:vAlign w:val="top"/>
          </w:tcPr>
          <w:p>
            <w:pPr>
              <w:spacing w:after="40"/>
            </w:pPr>
            <w:r>
              <w:rPr>
                <w:rFonts w:ascii="Times New Roman" w:hAnsi="Times New Roman"/>
                <w:sz w:val="17"/>
              </w:rPr>
              <w:t>The nearest prior work. Defines what is already known and therefore what Section 6 may claim.</w:t>
            </w:r>
          </w:p>
        </w:tc>
      </w:tr>
      <w:tr>
        <w:trPr>
          <w:cantSplit/>
        </w:trPr>
        <w:tc>
          <w:tcPr>
            <w:tcW w:type="dxa" w:w="2088"/>
            <w:vAlign w:val="top"/>
          </w:tcPr>
          <w:p>
            <w:pPr>
              <w:spacing w:after="40"/>
            </w:pPr>
            <w:r>
              <w:rPr>
                <w:rFonts w:ascii="Times New Roman" w:hAnsi="Times New Roman"/>
                <w:sz w:val="17"/>
              </w:rPr>
              <w:t>Attack strength within privacy</w:t>
            </w:r>
          </w:p>
        </w:tc>
        <w:tc>
          <w:tcPr>
            <w:tcW w:type="dxa" w:w="3384"/>
            <w:vAlign w:val="top"/>
          </w:tcPr>
          <w:p>
            <w:pPr>
              <w:spacing w:after="40"/>
            </w:pPr>
            <w:r>
              <w:rPr>
                <w:rFonts w:ascii="Times New Roman" w:hAnsi="Times New Roman"/>
                <w:sz w:val="17"/>
              </w:rPr>
              <w:t>Hayes et al. [21], RMIA [27]</w:t>
            </w:r>
          </w:p>
        </w:tc>
        <w:tc>
          <w:tcPr>
            <w:tcW w:type="dxa" w:w="4032"/>
            <w:vAlign w:val="top"/>
          </w:tcPr>
          <w:p>
            <w:pPr>
              <w:spacing w:after="40"/>
            </w:pPr>
            <w:r>
              <w:rPr>
                <w:rFonts w:ascii="Times New Roman" w:hAnsi="Times New Roman"/>
                <w:sz w:val="17"/>
              </w:rPr>
              <w:t>Motivates two attack strengths and makes the stronger one affordable.</w:t>
            </w:r>
          </w:p>
        </w:tc>
      </w:tr>
      <w:tr>
        <w:trPr>
          <w:cantSplit/>
        </w:trPr>
        <w:tc>
          <w:tcPr>
            <w:tcW w:type="dxa" w:w="2088"/>
            <w:vAlign w:val="top"/>
          </w:tcPr>
          <w:p>
            <w:pPr>
              <w:spacing w:after="40"/>
            </w:pPr>
            <w:r>
              <w:rPr>
                <w:rFonts w:ascii="Times New Roman" w:hAnsi="Times New Roman"/>
                <w:sz w:val="17"/>
              </w:rPr>
              <w:t>Representation-level residuals</w:t>
            </w:r>
          </w:p>
        </w:tc>
        <w:tc>
          <w:tcPr>
            <w:tcW w:type="dxa" w:w="3384"/>
            <w:vAlign w:val="top"/>
          </w:tcPr>
          <w:p>
            <w:pPr>
              <w:spacing w:after="40"/>
            </w:pPr>
            <w:r>
              <w:rPr>
                <w:rFonts w:ascii="Times New Roman" w:hAnsi="Times New Roman"/>
                <w:sz w:val="17"/>
              </w:rPr>
              <w:t>RULER [22], [23]</w:t>
            </w:r>
          </w:p>
        </w:tc>
        <w:tc>
          <w:tcPr>
            <w:tcW w:type="dxa" w:w="4032"/>
            <w:vAlign w:val="top"/>
          </w:tcPr>
          <w:p>
            <w:pPr>
              <w:spacing w:after="40"/>
            </w:pPr>
            <w:r>
              <w:rPr>
                <w:rFonts w:ascii="Times New Roman" w:hAnsi="Times New Roman"/>
                <w:sz w:val="17"/>
              </w:rPr>
              <w:t>Establishes former hypothesis H1, now treated as a replication target.</w:t>
            </w:r>
          </w:p>
        </w:tc>
      </w:tr>
      <w:tr>
        <w:trPr>
          <w:cantSplit/>
        </w:trPr>
        <w:tc>
          <w:tcPr>
            <w:tcW w:type="dxa" w:w="2088"/>
            <w:vAlign w:val="top"/>
          </w:tcPr>
          <w:p>
            <w:pPr>
              <w:spacing w:after="40"/>
            </w:pPr>
            <w:r>
              <w:rPr>
                <w:rFonts w:ascii="Times New Roman" w:hAnsi="Times New Roman"/>
                <w:sz w:val="17"/>
              </w:rPr>
              <w:t>Similarity-metric reliability</w:t>
            </w:r>
          </w:p>
        </w:tc>
        <w:tc>
          <w:tcPr>
            <w:tcW w:type="dxa" w:w="3384"/>
            <w:vAlign w:val="top"/>
          </w:tcPr>
          <w:p>
            <w:pPr>
              <w:spacing w:after="40"/>
            </w:pPr>
            <w:r>
              <w:rPr>
                <w:rFonts w:ascii="Times New Roman" w:hAnsi="Times New Roman"/>
                <w:sz w:val="17"/>
              </w:rPr>
              <w:t>Davari et al. [26]</w:t>
            </w:r>
          </w:p>
        </w:tc>
        <w:tc>
          <w:tcPr>
            <w:tcW w:type="dxa" w:w="4032"/>
            <w:vAlign w:val="top"/>
          </w:tcPr>
          <w:p>
            <w:pPr>
              <w:spacing w:after="40"/>
            </w:pPr>
            <w:r>
              <w:rPr>
                <w:rFonts w:ascii="Times New Roman" w:hAnsi="Times New Roman"/>
                <w:sz w:val="17"/>
              </w:rPr>
              <w:t>Requires a second, non-CKA measure before any representation claim.</w:t>
            </w:r>
          </w:p>
        </w:tc>
      </w:tr>
      <w:tr>
        <w:trPr>
          <w:cantSplit/>
        </w:trPr>
        <w:tc>
          <w:tcPr>
            <w:tcW w:type="dxa" w:w="2088"/>
            <w:vAlign w:val="top"/>
          </w:tcPr>
          <w:p>
            <w:pPr>
              <w:spacing w:after="40"/>
            </w:pPr>
            <w:r>
              <w:rPr>
                <w:rFonts w:ascii="Times New Roman" w:hAnsi="Times New Roman"/>
                <w:sz w:val="17"/>
              </w:rPr>
              <w:t>Oracle as a distribution</w:t>
            </w:r>
          </w:p>
        </w:tc>
        <w:tc>
          <w:tcPr>
            <w:tcW w:type="dxa" w:w="3384"/>
            <w:vAlign w:val="top"/>
          </w:tcPr>
          <w:p>
            <w:pPr>
              <w:spacing w:after="40"/>
            </w:pPr>
            <w:r>
              <w:rPr>
                <w:rFonts w:ascii="Times New Roman" w:hAnsi="Times New Roman"/>
                <w:sz w:val="17"/>
              </w:rPr>
              <w:t>EasyDUB [25], [28], [32]</w:t>
            </w:r>
          </w:p>
        </w:tc>
        <w:tc>
          <w:tcPr>
            <w:tcW w:type="dxa" w:w="4032"/>
            <w:vAlign w:val="top"/>
          </w:tcPr>
          <w:p>
            <w:pPr>
              <w:spacing w:after="40"/>
            </w:pPr>
            <w:r>
              <w:rPr>
                <w:rFonts w:ascii="Times New Roman" w:hAnsi="Times New Roman"/>
                <w:sz w:val="17"/>
              </w:rPr>
              <w:t>Motivates the oracle ensemble, oracle-SD thresholds and the validity calibration of 15.5.</w:t>
            </w:r>
          </w:p>
        </w:tc>
      </w:tr>
    </w:tbl>
    <w:p>
      <w:pPr>
        <w:spacing w:after="20"/>
      </w:pPr>
    </w:p>
    <w:p>
      <w:pPr>
        <w:pStyle w:val="Heading1"/>
        <w:keepNext/>
      </w:pPr>
      <w:r>
        <w:t>24. IEEE-Style Working References</w:t>
      </w:r>
    </w:p>
    <w:p>
      <w:pPr>
        <w:spacing w:after="120"/>
      </w:pPr>
      <w:r>
        <w:rPr>
          <w:i w:val="0"/>
        </w:rPr>
        <w:t>The bibliography below is the working reference set for the synopsis and project foundation. Before final paper submission, metadata, volume/page numbers and DOI fields should be rechecked against the final publisher records. References marked as web/research notes are supporting resources rather than substitutes for peer-reviewed papers.</w:t>
      </w:r>
    </w:p>
    <w:p>
      <w:pPr>
        <w:spacing w:after="100"/>
        <w:ind w:left="259" w:hanging="259"/>
      </w:pPr>
      <w:r>
        <w:t xml:space="preserve">[1] C. Guo, T. Goldstein, A. Hannun, and L. van der Maaten, “Certified Data Removal from Machine Learning Models,” in Proc. 37th Int. Conf. Machine Learning (ICML), PMLR, vol. 119, pp. 3832–3842, 2020. </w:t>
      </w:r>
      <w:hyperlink r:id="rId13">
        <w:r>
          <w:rPr>
            <w:color w:val="2F5597"/>
            <w:u w:val="single"/>
            <w:rFonts w:ascii="Times New Roman" w:hAnsi="Times New Roman"/>
            <w:sz w:val="22"/>
          </w:rPr>
          <w:t>Source</w:t>
        </w:r>
      </w:hyperlink>
    </w:p>
    <w:p>
      <w:pPr>
        <w:spacing w:after="100"/>
        <w:ind w:left="259" w:hanging="259"/>
      </w:pPr>
      <w:r>
        <w:t xml:space="preserve">[2] L. Bourtoule, V. Chandrasekaran, C. A. Choquette-Choo, H. Jia, A. Travers, B. Zhang, D. Lie, and N. Papernot, “Machine Unlearning,” in 2021 IEEE Symposium on Security and Privacy (SP), pp. 141–159, 2021, doi: 10.1109/SP40001.2021.00019. </w:t>
      </w:r>
      <w:hyperlink r:id="rId14">
        <w:r>
          <w:rPr>
            <w:color w:val="2F5597"/>
            <w:u w:val="single"/>
            <w:rFonts w:ascii="Times New Roman" w:hAnsi="Times New Roman"/>
            <w:sz w:val="22"/>
          </w:rPr>
          <w:t>Source</w:t>
        </w:r>
      </w:hyperlink>
    </w:p>
    <w:p>
      <w:pPr>
        <w:spacing w:after="100"/>
        <w:ind w:left="259" w:hanging="259"/>
      </w:pPr>
      <w:r>
        <w:t xml:space="preserve">[3] V. S. Chundawat, A. K. Tarun, M. Mandal, and M. Kankanhalli, “Can Bad Teaching Induce Forgetting? Unlearning in Deep Networks Using an Incompetent Teacher,” in Proc. AAAI Conf. Artificial Intelligence, vol. 37, no. 6, pp. 7210–7217, 2023. </w:t>
      </w:r>
      <w:hyperlink r:id="rId15">
        <w:r>
          <w:rPr>
            <w:color w:val="2F5597"/>
            <w:u w:val="single"/>
            <w:rFonts w:ascii="Times New Roman" w:hAnsi="Times New Roman"/>
            <w:sz w:val="22"/>
          </w:rPr>
          <w:t>Source</w:t>
        </w:r>
      </w:hyperlink>
    </w:p>
    <w:p>
      <w:pPr>
        <w:spacing w:after="100"/>
        <w:ind w:left="259" w:hanging="259"/>
      </w:pPr>
      <w:r>
        <w:t xml:space="preserve">[4] M. Kurmanji, P. Triantafillou, J. Hayes, and E. Triantafillou, “Towards Unbounded Machine Unlearning,” in Advances in Neural Information Processing Systems, vol. 36, pp. 1957–1987, 2023. </w:t>
      </w:r>
      <w:hyperlink r:id="rId16">
        <w:r>
          <w:rPr>
            <w:color w:val="2F5597"/>
            <w:u w:val="single"/>
            <w:rFonts w:ascii="Times New Roman" w:hAnsi="Times New Roman"/>
            <w:sz w:val="22"/>
          </w:rPr>
          <w:t>Source</w:t>
        </w:r>
      </w:hyperlink>
    </w:p>
    <w:p>
      <w:pPr>
        <w:spacing w:after="100"/>
        <w:ind w:left="259" w:hanging="259"/>
      </w:pPr>
      <w:r>
        <w:t xml:space="preserve">[5] J. Jia, J. Liu, P. Ram, Y. Yao, G. Liu, Y. Liu, P. Sharma, and S. Liu, “Model Sparsity Can Simplify Machine Unlearning,” in Advances in Neural Information Processing Systems, vol. 36, 2023. </w:t>
      </w:r>
      <w:hyperlink r:id="rId17">
        <w:r>
          <w:rPr>
            <w:color w:val="2F5597"/>
            <w:u w:val="single"/>
            <w:rFonts w:ascii="Times New Roman" w:hAnsi="Times New Roman"/>
            <w:sz w:val="22"/>
          </w:rPr>
          <w:t>Source</w:t>
        </w:r>
      </w:hyperlink>
    </w:p>
    <w:p>
      <w:pPr>
        <w:spacing w:after="100"/>
        <w:ind w:left="259" w:hanging="259"/>
      </w:pPr>
      <w:r>
        <w:t xml:space="preserve">[6] J. Foster, S. Schoepf, and A. Brintrup, “Fast Machine Unlearning without Retraining through Selective Synaptic Dampening,” in Proc. AAAI Conf. Artificial Intelligence, vol. 38, no. 11, pp. 12043–12051, 2024. </w:t>
      </w:r>
      <w:hyperlink r:id="rId18">
        <w:r>
          <w:rPr>
            <w:color w:val="2F5597"/>
            <w:u w:val="single"/>
            <w:rFonts w:ascii="Times New Roman" w:hAnsi="Times New Roman"/>
            <w:sz w:val="22"/>
          </w:rPr>
          <w:t>Source</w:t>
        </w:r>
      </w:hyperlink>
    </w:p>
    <w:p>
      <w:pPr>
        <w:spacing w:after="100"/>
        <w:ind w:left="259" w:hanging="259"/>
      </w:pPr>
      <w:r>
        <w:t xml:space="preserve">[7] L. Wichert and S. Sikdar, “Rethinking Evaluation Methods for Machine Unlearning,” in Findings of the Association for Computational Linguistics: EMNLP 2024, pp. 4727–4739, 2024, doi: 10.18653/v1/2024.findings-emnlp.271. </w:t>
      </w:r>
      <w:hyperlink r:id="rId19">
        <w:r>
          <w:rPr>
            <w:color w:val="2F5597"/>
            <w:u w:val="single"/>
            <w:rFonts w:ascii="Times New Roman" w:hAnsi="Times New Roman"/>
            <w:sz w:val="22"/>
          </w:rPr>
          <w:t>Source</w:t>
        </w:r>
      </w:hyperlink>
    </w:p>
    <w:p>
      <w:pPr>
        <w:spacing w:after="100"/>
        <w:ind w:left="259" w:hanging="259"/>
      </w:pPr>
      <w:r>
        <w:t xml:space="preserve">[8] K. Zhao, M. Kurmanji, G.-O. Barbulescu, E. Triantafillou, and P. Triantafillou, “What Makes Unlearning Hard and What to Do About It,” in Advances in Neural Information Processing Systems, vol. 37, 2024. </w:t>
      </w:r>
      <w:hyperlink r:id="rId20">
        <w:r>
          <w:rPr>
            <w:color w:val="2F5597"/>
            <w:u w:val="single"/>
            <w:rFonts w:ascii="Times New Roman" w:hAnsi="Times New Roman"/>
            <w:sz w:val="22"/>
          </w:rPr>
          <w:t>Source</w:t>
        </w:r>
      </w:hyperlink>
    </w:p>
    <w:p>
      <w:pPr>
        <w:spacing w:after="100"/>
        <w:ind w:left="259" w:hanging="259"/>
      </w:pPr>
      <w:r>
        <w:t xml:space="preserve">[9] P. Maini, Z. Feng, A. Schwarzschild, Z. C. Lipton, and J. Z. Kolter, “TOFU: A Task of Fictitious Unlearning for LLMs,” in Conference on Language Modeling (COLM), 2024. </w:t>
      </w:r>
      <w:hyperlink r:id="rId21">
        <w:r>
          <w:rPr>
            <w:color w:val="2F5597"/>
            <w:u w:val="single"/>
            <w:rFonts w:ascii="Times New Roman" w:hAnsi="Times New Roman"/>
            <w:sz w:val="22"/>
          </w:rPr>
          <w:t>Source</w:t>
        </w:r>
      </w:hyperlink>
    </w:p>
    <w:p>
      <w:pPr>
        <w:spacing w:after="100"/>
        <w:ind w:left="259" w:hanging="259"/>
      </w:pPr>
      <w:r>
        <w:t xml:space="preserve">[10] A. Joshi, S. Saha, D. Shukla, S. Vema, H. Jhamtani, M. Gaur, and A. Modi, “Towards Robust Evaluation of Unlearning in LLMs via Data Transformations,” in Findings of the Association for Computational Linguistics: EMNLP 2024, pp. 12100–12119, 2024. </w:t>
      </w:r>
      <w:hyperlink r:id="rId22">
        <w:r>
          <w:rPr>
            <w:color w:val="2F5597"/>
            <w:u w:val="single"/>
            <w:rFonts w:ascii="Times New Roman" w:hAnsi="Times New Roman"/>
            <w:sz w:val="22"/>
          </w:rPr>
          <w:t>Source</w:t>
        </w:r>
      </w:hyperlink>
    </w:p>
    <w:p>
      <w:pPr>
        <w:spacing w:after="100"/>
        <w:ind w:left="259" w:hanging="259"/>
      </w:pPr>
      <w:r>
        <w:t xml:space="preserve">[11] W. Shi et al., “MUSE: Machine Unlearning Six-Way Evaluation for Language Models,” in International Conference on Learning Representations (ICLR), 2025. </w:t>
      </w:r>
      <w:hyperlink r:id="rId23">
        <w:r>
          <w:rPr>
            <w:color w:val="2F5597"/>
            <w:u w:val="single"/>
            <w:rFonts w:ascii="Times New Roman" w:hAnsi="Times New Roman"/>
            <w:sz w:val="22"/>
          </w:rPr>
          <w:t>Source</w:t>
        </w:r>
      </w:hyperlink>
    </w:p>
    <w:p>
      <w:pPr>
        <w:spacing w:after="100"/>
        <w:ind w:left="259" w:hanging="259"/>
      </w:pPr>
      <w:r>
        <w:t xml:space="preserve">[12] S. Liu et al., “Rethinking Machine Unlearning for Large Language Models,” Nature Machine Intelligence, vol. 7, pp. 181–194, 2025, doi: 10.1038/s42256-025-00985-0. </w:t>
      </w:r>
      <w:hyperlink r:id="rId24">
        <w:r>
          <w:rPr>
            <w:color w:val="2F5597"/>
            <w:u w:val="single"/>
            <w:rFonts w:ascii="Times New Roman" w:hAnsi="Times New Roman"/>
            <w:sz w:val="22"/>
          </w:rPr>
          <w:t>Source</w:t>
        </w:r>
      </w:hyperlink>
    </w:p>
    <w:p>
      <w:pPr>
        <w:spacing w:after="100"/>
        <w:ind w:left="259" w:hanging="259"/>
      </w:pPr>
      <w:r>
        <w:t xml:space="preserve">[13] X. Xu, X. Yue, Y. Liu, Q. Ye, H. Zheng, P. Hu, M. Du, and H. Hu, “Unlearning Isn’t Deletion: Investigating Reversibility of Machine Unlearning in LLMs,” in Proc. 43rd Int. Conf. Machine Learning (ICML), PMLR, vol. 306, 2026. </w:t>
      </w:r>
      <w:hyperlink r:id="rId25">
        <w:r>
          <w:rPr>
            <w:color w:val="2F5597"/>
            <w:u w:val="single"/>
            <w:rFonts w:ascii="Times New Roman" w:hAnsi="Times New Roman"/>
            <w:sz w:val="22"/>
          </w:rPr>
          <w:t>Source</w:t>
        </w:r>
      </w:hyperlink>
    </w:p>
    <w:p>
      <w:pPr>
        <w:spacing w:after="100"/>
        <w:ind w:left="259" w:hanging="259"/>
      </w:pPr>
      <w:r>
        <w:t xml:space="preserve">[14] M. Ribero, A. Schrab, and A. Gretton, “Regularized f-Divergence Kernel Tests,” in Proc. 29th Int. Conf. Artificial Intelligence and Statistics (AISTATS), PMLR, vol. 300, 2026. </w:t>
      </w:r>
      <w:hyperlink r:id="rId26">
        <w:r>
          <w:rPr>
            <w:color w:val="2F5597"/>
            <w:u w:val="single"/>
            <w:rFonts w:ascii="Times New Roman" w:hAnsi="Times New Roman"/>
            <w:sz w:val="22"/>
          </w:rPr>
          <w:t>Source</w:t>
        </w:r>
      </w:hyperlink>
    </w:p>
    <w:p>
      <w:pPr>
        <w:spacing w:after="100"/>
        <w:ind w:left="259" w:hanging="259"/>
      </w:pPr>
      <w:r>
        <w:t xml:space="preserve">[15] M. Ribero, “New Framework for Auditing Machine Unlearning,” Google Research Blog, Jun. 10, 2026. [Online]. </w:t>
      </w:r>
      <w:hyperlink r:id="rId27">
        <w:r>
          <w:rPr>
            <w:color w:val="2F5597"/>
            <w:u w:val="single"/>
            <w:rFonts w:ascii="Times New Roman" w:hAnsi="Times New Roman"/>
            <w:sz w:val="22"/>
          </w:rPr>
          <w:t>Source</w:t>
        </w:r>
      </w:hyperlink>
    </w:p>
    <w:p>
      <w:pPr>
        <w:spacing w:after="100"/>
        <w:ind w:left="259" w:hanging="259"/>
      </w:pPr>
      <w:r>
        <w:t xml:space="preserve">[16] D. Ye, T. Zhu, R. Huang, X. Fu, J. Li, B. Liu, H. Huo, and W. Zhou, “Auditing Machine Unlearning: A Systematic Research on Whether Models Truly Forget,” arXiv:2606.16110, 2026. Preprint. </w:t>
      </w:r>
      <w:hyperlink r:id="rId28">
        <w:r>
          <w:rPr>
            <w:color w:val="2F5597"/>
            <w:u w:val="single"/>
            <w:rFonts w:ascii="Times New Roman" w:hAnsi="Times New Roman"/>
            <w:sz w:val="22"/>
          </w:rPr>
          <w:t>Source</w:t>
        </w:r>
      </w:hyperlink>
    </w:p>
    <w:p>
      <w:pPr>
        <w:spacing w:after="100"/>
        <w:ind w:left="259" w:hanging="259"/>
      </w:pPr>
      <w:r>
        <w:t xml:space="preserve">[17] E. Triantafillou et al., “NeurIPS 2023 Machine Unlearning Competition,” NeurIPS Competition Track, 2023. </w:t>
      </w:r>
      <w:hyperlink r:id="rId29">
        <w:r>
          <w:rPr>
            <w:color w:val="2F5597"/>
            <w:u w:val="single"/>
            <w:rFonts w:ascii="Times New Roman" w:hAnsi="Times New Roman"/>
            <w:sz w:val="22"/>
          </w:rPr>
          <w:t>Source</w:t>
        </w:r>
      </w:hyperlink>
    </w:p>
    <w:p>
      <w:pPr>
        <w:spacing w:after="100"/>
        <w:ind w:left="259" w:hanging="259"/>
      </w:pPr>
      <w:r>
        <w:t xml:space="preserve">[18] T. T. Nguyen et al., “A Survey of Machine Unlearning,” ACM Transactions on Intelligent Systems and Technology, vol. 16, no. 5, Art. no. 108, 2025. </w:t>
      </w:r>
      <w:hyperlink r:id="rId30">
        <w:r>
          <w:rPr>
            <w:color w:val="2F5597"/>
            <w:u w:val="single"/>
            <w:rFonts w:ascii="Times New Roman" w:hAnsi="Times New Roman"/>
            <w:sz w:val="22"/>
          </w:rPr>
          <w:t>Source</w:t>
        </w:r>
      </w:hyperlink>
    </w:p>
    <w:p>
      <w:pPr>
        <w:spacing w:after="100"/>
        <w:ind w:left="259" w:hanging="259"/>
      </w:pPr>
      <w:r>
        <w:t>[19] E. Triantafillou, A. I. Humayun, M. Ribero, A. M. Turner, M. C. Mozer, and G. Kaissis, “Is your algorithm unlearning or untraining?,” arXiv:2604.07962, 2026. Preprint.</w:t>
      </w:r>
      <w:hyperlink r:id="rId30">
        <w:r>
          <w:rPr>
            <w:color w:val="2F5597"/>
            <w:u w:val="single"/>
            <w:rFonts w:ascii="Times New Roman" w:hAnsi="Times New Roman"/>
            <w:sz w:val="22"/>
          </w:rPr>
          <w:t>Source</w:t>
        </w:r>
      </w:hyperlink>
    </w:p>
    <w:p>
      <w:pPr>
        <w:spacing w:after="100"/>
        <w:ind w:left="259" w:hanging="259"/>
      </w:pPr>
      <w:r>
        <w:t>[20] A. A. Khan, H. Laga, and F. Sohel, “Metric Unreliability in Multimodal Machine Unlearning: A Systematic Analysis and Principled Unified Score,” arXiv:2605.02206, 2026. Preprint.</w:t>
      </w:r>
      <w:hyperlink r:id="rId30">
        <w:r>
          <w:rPr>
            <w:color w:val="2F5597"/>
            <w:u w:val="single"/>
            <w:rFonts w:ascii="Times New Roman" w:hAnsi="Times New Roman"/>
            <w:sz w:val="22"/>
          </w:rPr>
          <w:t>Source</w:t>
        </w:r>
      </w:hyperlink>
    </w:p>
    <w:p>
      <w:pPr>
        <w:spacing w:after="100"/>
        <w:ind w:left="259" w:hanging="259"/>
      </w:pPr>
      <w:r>
        <w:t>[21] J. Hayes, I. Shumailov, E. Triantafillou, A. Khalifa, and N. Papernot, “Inexact Unlearning Needs More Careful Evaluations to Avoid a False Sense of Privacy,” arXiv:2403.01218, 2024.</w:t>
      </w:r>
      <w:hyperlink r:id="rId30">
        <w:r>
          <w:rPr>
            <w:color w:val="2F5597"/>
            <w:u w:val="single"/>
            <w:rFonts w:ascii="Times New Roman" w:hAnsi="Times New Roman"/>
            <w:sz w:val="22"/>
          </w:rPr>
          <w:t>Source</w:t>
        </w:r>
      </w:hyperlink>
    </w:p>
    <w:p>
      <w:pPr>
        <w:spacing w:after="100"/>
        <w:ind w:left="259" w:hanging="259"/>
      </w:pPr>
      <w:r>
        <w:t>[22] G. Cosma and A. Finke, “RULER: Representation-Level Verification of Machine Unlearning,” in 2nd Workshop on Machine Unlearning and Privacy Preservation (WIPE-OUT), ECML PKDD, 2026. To appear in Springer CCIS.</w:t>
      </w:r>
      <w:hyperlink r:id="rId30">
        <w:r>
          <w:rPr>
            <w:color w:val="2F5597"/>
            <w:u w:val="single"/>
            <w:rFonts w:ascii="Times New Roman" w:hAnsi="Times New Roman"/>
            <w:sz w:val="22"/>
          </w:rPr>
          <w:t>Source</w:t>
        </w:r>
      </w:hyperlink>
    </w:p>
    <w:p>
      <w:pPr>
        <w:spacing w:after="100"/>
        <w:ind w:left="259" w:hanging="259"/>
      </w:pPr>
      <w:r>
        <w:t>[23] “Are We Truly Forgetting? A Critical Re-examination of Machine Unlearning Evaluation Protocols,” arXiv:2503.06991, 2025.</w:t>
      </w:r>
      <w:hyperlink r:id="rId30">
        <w:r>
          <w:rPr>
            <w:color w:val="2F5597"/>
            <w:u w:val="single"/>
            <w:rFonts w:ascii="Times New Roman" w:hAnsi="Times New Roman"/>
            <w:sz w:val="22"/>
          </w:rPr>
          <w:t>Source</w:t>
        </w:r>
      </w:hyperlink>
    </w:p>
    <w:p>
      <w:pPr>
        <w:spacing w:after="100"/>
        <w:ind w:left="259" w:hanging="259"/>
      </w:pPr>
      <w:r>
        <w:t>[24] “A Comparative Study of Machine Unlearning Techniques for Image and Text Classification Models,” arXiv:2412.19583, 2024.</w:t>
      </w:r>
      <w:hyperlink r:id="rId30">
        <w:r>
          <w:rPr>
            <w:color w:val="2F5597"/>
            <w:u w:val="single"/>
            <w:rFonts w:ascii="Times New Roman" w:hAnsi="Times New Roman"/>
            <w:sz w:val="22"/>
          </w:rPr>
          <w:t>Source</w:t>
        </w:r>
      </w:hyperlink>
    </w:p>
    <w:p>
      <w:pPr>
        <w:spacing w:after="100"/>
        <w:ind w:left="259" w:hanging="259"/>
      </w:pPr>
      <w:r>
        <w:t>[25] “Easy Data Unlearning Bench,” arXiv:2602.16400, 2026. Preprint.</w:t>
      </w:r>
      <w:hyperlink r:id="rId30">
        <w:r>
          <w:rPr>
            <w:color w:val="2F5597"/>
            <w:u w:val="single"/>
            <w:rFonts w:ascii="Times New Roman" w:hAnsi="Times New Roman"/>
            <w:sz w:val="22"/>
          </w:rPr>
          <w:t>Source</w:t>
        </w:r>
      </w:hyperlink>
    </w:p>
    <w:p>
      <w:pPr>
        <w:spacing w:after="100"/>
        <w:ind w:left="259" w:hanging="259"/>
      </w:pPr>
      <w:r>
        <w:t>[26] M. R. Davari, S. Horoi, A. Natik, G. Lajoie, G. Wolf, and E. Belilovsky, “Reliability of CKA as a Similarity Measure in Deep Learning,” in International Conference on Learning Representations (ICLR), 2023.</w:t>
      </w:r>
      <w:hyperlink r:id="rId30">
        <w:r>
          <w:rPr>
            <w:color w:val="2F5597"/>
            <w:u w:val="single"/>
            <w:rFonts w:ascii="Times New Roman" w:hAnsi="Times New Roman"/>
            <w:sz w:val="22"/>
          </w:rPr>
          <w:t>Source</w:t>
        </w:r>
      </w:hyperlink>
    </w:p>
    <w:p>
      <w:pPr>
        <w:spacing w:after="100"/>
        <w:ind w:left="259" w:hanging="259"/>
      </w:pPr>
      <w:r>
        <w:t>[27] S. Zarifzadeh, P. Liu, and R. Shokri, “Low-Cost High-Power Membership Inference Attacks,” in Proc. 41st Int. Conf. Machine Learning (ICML), PMLR, vol. 235, pp. 58244–58282, 2024.</w:t>
      </w:r>
      <w:hyperlink r:id="rId30">
        <w:r>
          <w:rPr>
            <w:color w:val="2F5597"/>
            <w:u w:val="single"/>
            <w:rFonts w:ascii="Times New Roman" w:hAnsi="Times New Roman"/>
            <w:sz w:val="22"/>
          </w:rPr>
          <w:t>Source</w:t>
        </w:r>
      </w:hyperlink>
    </w:p>
    <w:p>
      <w:pPr>
        <w:spacing w:after="100"/>
        <w:ind w:left="259" w:hanging="259"/>
      </w:pPr>
      <w:r>
        <w:t>[28] “Unlearning as Distribution Restoration: A Controlled Counterfactual Study, a Validated Selective Screen, and the Limits of Oracle-Free Certification,” arXiv:2607.19442, 2026. Preprint.</w:t>
      </w:r>
      <w:hyperlink r:id="rId30">
        <w:r>
          <w:rPr>
            <w:color w:val="2F5597"/>
            <w:u w:val="single"/>
            <w:rFonts w:ascii="Times New Roman" w:hAnsi="Times New Roman"/>
            <w:sz w:val="22"/>
          </w:rPr>
          <w:t>Source</w:t>
        </w:r>
      </w:hyperlink>
    </w:p>
    <w:p>
      <w:pPr>
        <w:spacing w:after="100"/>
        <w:ind w:left="259" w:hanging="259"/>
      </w:pPr>
      <w:r>
        <w:t>[29] “Benchmarking Unlearning for Vision Transformers,” arXiv:2602.20114, 2026. Preprint.</w:t>
      </w:r>
      <w:hyperlink r:id="rId30">
        <w:r>
          <w:rPr>
            <w:color w:val="2F5597"/>
            <w:u w:val="single"/>
            <w:rFonts w:ascii="Times New Roman" w:hAnsi="Times New Roman"/>
            <w:sz w:val="22"/>
          </w:rPr>
          <w:t>Source</w:t>
        </w:r>
      </w:hyperlink>
    </w:p>
    <w:p>
      <w:pPr>
        <w:spacing w:after="100"/>
        <w:ind w:left="259" w:hanging="259"/>
      </w:pPr>
      <w:r>
        <w:t>[30] E. Triantafillou et al., “Are we making progress in unlearning? Findings from the first NeurIPS unlearning competition,” arXiv:2406.09073, 2024.</w:t>
      </w:r>
      <w:hyperlink r:id="rId30">
        <w:r>
          <w:rPr>
            <w:color w:val="2F5597"/>
            <w:u w:val="single"/>
            <w:rFonts w:ascii="Times New Roman" w:hAnsi="Times New Roman"/>
            <w:sz w:val="22"/>
          </w:rPr>
          <w:t>Source</w:t>
        </w:r>
      </w:hyperlink>
    </w:p>
    <w:p>
      <w:pPr>
        <w:spacing w:after="100"/>
        <w:ind w:left="259" w:hanging="259"/>
      </w:pPr>
      <w:r>
        <w:t>[31] K. Zhao, M. Kurmanji, G.-O. Barbulescu, E. Triantafillou, and P. Triantafillou, “Scalability of memorization-based machine unlearning,” in NeurIPS 2024 FITML Workshop, 2024.</w:t>
      </w:r>
      <w:hyperlink r:id="rId30">
        <w:r>
          <w:rPr>
            <w:color w:val="2F5597"/>
            <w:u w:val="single"/>
            <w:rFonts w:ascii="Times New Roman" w:hAnsi="Times New Roman"/>
            <w:sz w:val="22"/>
          </w:rPr>
          <w:t>Source</w:t>
        </w:r>
      </w:hyperlink>
    </w:p>
    <w:p>
      <w:pPr>
        <w:spacing w:after="100"/>
        <w:ind w:left="259" w:hanging="259"/>
      </w:pPr>
      <w:r>
        <w:t>[32] “On the importance of multiple training seeds for evaluating machine unlearning,” arXiv:2510.26714, 2025.</w:t>
      </w:r>
      <w:hyperlink r:id="rId30">
        <w:r>
          <w:rPr>
            <w:color w:val="2F5597"/>
            <w:u w:val="single"/>
            <w:rFonts w:ascii="Times New Roman" w:hAnsi="Times New Roman"/>
            <w:sz w:val="22"/>
          </w:rPr>
          <w:t>Source</w:t>
        </w:r>
      </w:hyperlink>
    </w:p>
    <w:p>
      <w:pPr>
        <w:spacing w:after="100"/>
        <w:ind w:left="259" w:hanging="259"/>
      </w:pPr>
      <w:r>
        <w:t>[33] Y. Tu, P. Hu, and J. W. Ma, “A Reliable Cryptographic Framework for Empirical Machine Unlearning Evaluation,” arXiv:2404.11577, 2024.</w:t>
      </w:r>
      <w:hyperlink r:id="rId30">
        <w:r>
          <w:rPr>
            <w:color w:val="2F5597"/>
            <w:u w:val="single"/>
            <w:rFonts w:ascii="Times New Roman" w:hAnsi="Times New Roman"/>
            <w:sz w:val="22"/>
          </w:rPr>
          <w:t>Source</w:t>
        </w:r>
      </w:hyperlink>
    </w:p>
    <w:p>
      <w:pPr>
        <w:spacing w:after="100"/>
        <w:ind w:left="259" w:hanging="259"/>
      </w:pPr>
      <w:r>
        <w:t>[34] “Unlearning Comparator: A Visual Analytics System for Comparative Evaluation of Machine Unlearning Methods,” arXiv:2508.12730, 2025.</w:t>
      </w:r>
      <w:hyperlink r:id="rId30">
        <w:r>
          <w:rPr>
            <w:color w:val="2F5597"/>
            <w:u w:val="single"/>
            <w:rFonts w:ascii="Times New Roman" w:hAnsi="Times New Roman"/>
            <w:sz w:val="22"/>
          </w:rPr>
          <w:t>Source</w:t>
        </w:r>
      </w:hyperlink>
    </w:p>
    <w:p>
      <w:pPr>
        <w:pStyle w:val="Heading1"/>
        <w:keepNext/>
      </w:pPr>
      <w:r>
        <w:t>25. Code and Dataset Resources</w:t>
      </w:r>
    </w:p>
    <w:p>
      <w:pPr>
        <w:spacing w:after="120"/>
      </w:pPr>
      <w:r>
        <w:rPr>
          <w:i w:val="0"/>
        </w:rPr>
        <w:t>These resources reduce implementation risk. Their existence does not mean the project should copy results blindly; each imported component must be reproduced, validated and documented under the project’s common protocol.</w:t>
      </w:r>
    </w:p>
    <w:tbl>
      <w:tblPr>
        <w:tblStyle w:val="TableGrid"/>
        <w:tblW w:type="auto" w:w="0"/>
        <w:jc w:val="center"/>
        <w:tblLook w:firstColumn="1" w:firstRow="1" w:lastColumn="0" w:lastRow="0" w:noHBand="0" w:noVBand="1" w:val="04A0"/>
      </w:tblPr>
      <w:tblGrid>
        <w:gridCol w:w="3081"/>
        <w:gridCol w:w="3081"/>
        <w:gridCol w:w="3081"/>
      </w:tblGrid>
      <w:tr>
        <w:trPr>
          <w:cantSplit/>
        </w:trPr>
        <w:tc>
          <w:tcPr>
            <w:tcW w:type="dxa" w:w="3081"/>
            <w:shd w:fill="17324D"/>
          </w:tcPr>
          <w:p>
            <w:r>
              <w:rPr>
                <w:rFonts w:ascii="Times New Roman" w:hAnsi="Times New Roman"/>
                <w:b/>
                <w:color w:val="FFFFFF"/>
                <w:sz w:val="18"/>
              </w:rPr>
              <w:t>Resource</w:t>
            </w:r>
          </w:p>
        </w:tc>
        <w:tc>
          <w:tcPr>
            <w:tcW w:type="dxa" w:w="3081"/>
            <w:shd w:fill="17324D"/>
          </w:tcPr>
          <w:p>
            <w:r>
              <w:rPr>
                <w:rFonts w:ascii="Times New Roman" w:hAnsi="Times New Roman"/>
                <w:b/>
                <w:color w:val="FFFFFF"/>
                <w:sz w:val="18"/>
              </w:rPr>
              <w:t>Use in Project</w:t>
            </w:r>
          </w:p>
        </w:tc>
        <w:tc>
          <w:tcPr>
            <w:tcW w:type="dxa" w:w="3081"/>
            <w:shd w:fill="17324D"/>
          </w:tcPr>
          <w:p>
            <w:r>
              <w:rPr>
                <w:rFonts w:ascii="Times New Roman" w:hAnsi="Times New Roman"/>
                <w:b/>
                <w:color w:val="FFFFFF"/>
                <w:sz w:val="18"/>
              </w:rPr>
              <w:t>Link</w:t>
            </w:r>
          </w:p>
        </w:tc>
      </w:tr>
      <w:tr>
        <w:trPr>
          <w:cantSplit/>
        </w:trPr>
        <w:tc>
          <w:tcPr>
            <w:tcW w:type="dxa" w:w="3081"/>
          </w:tcPr>
          <w:p>
            <w:r>
              <w:rPr>
                <w:rFonts w:ascii="Times New Roman" w:hAnsi="Times New Roman"/>
                <w:sz w:val="18"/>
              </w:rPr>
              <w:t>NeurIPS Machine Unlearning starting kit</w:t>
            </w:r>
          </w:p>
        </w:tc>
        <w:tc>
          <w:tcPr>
            <w:tcW w:type="dxa" w:w="3081"/>
          </w:tcPr>
          <w:p>
            <w:r>
              <w:rPr>
                <w:rFonts w:ascii="Times New Roman" w:hAnsi="Times New Roman"/>
                <w:sz w:val="18"/>
              </w:rPr>
              <w:t>CIFAR-10 loading, baseline training/unlearning and membership-inference scoring.</w:t>
            </w:r>
          </w:p>
        </w:tc>
        <w:tc>
          <w:tcPr>
            <w:tcW w:type="dxa" w:w="3081"/>
          </w:tcPr>
          <w:p>
            <w:r>
              <w:t>Open resource</w:t>
            </w:r>
          </w:p>
        </w:tc>
      </w:tr>
      <w:tr>
        <w:trPr>
          <w:cantSplit/>
        </w:trPr>
        <w:tc>
          <w:tcPr>
            <w:tcW w:type="dxa" w:w="3081"/>
            <w:shd w:fill="F5F7F9"/>
          </w:tcPr>
          <w:p>
            <w:r>
              <w:rPr>
                <w:rFonts w:ascii="Times New Roman" w:hAnsi="Times New Roman"/>
                <w:sz w:val="18"/>
              </w:rPr>
              <w:t>SCRUB implementation</w:t>
            </w:r>
          </w:p>
        </w:tc>
        <w:tc>
          <w:tcPr>
            <w:tcW w:type="dxa" w:w="3081"/>
            <w:shd w:fill="F5F7F9"/>
          </w:tcPr>
          <w:p>
            <w:r>
              <w:rPr>
                <w:rFonts w:ascii="Times New Roman" w:hAnsi="Times New Roman"/>
                <w:sz w:val="18"/>
              </w:rPr>
              <w:t>Published SCRUB code and related MIA experiments.</w:t>
            </w:r>
          </w:p>
        </w:tc>
        <w:tc>
          <w:tcPr>
            <w:tcW w:type="dxa" w:w="3081"/>
            <w:shd w:fill="F5F7F9"/>
          </w:tcPr>
          <w:p>
            <w:r>
              <w:t>Open resource</w:t>
            </w:r>
          </w:p>
        </w:tc>
      </w:tr>
      <w:tr>
        <w:trPr>
          <w:cantSplit/>
        </w:trPr>
        <w:tc>
          <w:tcPr>
            <w:tcW w:type="dxa" w:w="3081"/>
          </w:tcPr>
          <w:p>
            <w:r>
              <w:rPr>
                <w:rFonts w:ascii="Times New Roman" w:hAnsi="Times New Roman"/>
                <w:sz w:val="18"/>
              </w:rPr>
              <w:t>RUM implementation (primary substrate)</w:t>
            </w:r>
          </w:p>
        </w:tc>
        <w:tc>
          <w:tcPr>
            <w:tcW w:type="dxa" w:w="3081"/>
          </w:tcPr>
          <w:p>
            <w:r>
              <w:rPr>
                <w:rFonts w:ascii="Times New Roman" w:hAnsi="Times New Roman"/>
                <w:sz w:val="18"/>
              </w:rPr>
              <w:t>Adopted as the experimental base: CIFAR-10 with ResNet-18, instance-level forget sets, released memorization scores, and implementations of retrain, fine-tune, L1-sparse, NegGrad variants, SCRUB, influence and SalUn, plus MIA analysis scripts.</w:t>
            </w:r>
          </w:p>
        </w:tc>
        <w:tc>
          <w:tcPr>
            <w:tcW w:type="dxa" w:w="3081"/>
          </w:tcPr>
          <w:p>
            <w:r>
              <w:t>github.com/kairanzhao/RUM</w:t>
            </w:r>
          </w:p>
        </w:tc>
      </w:tr>
      <w:tr>
        <w:trPr>
          <w:cantSplit/>
        </w:trPr>
        <w:tc>
          <w:tcPr>
            <w:tcW w:type="dxa" w:w="3081"/>
            <w:shd w:fill="F5F7F9"/>
          </w:tcPr>
          <w:p>
            <w:r>
              <w:rPr>
                <w:rFonts w:ascii="Times New Roman" w:hAnsi="Times New Roman"/>
                <w:sz w:val="18"/>
              </w:rPr>
              <w:t>CIFAR-10 memorization scores</w:t>
            </w:r>
          </w:p>
        </w:tc>
        <w:tc>
          <w:tcPr>
            <w:tcW w:type="dxa" w:w="3081"/>
            <w:shd w:fill="F5F7F9"/>
          </w:tcPr>
          <w:p>
            <w:r>
              <w:rPr>
                <w:rFonts w:ascii="Times New Roman" w:hAnsi="Times New Roman"/>
                <w:sz w:val="18"/>
              </w:rPr>
              <w:t>Released with the RUM codebase and used to construct the difficulty axis. Fallback if unavailable: cheap proxies such as confidence or holdout retraining, which correlate strongly with exact memorization at a small fraction of the cost [31].</w:t>
            </w:r>
          </w:p>
        </w:tc>
        <w:tc>
          <w:tcPr>
            <w:tcW w:type="dxa" w:w="3081"/>
            <w:shd w:fill="F5F7F9"/>
          </w:tcPr>
          <w:p>
            <w:r>
              <w:t>github.com/kairanzhao/RUM</w:t>
            </w:r>
          </w:p>
        </w:tc>
      </w:tr>
      <w:tr>
        <w:trPr>
          <w:cantSplit/>
        </w:trPr>
        <w:tc>
          <w:tcPr>
            <w:tcW w:type="dxa" w:w="3081"/>
          </w:tcPr>
          <w:p>
            <w:r>
              <w:rPr>
                <w:rFonts w:ascii="Times New Roman" w:hAnsi="Times New Roman"/>
                <w:sz w:val="18"/>
              </w:rPr>
              <w:t>torchunlearn (cross-check)</w:t>
            </w:r>
          </w:p>
        </w:tc>
        <w:tc>
          <w:tcPr>
            <w:tcW w:type="dxa" w:w="3081"/>
          </w:tcPr>
          <w:p>
            <w:r>
              <w:rPr>
                <w:rFonts w:ascii="Times New Roman" w:hAnsi="Times New Roman"/>
                <w:sz w:val="18"/>
              </w:rPr>
              <w:t>Independent MIT-licensed implementation of many of the same methods on CIFAR-10 with ResNet-18. Used to confirm that method results are not artefacts of a single codebase.</w:t>
            </w:r>
          </w:p>
        </w:tc>
        <w:tc>
          <w:tcPr>
            <w:tcW w:type="dxa" w:w="3081"/>
          </w:tcPr>
          <w:p>
            <w:r>
              <w:t>github.com/Harry24k/machine-unlearning-pytorch</w:t>
            </w:r>
          </w:p>
        </w:tc>
      </w:tr>
      <w:tr>
        <w:trPr>
          <w:cantSplit/>
        </w:trPr>
        <w:tc>
          <w:tcPr>
            <w:tcW w:type="dxa" w:w="3081"/>
          </w:tcPr>
          <w:p>
            <w:r>
              <w:rPr>
                <w:rFonts w:ascii="Times New Roman" w:hAnsi="Times New Roman"/>
                <w:sz w:val="18"/>
              </w:rPr>
              <w:t>EasyDUB checkpoints [25]</w:t>
            </w:r>
          </w:p>
        </w:tc>
        <w:tc>
          <w:tcPr>
            <w:tcW w:type="dxa" w:w="3081"/>
          </w:tcPr>
          <w:p>
            <w:r>
              <w:rPr>
                <w:rFonts w:ascii="Times New Roman" w:hAnsi="Times New Roman"/>
                <w:sz w:val="18"/>
              </w:rPr>
              <w:t>Released ensembles of oracle models for CIFAR-10, used to sanity-check the expected magnitude of oracle-to-oracle variation before generating our own ensemble. Different architecture, so a calibration reference rather than a substitute.</w:t>
            </w:r>
          </w:p>
        </w:tc>
        <w:tc>
          <w:tcPr>
            <w:tcW w:type="dxa" w:w="3081"/>
          </w:tcPr>
          <w:p>
            <w:r>
              <w:t>Hugging Face</w:t>
            </w:r>
          </w:p>
        </w:tc>
      </w:tr>
      <w:tr>
        <w:trPr>
          <w:cantSplit/>
        </w:trPr>
        <w:tc>
          <w:tcPr>
            <w:tcW w:type="dxa" w:w="3081"/>
          </w:tcPr>
          <w:p>
            <w:r>
              <w:rPr>
                <w:rFonts w:ascii="Times New Roman" w:hAnsi="Times New Roman"/>
                <w:sz w:val="18"/>
              </w:rPr>
              <w:t>Selective Synaptic Dampening (optional)</w:t>
            </w:r>
          </w:p>
        </w:tc>
        <w:tc>
          <w:tcPr>
            <w:tcW w:type="dxa" w:w="3081"/>
          </w:tcPr>
          <w:p>
            <w:r>
              <w:rPr>
                <w:rFonts w:ascii="Times New Roman" w:hAnsi="Times New Roman"/>
                <w:sz w:val="18"/>
              </w:rPr>
              <w:t>Official SSD implementation. Required only if the optional class-unlearning side condition of Section 12 is run.</w:t>
            </w:r>
          </w:p>
        </w:tc>
        <w:tc>
          <w:tcPr>
            <w:tcW w:type="dxa" w:w="3081"/>
          </w:tcPr>
          <w:p>
            <w:r>
              <w:t>github.com/if-loops/selective-synaptic-dampening</w:t>
            </w:r>
          </w:p>
        </w:tc>
      </w:tr>
    </w:tbl>
    <w:p>
      <w:r>
        <w:br w:type="page"/>
      </w:r>
    </w:p>
    <w:p>
      <w:pPr>
        <w:pStyle w:val="Heading1"/>
        <w:keepNext/>
      </w:pPr>
      <w:r>
        <w:t>Appendix A. Canonical Decision Sheet</w:t>
      </w:r>
    </w:p>
    <w:p>
      <w:pPr>
        <w:spacing w:after="120"/>
      </w:pPr>
      <w:r>
        <w:rPr>
          <w:i w:val="0"/>
        </w:rPr>
        <w:t>Use this page whenever a team member, mentor or evaluator asks what has actually been decided. Items marked “optional” should not be allowed to delay the core project.</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880"/>
            <w:shd w:fill="17324D"/>
            <w:vAlign w:val="center"/>
          </w:tcPr>
          <w:p>
            <w:r>
              <w:rPr>
                <w:rFonts w:ascii="Times New Roman" w:hAnsi="Times New Roman"/>
                <w:b/>
                <w:color w:val="FFFFFF"/>
                <w:sz w:val="19"/>
              </w:rPr>
              <w:t>Decision</w:t>
            </w:r>
          </w:p>
        </w:tc>
        <w:tc>
          <w:tcPr>
            <w:tcW w:type="dxa" w:w="6336"/>
            <w:shd w:fill="17324D"/>
            <w:vAlign w:val="center"/>
          </w:tcPr>
          <w:p>
            <w:r>
              <w:rPr>
                <w:rFonts w:ascii="Times New Roman" w:hAnsi="Times New Roman"/>
                <w:b/>
                <w:color w:val="FFFFFF"/>
                <w:sz w:val="19"/>
              </w:rPr>
              <w:t>Frozen Choice</w:t>
            </w:r>
          </w:p>
        </w:tc>
      </w:tr>
      <w:tr>
        <w:trPr>
          <w:cantSplit/>
        </w:trPr>
        <w:tc>
          <w:tcPr>
            <w:tcW w:type="dxa" w:w="2880"/>
            <w:vAlign w:val="top"/>
          </w:tcPr>
          <w:p>
            <w:pPr>
              <w:spacing w:after="40"/>
            </w:pPr>
            <w:r>
              <w:rPr>
                <w:rFonts w:ascii="Times New Roman" w:hAnsi="Times New Roman"/>
                <w:sz w:val="19"/>
              </w:rPr>
              <w:t>Topic</w:t>
            </w:r>
          </w:p>
        </w:tc>
        <w:tc>
          <w:tcPr>
            <w:tcW w:type="dxa" w:w="6336"/>
            <w:vAlign w:val="top"/>
          </w:tcPr>
          <w:p>
            <w:pPr>
              <w:spacing w:after="40"/>
            </w:pPr>
            <w:r>
              <w:rPr>
                <w:rFonts w:ascii="Times New Roman" w:hAnsi="Times New Roman"/>
                <w:sz w:val="19"/>
              </w:rPr>
              <w:t>ForgetCheck: A Retraining-Grounded Study of Audit Disagreement, Reversibility and Audit Validity in Approximate Machine Unlearning</w:t>
            </w:r>
          </w:p>
        </w:tc>
      </w:tr>
      <w:tr>
        <w:trPr>
          <w:cantSplit/>
        </w:trPr>
        <w:tc>
          <w:tcPr>
            <w:tcW w:type="dxa" w:w="2880"/>
            <w:vAlign w:val="top"/>
            <w:shd w:fill="F5F7F9"/>
          </w:tcPr>
          <w:p>
            <w:pPr>
              <w:spacing w:after="40"/>
            </w:pPr>
            <w:r>
              <w:rPr>
                <w:rFonts w:ascii="Times New Roman" w:hAnsi="Times New Roman"/>
                <w:sz w:val="19"/>
              </w:rPr>
              <w:t>Core contribution</w:t>
            </w:r>
          </w:p>
        </w:tc>
        <w:tc>
          <w:tcPr>
            <w:tcW w:type="dxa" w:w="6336"/>
            <w:vAlign w:val="top"/>
            <w:shd w:fill="F5F7F9"/>
          </w:tcPr>
          <w:p>
            <w:pPr>
              <w:spacing w:after="40"/>
            </w:pPr>
            <w:r>
              <w:rPr>
                <w:rFonts w:ascii="Times New Roman" w:hAnsi="Times New Roman"/>
                <w:sz w:val="19"/>
              </w:rPr>
              <w:t>Audit validity and cross-audit disagreement under oracle-ensemble grounding, with reversibility and forget-set difficulty as factors</w:t>
            </w:r>
          </w:p>
        </w:tc>
      </w:tr>
      <w:tr>
        <w:trPr>
          <w:cantSplit/>
        </w:trPr>
        <w:tc>
          <w:tcPr>
            <w:tcW w:type="dxa" w:w="2880"/>
            <w:vAlign w:val="top"/>
          </w:tcPr>
          <w:p>
            <w:pPr>
              <w:spacing w:after="40"/>
            </w:pPr>
            <w:r>
              <w:rPr>
                <w:rFonts w:ascii="Times New Roman" w:hAnsi="Times New Roman"/>
                <w:sz w:val="19"/>
              </w:rPr>
              <w:t>Primary dataset</w:t>
            </w:r>
          </w:p>
        </w:tc>
        <w:tc>
          <w:tcPr>
            <w:tcW w:type="dxa" w:w="6336"/>
            <w:vAlign w:val="top"/>
          </w:tcPr>
          <w:p>
            <w:pPr>
              <w:spacing w:after="40"/>
            </w:pPr>
            <w:r>
              <w:rPr>
                <w:rFonts w:ascii="Times New Roman" w:hAnsi="Times New Roman"/>
                <w:sz w:val="19"/>
              </w:rPr>
              <w:t>CIFAR-10</w:t>
            </w:r>
          </w:p>
        </w:tc>
      </w:tr>
      <w:tr>
        <w:trPr>
          <w:cantSplit/>
        </w:trPr>
        <w:tc>
          <w:tcPr>
            <w:tcW w:type="dxa" w:w="2880"/>
            <w:vAlign w:val="top"/>
            <w:shd w:fill="F5F7F9"/>
          </w:tcPr>
          <w:p>
            <w:pPr>
              <w:spacing w:after="40"/>
            </w:pPr>
            <w:r>
              <w:rPr>
                <w:rFonts w:ascii="Times New Roman" w:hAnsi="Times New Roman"/>
                <w:sz w:val="19"/>
              </w:rPr>
              <w:t>Secondary dataset</w:t>
            </w:r>
          </w:p>
        </w:tc>
        <w:tc>
          <w:tcPr>
            <w:tcW w:type="dxa" w:w="6336"/>
            <w:vAlign w:val="top"/>
            <w:shd w:fill="F5F7F9"/>
          </w:tcPr>
          <w:p>
            <w:pPr>
              <w:spacing w:after="40"/>
            </w:pPr>
            <w:r>
              <w:rPr>
                <w:rFonts w:ascii="Times New Roman" w:hAnsi="Times New Roman"/>
                <w:sz w:val="19"/>
              </w:rPr>
              <w:t>CIFAR-100 — optional</w:t>
            </w:r>
          </w:p>
        </w:tc>
      </w:tr>
      <w:tr>
        <w:trPr>
          <w:cantSplit/>
        </w:trPr>
        <w:tc>
          <w:tcPr>
            <w:tcW w:type="dxa" w:w="2880"/>
            <w:vAlign w:val="top"/>
          </w:tcPr>
          <w:p>
            <w:pPr>
              <w:spacing w:after="40"/>
            </w:pPr>
            <w:r>
              <w:rPr>
                <w:rFonts w:ascii="Times New Roman" w:hAnsi="Times New Roman"/>
                <w:sz w:val="19"/>
              </w:rPr>
              <w:t>Base model</w:t>
            </w:r>
          </w:p>
        </w:tc>
        <w:tc>
          <w:tcPr>
            <w:tcW w:type="dxa" w:w="6336"/>
            <w:vAlign w:val="top"/>
          </w:tcPr>
          <w:p>
            <w:pPr>
              <w:spacing w:after="40"/>
            </w:pPr>
            <w:r>
              <w:rPr>
                <w:rFonts w:ascii="Times New Roman" w:hAnsi="Times New Roman"/>
                <w:sz w:val="19"/>
              </w:rPr>
              <w:t>ResNet-18</w:t>
            </w:r>
          </w:p>
        </w:tc>
      </w:tr>
      <w:tr>
        <w:trPr>
          <w:cantSplit/>
        </w:trPr>
        <w:tc>
          <w:tcPr>
            <w:tcW w:type="dxa" w:w="2880"/>
            <w:vAlign w:val="top"/>
            <w:shd w:fill="F5F7F9"/>
          </w:tcPr>
          <w:p>
            <w:pPr>
              <w:spacing w:after="40"/>
            </w:pPr>
            <w:r>
              <w:rPr>
                <w:rFonts w:ascii="Times New Roman" w:hAnsi="Times New Roman"/>
                <w:sz w:val="19"/>
              </w:rPr>
              <w:t>Unlearners</w:t>
            </w:r>
          </w:p>
        </w:tc>
        <w:tc>
          <w:tcPr>
            <w:tcW w:type="dxa" w:w="6336"/>
            <w:vAlign w:val="top"/>
            <w:shd w:fill="F5F7F9"/>
          </w:tcPr>
          <w:p>
            <w:pPr>
              <w:spacing w:after="40"/>
            </w:pPr>
            <w:r>
              <w:rPr>
                <w:rFonts w:ascii="Times New Roman" w:hAnsi="Times New Roman"/>
                <w:sz w:val="19"/>
              </w:rPr>
              <w:t>Fine-tune, NegGrad+, NegGrad (destructive control), SCRUB, SalUn, L1-sparse</w:t>
            </w:r>
          </w:p>
        </w:tc>
      </w:tr>
      <w:tr>
        <w:trPr>
          <w:cantSplit/>
        </w:trPr>
        <w:tc>
          <w:tcPr>
            <w:tcW w:type="dxa" w:w="2880"/>
            <w:vAlign w:val="top"/>
          </w:tcPr>
          <w:p>
            <w:pPr>
              <w:spacing w:after="40"/>
            </w:pPr>
            <w:r>
              <w:rPr>
                <w:rFonts w:ascii="Times New Roman" w:hAnsi="Times New Roman"/>
                <w:sz w:val="19"/>
              </w:rPr>
              <w:t>Optional fifth unlearner</w:t>
            </w:r>
          </w:p>
        </w:tc>
        <w:tc>
          <w:tcPr>
            <w:tcW w:type="dxa" w:w="6336"/>
            <w:vAlign w:val="top"/>
          </w:tcPr>
          <w:p>
            <w:pPr>
              <w:spacing w:after="40"/>
            </w:pPr>
            <w:r>
              <w:rPr>
                <w:rFonts w:ascii="Times New Roman" w:hAnsi="Times New Roman"/>
                <w:sz w:val="19"/>
              </w:rPr>
              <w:t>Incompetent Teacher — optional seventh. SSD withdrawn from the core set (mechanism-task mismatch at instance level); optional class-unlearning side condition only</w:t>
            </w:r>
          </w:p>
        </w:tc>
      </w:tr>
      <w:tr>
        <w:trPr>
          <w:cantSplit/>
        </w:trPr>
        <w:tc>
          <w:tcPr>
            <w:tcW w:type="dxa" w:w="2880"/>
            <w:vAlign w:val="top"/>
            <w:shd w:fill="F5F7F9"/>
          </w:tcPr>
          <w:p>
            <w:pPr>
              <w:spacing w:after="40"/>
            </w:pPr>
            <w:r>
              <w:rPr>
                <w:rFonts w:ascii="Times New Roman" w:hAnsi="Times New Roman"/>
                <w:sz w:val="19"/>
              </w:rPr>
              <w:t>Forget sets</w:t>
            </w:r>
          </w:p>
        </w:tc>
        <w:tc>
          <w:tcPr>
            <w:tcW w:type="dxa" w:w="6336"/>
            <w:vAlign w:val="top"/>
            <w:shd w:fill="F5F7F9"/>
          </w:tcPr>
          <w:p>
            <w:pPr>
              <w:spacing w:after="40"/>
            </w:pPr>
            <w:r>
              <w:rPr>
                <w:rFonts w:ascii="Times New Roman" w:hAnsi="Times New Roman"/>
                <w:sz w:val="19"/>
              </w:rPr>
              <w:t>Size axis: random 1/5/10%. Difficulty axis at fixed size: low (negative control), medium, high memorization. Canary condition.</w:t>
            </w:r>
          </w:p>
        </w:tc>
      </w:tr>
      <w:tr>
        <w:trPr>
          <w:cantSplit/>
        </w:trPr>
        <w:tc>
          <w:tcPr>
            <w:tcW w:type="dxa" w:w="2880"/>
            <w:vAlign w:val="top"/>
          </w:tcPr>
          <w:p>
            <w:pPr>
              <w:spacing w:after="40"/>
            </w:pPr>
            <w:r>
              <w:rPr>
                <w:rFonts w:ascii="Times New Roman" w:hAnsi="Times New Roman"/>
                <w:sz w:val="19"/>
              </w:rPr>
              <w:t>Core audits</w:t>
            </w:r>
          </w:p>
        </w:tc>
        <w:tc>
          <w:tcPr>
            <w:tcW w:type="dxa" w:w="6336"/>
            <w:vAlign w:val="top"/>
          </w:tcPr>
          <w:p>
            <w:pPr>
              <w:spacing w:after="40"/>
            </w:pPr>
            <w:r>
              <w:rPr>
                <w:rFonts w:ascii="Times New Roman" w:hAnsi="Times New Roman"/>
                <w:sz w:val="19"/>
              </w:rPr>
              <w:t>Utility/behavior, MIA privacy at two attack strengths, CKA plus a second representation measure, relearning with anchor arms, and audit validity calibration</w:t>
            </w:r>
          </w:p>
        </w:tc>
      </w:tr>
      <w:tr>
        <w:trPr>
          <w:cantSplit/>
        </w:trPr>
        <w:tc>
          <w:tcPr>
            <w:tcW w:type="dxa" w:w="2880"/>
            <w:vAlign w:val="top"/>
            <w:shd w:fill="F5F7F9"/>
          </w:tcPr>
          <w:p>
            <w:pPr>
              <w:spacing w:after="40"/>
            </w:pPr>
            <w:r>
              <w:rPr>
                <w:rFonts w:ascii="Times New Roman" w:hAnsi="Times New Roman"/>
                <w:sz w:val="19"/>
              </w:rPr>
              <w:t>Core statistics</w:t>
            </w:r>
          </w:p>
        </w:tc>
        <w:tc>
          <w:tcPr>
            <w:tcW w:type="dxa" w:w="6336"/>
            <w:vAlign w:val="top"/>
            <w:shd w:fill="F5F7F9"/>
          </w:tcPr>
          <w:p>
            <w:pPr>
              <w:spacing w:after="40"/>
            </w:pPr>
            <w:r>
              <w:rPr>
                <w:rFonts w:ascii="Times New Roman" w:hAnsi="Times New Roman"/>
                <w:sz w:val="19"/>
              </w:rPr>
              <w:t>Mean/SD across at least 3 seeds; instance-level Kendall tau and Spearman with bootstrap CIs; linear mixed-effects models; disagreement rate. Rank correlation over methods is descriptive only.</w:t>
            </w:r>
          </w:p>
        </w:tc>
      </w:tr>
      <w:tr>
        <w:trPr>
          <w:cantSplit/>
        </w:trPr>
        <w:tc>
          <w:tcPr>
            <w:tcW w:type="dxa" w:w="2880"/>
            <w:vAlign w:val="top"/>
          </w:tcPr>
          <w:p>
            <w:pPr>
              <w:spacing w:after="40"/>
            </w:pPr>
            <w:r>
              <w:rPr>
                <w:rFonts w:ascii="Times New Roman" w:hAnsi="Times New Roman"/>
                <w:sz w:val="19"/>
              </w:rPr>
              <w:t>Reference</w:t>
            </w:r>
          </w:p>
        </w:tc>
        <w:tc>
          <w:tcPr>
            <w:tcW w:type="dxa" w:w="6336"/>
            <w:vAlign w:val="top"/>
          </w:tcPr>
          <w:p>
            <w:pPr>
              <w:spacing w:after="40"/>
            </w:pPr>
            <w:r>
              <w:rPr>
                <w:rFonts w:ascii="Times New Roman" w:hAnsi="Times New Roman"/>
                <w:sz w:val="19"/>
              </w:rPr>
              <w:t>Original model plus an ensemble of at least five independently retrained oracles, with at least one held out as a validity probe</w:t>
            </w:r>
          </w:p>
        </w:tc>
      </w:tr>
      <w:tr>
        <w:trPr>
          <w:cantSplit/>
        </w:trPr>
        <w:tc>
          <w:tcPr>
            <w:tcW w:type="dxa" w:w="2880"/>
            <w:vAlign w:val="top"/>
            <w:shd w:fill="F5F7F9"/>
          </w:tcPr>
          <w:p>
            <w:pPr>
              <w:spacing w:after="40"/>
            </w:pPr>
            <w:r>
              <w:rPr>
                <w:rFonts w:ascii="Times New Roman" w:hAnsi="Times New Roman"/>
                <w:sz w:val="19"/>
              </w:rPr>
              <w:t>Demo</w:t>
            </w:r>
          </w:p>
        </w:tc>
        <w:tc>
          <w:tcPr>
            <w:tcW w:type="dxa" w:w="6336"/>
            <w:vAlign w:val="top"/>
            <w:shd w:fill="F5F7F9"/>
          </w:tcPr>
          <w:p>
            <w:pPr>
              <w:spacing w:after="40"/>
            </w:pPr>
            <w:r>
              <w:rPr>
                <w:rFonts w:ascii="Times New Roman" w:hAnsi="Times New Roman"/>
                <w:sz w:val="19"/>
              </w:rPr>
              <w:t>Streamlit</w:t>
            </w:r>
          </w:p>
        </w:tc>
      </w:tr>
      <w:tr>
        <w:trPr>
          <w:cantSplit/>
        </w:trPr>
        <w:tc>
          <w:tcPr>
            <w:tcW w:type="dxa" w:w="2880"/>
            <w:vAlign w:val="top"/>
          </w:tcPr>
          <w:p>
            <w:pPr>
              <w:spacing w:after="40"/>
            </w:pPr>
            <w:r>
              <w:rPr>
                <w:rFonts w:ascii="Times New Roman" w:hAnsi="Times New Roman"/>
                <w:sz w:val="19"/>
              </w:rPr>
              <w:t>LLM/TOFU extension</w:t>
            </w:r>
          </w:p>
        </w:tc>
        <w:tc>
          <w:tcPr>
            <w:tcW w:type="dxa" w:w="6336"/>
            <w:vAlign w:val="top"/>
          </w:tcPr>
          <w:p>
            <w:pPr>
              <w:spacing w:after="40"/>
            </w:pPr>
            <w:r>
              <w:rPr>
                <w:rFonts w:ascii="Times New Roman" w:hAnsi="Times New Roman"/>
                <w:sz w:val="19"/>
              </w:rPr>
              <w:t>Withdrawn — compute and effort reallocated to calibration and the canary condition</w:t>
            </w:r>
          </w:p>
        </w:tc>
      </w:tr>
      <w:tr>
        <w:trPr>
          <w:cantSplit/>
        </w:trPr>
        <w:tc>
          <w:tcPr>
            <w:tcW w:type="dxa" w:w="2880"/>
            <w:vAlign w:val="top"/>
            <w:shd w:fill="F5F7F9"/>
          </w:tcPr>
          <w:p>
            <w:pPr>
              <w:spacing w:after="40"/>
            </w:pPr>
            <w:r>
              <w:rPr>
                <w:rFonts w:ascii="Times New Roman" w:hAnsi="Times New Roman"/>
                <w:sz w:val="19"/>
              </w:rPr>
              <w:t>Synthetic user deletion</w:t>
            </w:r>
          </w:p>
        </w:tc>
        <w:tc>
          <w:tcPr>
            <w:tcW w:type="dxa" w:w="6336"/>
            <w:vAlign w:val="top"/>
            <w:shd w:fill="F5F7F9"/>
          </w:tcPr>
          <w:p>
            <w:pPr>
              <w:spacing w:after="40"/>
            </w:pPr>
            <w:r>
              <w:rPr>
                <w:rFonts w:ascii="Times New Roman" w:hAnsi="Times New Roman"/>
                <w:sz w:val="19"/>
              </w:rPr>
              <w:t>Optional</w:t>
            </w:r>
          </w:p>
        </w:tc>
      </w:tr>
      <w:tr>
        <w:trPr>
          <w:cantSplit/>
        </w:trPr>
        <w:tc>
          <w:tcPr>
            <w:tcW w:type="dxa" w:w="2880"/>
            <w:vAlign w:val="top"/>
          </w:tcPr>
          <w:p>
            <w:pPr>
              <w:spacing w:after="40"/>
            </w:pPr>
            <w:r>
              <w:rPr>
                <w:rFonts w:ascii="Times New Roman" w:hAnsi="Times New Roman"/>
                <w:sz w:val="19"/>
              </w:rPr>
              <w:t>Formal certification / crypto proofs</w:t>
            </w:r>
          </w:p>
        </w:tc>
        <w:tc>
          <w:tcPr>
            <w:tcW w:type="dxa" w:w="6336"/>
            <w:vAlign w:val="top"/>
          </w:tcPr>
          <w:p>
            <w:pPr>
              <w:spacing w:after="40"/>
            </w:pPr>
            <w:r>
              <w:rPr>
                <w:rFonts w:ascii="Times New Roman" w:hAnsi="Times New Roman"/>
                <w:sz w:val="19"/>
              </w:rPr>
              <w:t>Out of scope</w:t>
            </w:r>
          </w:p>
        </w:tc>
      </w:tr>
      <w:tr>
        <w:trPr>
          <w:cantSplit/>
        </w:trPr>
        <w:tc>
          <w:tcPr>
            <w:tcW w:type="dxa" w:w="2880"/>
            <w:vAlign w:val="top"/>
          </w:tcPr>
          <w:p>
            <w:pPr>
              <w:spacing w:after="40"/>
            </w:pPr>
            <w:r>
              <w:rPr>
                <w:rFonts w:ascii="Times New Roman" w:hAnsi="Times New Roman"/>
                <w:sz w:val="19"/>
              </w:rPr>
              <w:t>Problem formulation</w:t>
            </w:r>
          </w:p>
        </w:tc>
        <w:tc>
          <w:tcPr>
            <w:tcW w:type="dxa" w:w="6336"/>
            <w:vAlign w:val="top"/>
          </w:tcPr>
          <w:p>
            <w:pPr>
              <w:spacing w:after="40"/>
            </w:pPr>
            <w:r>
              <w:rPr>
                <w:rFonts w:ascii="Times New Roman" w:hAnsi="Times New Roman"/>
                <w:sz w:val="19"/>
              </w:rPr>
              <w:t>Untraining [19], not concept-level Unlearning</w:t>
            </w:r>
          </w:p>
        </w:tc>
      </w:tr>
      <w:tr>
        <w:trPr>
          <w:cantSplit/>
        </w:trPr>
        <w:tc>
          <w:tcPr>
            <w:tcW w:type="dxa" w:w="2880"/>
            <w:vAlign w:val="top"/>
          </w:tcPr>
          <w:p>
            <w:pPr>
              <w:spacing w:after="40"/>
            </w:pPr>
            <w:r>
              <w:rPr>
                <w:rFonts w:ascii="Times New Roman" w:hAnsi="Times New Roman"/>
                <w:sz w:val="19"/>
              </w:rPr>
              <w:t>Training compute</w:t>
            </w:r>
          </w:p>
        </w:tc>
        <w:tc>
          <w:tcPr>
            <w:tcW w:type="dxa" w:w="6336"/>
            <w:vAlign w:val="top"/>
          </w:tcPr>
          <w:p>
            <w:pPr>
              <w:spacing w:after="40"/>
            </w:pPr>
            <w:r>
              <w:rPr>
                <w:rFonts w:ascii="Times New Roman" w:hAnsi="Times New Roman"/>
                <w:sz w:val="19"/>
              </w:rPr>
              <w:t>Kaggle GPU (four accounts); local machines are CPU-only and are used for audits and analysis, not training</w:t>
            </w:r>
          </w:p>
        </w:tc>
      </w:tr>
      <w:tr>
        <w:trPr>
          <w:cantSplit/>
        </w:trPr>
        <w:tc>
          <w:tcPr>
            <w:tcW w:type="dxa" w:w="2880"/>
            <w:vAlign w:val="top"/>
          </w:tcPr>
          <w:p>
            <w:pPr>
              <w:spacing w:after="40"/>
            </w:pPr>
            <w:r>
              <w:rPr>
                <w:rFonts w:ascii="Times New Roman" w:hAnsi="Times New Roman"/>
                <w:sz w:val="19"/>
              </w:rPr>
              <w:t>Team ownership</w:t>
            </w:r>
          </w:p>
        </w:tc>
        <w:tc>
          <w:tcPr>
            <w:tcW w:type="dxa" w:w="6336"/>
            <w:vAlign w:val="top"/>
          </w:tcPr>
          <w:p>
            <w:pPr>
              <w:spacing w:after="40"/>
            </w:pPr>
            <w:r>
              <w:rPr>
                <w:rFonts w:ascii="Times New Roman" w:hAnsi="Times New Roman"/>
                <w:sz w:val="19"/>
              </w:rPr>
              <w:t>A substrate; B behavior and privacy; C representation and relearning; D calibration, statistics and delivery</w:t>
            </w:r>
          </w:p>
        </w:tc>
      </w:tr>
    </w:tbl>
    <w:p>
      <w:pPr>
        <w:spacing w:after="20"/>
      </w:pPr>
    </w:p>
    <w:p>
      <w:pPr>
        <w:pStyle w:val="Heading1"/>
        <w:keepNext/>
      </w:pPr>
      <w:r>
        <w:t>Appendix B. Evaluation Metric Cheat Sheet</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2232"/>
            <w:shd w:fill="17324D"/>
            <w:vAlign w:val="center"/>
          </w:tcPr>
          <w:p>
            <w:r>
              <w:rPr>
                <w:rFonts w:ascii="Times New Roman" w:hAnsi="Times New Roman"/>
                <w:b/>
                <w:color w:val="FFFFFF"/>
                <w:sz w:val="17"/>
              </w:rPr>
              <w:t>Question</w:t>
            </w:r>
          </w:p>
        </w:tc>
        <w:tc>
          <w:tcPr>
            <w:tcW w:type="dxa" w:w="3384"/>
            <w:shd w:fill="17324D"/>
            <w:vAlign w:val="center"/>
          </w:tcPr>
          <w:p>
            <w:r>
              <w:rPr>
                <w:rFonts w:ascii="Times New Roman" w:hAnsi="Times New Roman"/>
                <w:b/>
                <w:color w:val="FFFFFF"/>
                <w:sz w:val="17"/>
              </w:rPr>
              <w:t>Metric / Tool</w:t>
            </w:r>
          </w:p>
        </w:tc>
        <w:tc>
          <w:tcPr>
            <w:tcW w:type="dxa" w:w="3600"/>
            <w:shd w:fill="17324D"/>
            <w:vAlign w:val="center"/>
          </w:tcPr>
          <w:p>
            <w:r>
              <w:rPr>
                <w:rFonts w:ascii="Times New Roman" w:hAnsi="Times New Roman"/>
                <w:b/>
                <w:color w:val="FFFFFF"/>
                <w:sz w:val="17"/>
              </w:rPr>
              <w:t>Interpretation Caution</w:t>
            </w:r>
          </w:p>
        </w:tc>
      </w:tr>
      <w:tr>
        <w:trPr>
          <w:cantSplit/>
        </w:trPr>
        <w:tc>
          <w:tcPr>
            <w:tcW w:type="dxa" w:w="2232"/>
            <w:vAlign w:val="top"/>
          </w:tcPr>
          <w:p>
            <w:pPr>
              <w:spacing w:after="40"/>
            </w:pPr>
            <w:r>
              <w:rPr>
                <w:rFonts w:ascii="Times New Roman" w:hAnsi="Times New Roman"/>
                <w:sz w:val="17"/>
              </w:rPr>
              <w:t>Did normal utility survive?</w:t>
            </w:r>
          </w:p>
        </w:tc>
        <w:tc>
          <w:tcPr>
            <w:tcW w:type="dxa" w:w="3384"/>
            <w:vAlign w:val="top"/>
          </w:tcPr>
          <w:p>
            <w:pPr>
              <w:spacing w:after="40"/>
            </w:pPr>
            <w:r>
              <w:rPr>
                <w:rFonts w:ascii="Times New Roman" w:hAnsi="Times New Roman"/>
                <w:sz w:val="17"/>
              </w:rPr>
              <w:t>Retain/test accuracy, F1, CE loss</w:t>
            </w:r>
          </w:p>
        </w:tc>
        <w:tc>
          <w:tcPr>
            <w:tcW w:type="dxa" w:w="3600"/>
            <w:vAlign w:val="top"/>
          </w:tcPr>
          <w:p>
            <w:pPr>
              <w:spacing w:after="40"/>
            </w:pPr>
            <w:r>
              <w:rPr>
                <w:rFonts w:ascii="Times New Roman" w:hAnsi="Times New Roman"/>
                <w:sz w:val="17"/>
              </w:rPr>
              <w:t>A damaged model can look “forgotten.”</w:t>
            </w:r>
          </w:p>
        </w:tc>
      </w:tr>
      <w:tr>
        <w:trPr>
          <w:cantSplit/>
        </w:trPr>
        <w:tc>
          <w:tcPr>
            <w:tcW w:type="dxa" w:w="2232"/>
            <w:vAlign w:val="top"/>
            <w:shd w:fill="F5F7F9"/>
          </w:tcPr>
          <w:p>
            <w:pPr>
              <w:spacing w:after="40"/>
            </w:pPr>
            <w:r>
              <w:rPr>
                <w:rFonts w:ascii="Times New Roman" w:hAnsi="Times New Roman"/>
                <w:sz w:val="17"/>
              </w:rPr>
              <w:t>Does forget behavior resemble retraining?</w:t>
            </w:r>
          </w:p>
        </w:tc>
        <w:tc>
          <w:tcPr>
            <w:tcW w:type="dxa" w:w="3384"/>
            <w:vAlign w:val="top"/>
            <w:shd w:fill="F5F7F9"/>
          </w:tcPr>
          <w:p>
            <w:pPr>
              <w:spacing w:after="40"/>
            </w:pPr>
            <w:r>
              <w:rPr>
                <w:rFonts w:ascii="Times New Roman" w:hAnsi="Times New Roman"/>
                <w:sz w:val="17"/>
              </w:rPr>
              <w:t>Forget loss/accuracy, prediction agreement</w:t>
            </w:r>
          </w:p>
        </w:tc>
        <w:tc>
          <w:tcPr>
            <w:tcW w:type="dxa" w:w="3600"/>
            <w:vAlign w:val="top"/>
            <w:shd w:fill="F5F7F9"/>
          </w:tcPr>
          <w:p>
            <w:pPr>
              <w:spacing w:after="40"/>
            </w:pPr>
            <w:r>
              <w:rPr>
                <w:rFonts w:ascii="Times New Roman" w:hAnsi="Times New Roman"/>
                <w:sz w:val="17"/>
              </w:rPr>
              <w:t>Wrong predictions are not automatically good unlearning.</w:t>
            </w:r>
          </w:p>
        </w:tc>
      </w:tr>
      <w:tr>
        <w:trPr>
          <w:cantSplit/>
        </w:trPr>
        <w:tc>
          <w:tcPr>
            <w:tcW w:type="dxa" w:w="2232"/>
            <w:vAlign w:val="top"/>
          </w:tcPr>
          <w:p>
            <w:pPr>
              <w:spacing w:after="40"/>
            </w:pPr>
            <w:r>
              <w:rPr>
                <w:rFonts w:ascii="Times New Roman" w:hAnsi="Times New Roman"/>
                <w:sz w:val="17"/>
              </w:rPr>
              <w:t>Are output distributions close?</w:t>
            </w:r>
          </w:p>
        </w:tc>
        <w:tc>
          <w:tcPr>
            <w:tcW w:type="dxa" w:w="3384"/>
            <w:vAlign w:val="top"/>
          </w:tcPr>
          <w:p>
            <w:pPr>
              <w:spacing w:after="40"/>
            </w:pPr>
            <w:r>
              <w:rPr>
                <w:rFonts w:ascii="Times New Roman" w:hAnsi="Times New Roman"/>
                <w:sz w:val="17"/>
              </w:rPr>
              <w:t>JS divergence, logit distance</w:t>
            </w:r>
          </w:p>
        </w:tc>
        <w:tc>
          <w:tcPr>
            <w:tcW w:type="dxa" w:w="3600"/>
            <w:vAlign w:val="top"/>
          </w:tcPr>
          <w:p>
            <w:pPr>
              <w:spacing w:after="40"/>
            </w:pPr>
            <w:r>
              <w:rPr>
                <w:rFonts w:ascii="Times New Roman" w:hAnsi="Times New Roman"/>
                <w:sz w:val="17"/>
              </w:rPr>
              <w:t>Account for stochastic retraining variation.</w:t>
            </w:r>
          </w:p>
        </w:tc>
      </w:tr>
      <w:tr>
        <w:trPr>
          <w:cantSplit/>
        </w:trPr>
        <w:tc>
          <w:tcPr>
            <w:tcW w:type="dxa" w:w="2232"/>
            <w:vAlign w:val="top"/>
            <w:shd w:fill="F5F7F9"/>
          </w:tcPr>
          <w:p>
            <w:pPr>
              <w:spacing w:after="40"/>
            </w:pPr>
            <w:r>
              <w:rPr>
                <w:rFonts w:ascii="Times New Roman" w:hAnsi="Times New Roman"/>
                <w:sz w:val="17"/>
              </w:rPr>
              <w:t>Can membership be inferred?</w:t>
            </w:r>
          </w:p>
        </w:tc>
        <w:tc>
          <w:tcPr>
            <w:tcW w:type="dxa" w:w="3384"/>
            <w:vAlign w:val="top"/>
            <w:shd w:fill="F5F7F9"/>
          </w:tcPr>
          <w:p>
            <w:pPr>
              <w:spacing w:after="40"/>
            </w:pPr>
            <w:r>
              <w:rPr>
                <w:rFonts w:ascii="Times New Roman" w:hAnsi="Times New Roman"/>
                <w:sz w:val="17"/>
              </w:rPr>
              <w:t>MIA ROC-AUC / attack accuracy</w:t>
            </w:r>
          </w:p>
        </w:tc>
        <w:tc>
          <w:tcPr>
            <w:tcW w:type="dxa" w:w="3600"/>
            <w:vAlign w:val="top"/>
            <w:shd w:fill="F5F7F9"/>
          </w:tcPr>
          <w:p>
            <w:pPr>
              <w:spacing w:after="40"/>
            </w:pPr>
            <w:r>
              <w:rPr>
                <w:rFonts w:ascii="Times New Roman" w:hAnsi="Times New Roman"/>
                <w:sz w:val="17"/>
              </w:rPr>
              <w:t>Passing one attack is not proof of deletion.</w:t>
            </w:r>
          </w:p>
        </w:tc>
      </w:tr>
      <w:tr>
        <w:trPr>
          <w:cantSplit/>
        </w:trPr>
        <w:tc>
          <w:tcPr>
            <w:tcW w:type="dxa" w:w="2232"/>
            <w:vAlign w:val="top"/>
          </w:tcPr>
          <w:p>
            <w:pPr>
              <w:spacing w:after="40"/>
            </w:pPr>
            <w:r>
              <w:rPr>
                <w:rFonts w:ascii="Times New Roman" w:hAnsi="Times New Roman"/>
                <w:sz w:val="17"/>
              </w:rPr>
              <w:t>Are internal representations retraining-like?</w:t>
            </w:r>
          </w:p>
        </w:tc>
        <w:tc>
          <w:tcPr>
            <w:tcW w:type="dxa" w:w="3384"/>
            <w:vAlign w:val="top"/>
          </w:tcPr>
          <w:p>
            <w:pPr>
              <w:spacing w:after="40"/>
            </w:pPr>
            <w:r>
              <w:rPr>
                <w:rFonts w:ascii="Times New Roman" w:hAnsi="Times New Roman"/>
                <w:sz w:val="17"/>
              </w:rPr>
              <w:t>CKA, activation distance, PCA</w:t>
            </w:r>
          </w:p>
        </w:tc>
        <w:tc>
          <w:tcPr>
            <w:tcW w:type="dxa" w:w="3600"/>
            <w:vAlign w:val="top"/>
          </w:tcPr>
          <w:p>
            <w:pPr>
              <w:spacing w:after="40"/>
            </w:pPr>
            <w:r>
              <w:rPr>
                <w:rFonts w:ascii="Times New Roman" w:hAnsi="Times New Roman"/>
                <w:sz w:val="17"/>
              </w:rPr>
              <w:t>Similarity is diagnostic, not direct privacy leakage.</w:t>
            </w:r>
          </w:p>
        </w:tc>
      </w:tr>
      <w:tr>
        <w:trPr>
          <w:cantSplit/>
        </w:trPr>
        <w:tc>
          <w:tcPr>
            <w:tcW w:type="dxa" w:w="2232"/>
            <w:vAlign w:val="top"/>
            <w:shd w:fill="F5F7F9"/>
          </w:tcPr>
          <w:p>
            <w:pPr>
              <w:spacing w:after="40"/>
            </w:pPr>
            <w:r>
              <w:rPr>
                <w:rFonts w:ascii="Times New Roman" w:hAnsi="Times New Roman"/>
                <w:sz w:val="17"/>
              </w:rPr>
              <w:t>Can forgotten behavior return quickly?</w:t>
            </w:r>
          </w:p>
        </w:tc>
        <w:tc>
          <w:tcPr>
            <w:tcW w:type="dxa" w:w="3384"/>
            <w:vAlign w:val="top"/>
            <w:shd w:fill="F5F7F9"/>
          </w:tcPr>
          <w:p>
            <w:pPr>
              <w:spacing w:after="40"/>
            </w:pPr>
            <w:r>
              <w:rPr>
                <w:rFonts w:ascii="Times New Roman" w:hAnsi="Times New Roman"/>
                <w:sz w:val="17"/>
              </w:rPr>
              <w:t>T80, relearning AUC</w:t>
            </w:r>
          </w:p>
        </w:tc>
        <w:tc>
          <w:tcPr>
            <w:tcW w:type="dxa" w:w="3600"/>
            <w:vAlign w:val="top"/>
            <w:shd w:fill="F5F7F9"/>
          </w:tcPr>
          <w:p>
            <w:pPr>
              <w:spacing w:after="40"/>
            </w:pPr>
            <w:r>
              <w:rPr>
                <w:rFonts w:ascii="Times New Roman" w:hAnsi="Times New Roman"/>
                <w:sz w:val="17"/>
              </w:rPr>
              <w:t>Use identical fine-tuning protocol for Mu and Mr.</w:t>
            </w:r>
          </w:p>
        </w:tc>
      </w:tr>
      <w:tr>
        <w:trPr>
          <w:cantSplit/>
        </w:trPr>
        <w:tc>
          <w:tcPr>
            <w:tcW w:type="dxa" w:w="2232"/>
            <w:vAlign w:val="top"/>
          </w:tcPr>
          <w:p>
            <w:pPr>
              <w:spacing w:after="40"/>
            </w:pPr>
            <w:r>
              <w:rPr>
                <w:rFonts w:ascii="Times New Roman" w:hAnsi="Times New Roman"/>
                <w:sz w:val="17"/>
              </w:rPr>
              <w:t>Do audit families agree?</w:t>
            </w:r>
          </w:p>
        </w:tc>
        <w:tc>
          <w:tcPr>
            <w:tcW w:type="dxa" w:w="3384"/>
            <w:vAlign w:val="top"/>
          </w:tcPr>
          <w:p>
            <w:pPr>
              <w:spacing w:after="40"/>
            </w:pPr>
            <w:r>
              <w:rPr>
                <w:rFonts w:ascii="Times New Roman" w:hAnsi="Times New Roman"/>
                <w:sz w:val="17"/>
              </w:rPr>
              <w:t>Kendall tau, disagreement rate</w:t>
            </w:r>
          </w:p>
        </w:tc>
        <w:tc>
          <w:tcPr>
            <w:tcW w:type="dxa" w:w="3600"/>
            <w:vAlign w:val="top"/>
          </w:tcPr>
          <w:p>
            <w:pPr>
              <w:spacing w:after="40"/>
            </w:pPr>
            <w:r>
              <w:rPr>
                <w:rFonts w:ascii="Times New Roman" w:hAnsi="Times New Roman"/>
                <w:sz w:val="17"/>
              </w:rPr>
              <w:t>Define metric direction and thresholds before analysis.</w:t>
            </w:r>
          </w:p>
        </w:tc>
      </w:tr>
      <w:tr>
        <w:trPr>
          <w:cantSplit/>
        </w:trPr>
        <w:tc>
          <w:tcPr>
            <w:tcW w:type="dxa" w:w="2232"/>
            <w:vAlign w:val="top"/>
            <w:shd w:fill="F5F7F9"/>
          </w:tcPr>
          <w:p>
            <w:pPr>
              <w:spacing w:after="40"/>
            </w:pPr>
            <w:r>
              <w:rPr>
                <w:rFonts w:ascii="Times New Roman" w:hAnsi="Times New Roman"/>
                <w:sz w:val="17"/>
              </w:rPr>
              <w:t>Is the metric informative?</w:t>
            </w:r>
          </w:p>
        </w:tc>
        <w:tc>
          <w:tcPr>
            <w:tcW w:type="dxa" w:w="3384"/>
            <w:vAlign w:val="top"/>
            <w:shd w:fill="F5F7F9"/>
          </w:tcPr>
          <w:p>
            <w:pPr>
              <w:spacing w:after="40"/>
            </w:pPr>
            <w:r>
              <w:rPr>
                <w:rFonts w:ascii="Times New Roman" w:hAnsi="Times New Roman"/>
                <w:sz w:val="17"/>
              </w:rPr>
              <w:t>Original-vs-retrained discriminability</w:t>
            </w:r>
          </w:p>
        </w:tc>
        <w:tc>
          <w:tcPr>
            <w:tcW w:type="dxa" w:w="3600"/>
            <w:vAlign w:val="top"/>
            <w:shd w:fill="F5F7F9"/>
          </w:tcPr>
          <w:p>
            <w:pPr>
              <w:spacing w:after="40"/>
            </w:pPr>
            <w:r>
              <w:rPr>
                <w:rFonts w:ascii="Times New Roman" w:hAnsi="Times New Roman"/>
                <w:sz w:val="17"/>
              </w:rPr>
              <w:t>Flag near-zero reference gap instead of forcing a score.</w:t>
            </w:r>
          </w:p>
        </w:tc>
      </w:tr>
      <w:tr>
        <w:trPr>
          <w:cantSplit/>
        </w:trPr>
        <w:tc>
          <w:tcPr>
            <w:tcW w:type="dxa" w:w="2232"/>
            <w:vAlign w:val="top"/>
            <w:shd w:fill="F5F7F9"/>
          </w:tcPr>
          <w:p>
            <w:pPr>
              <w:spacing w:after="40"/>
            </w:pPr>
            <w:r>
              <w:rPr>
                <w:rFonts w:ascii="Times New Roman" w:hAnsi="Times New Roman"/>
                <w:sz w:val="17"/>
              </w:rPr>
              <w:t>Does this audit ever flag a genuine retrained model?</w:t>
            </w:r>
          </w:p>
        </w:tc>
        <w:tc>
          <w:tcPr>
            <w:tcW w:type="dxa" w:w="3384"/>
            <w:vAlign w:val="top"/>
            <w:shd w:fill="F5F7F9"/>
          </w:tcPr>
          <w:p>
            <w:pPr>
              <w:spacing w:after="40"/>
            </w:pPr>
            <w:r>
              <w:rPr>
                <w:rFonts w:ascii="Times New Roman" w:hAnsi="Times New Roman"/>
                <w:sz w:val="17"/>
              </w:rPr>
              <w:t>Oracle false-positive rate over held-out retrained oracles</w:t>
            </w:r>
          </w:p>
        </w:tc>
        <w:tc>
          <w:tcPr>
            <w:tcW w:type="dxa" w:w="3600"/>
            <w:vAlign w:val="top"/>
            <w:shd w:fill="F5F7F9"/>
          </w:tcPr>
          <w:p>
            <w:pPr>
              <w:spacing w:after="40"/>
            </w:pPr>
            <w:r>
              <w:rPr>
                <w:rFonts w:ascii="Times New Roman" w:hAnsi="Times New Roman"/>
                <w:sz w:val="17"/>
              </w:rPr>
              <w:t>An audit that fails a true retrain is broken, not strict.</w:t>
            </w:r>
          </w:p>
        </w:tc>
      </w:tr>
      <w:tr>
        <w:trPr>
          <w:cantSplit/>
        </w:trPr>
        <w:tc>
          <w:tcPr>
            <w:tcW w:type="dxa" w:w="2232"/>
            <w:vAlign w:val="top"/>
            <w:shd w:fill="F5F7F9"/>
          </w:tcPr>
          <w:p>
            <w:pPr>
              <w:spacing w:after="40"/>
            </w:pPr>
            <w:r>
              <w:rPr>
                <w:rFonts w:ascii="Times New Roman" w:hAnsi="Times New Roman"/>
                <w:sz w:val="17"/>
              </w:rPr>
              <w:t>Is this audit right, not just different?</w:t>
            </w:r>
          </w:p>
        </w:tc>
        <w:tc>
          <w:tcPr>
            <w:tcW w:type="dxa" w:w="3384"/>
            <w:vAlign w:val="top"/>
            <w:shd w:fill="F5F7F9"/>
          </w:tcPr>
          <w:p>
            <w:pPr>
              <w:spacing w:after="40"/>
            </w:pPr>
            <w:r>
              <w:rPr>
                <w:rFonts w:ascii="Times New Roman" w:hAnsi="Times New Roman"/>
                <w:sz w:val="17"/>
              </w:rPr>
              <w:t>Canary-condition accuracy, sensitivity and specificity</w:t>
            </w:r>
          </w:p>
        </w:tc>
        <w:tc>
          <w:tcPr>
            <w:tcW w:type="dxa" w:w="3600"/>
            <w:vAlign w:val="top"/>
            <w:shd w:fill="F5F7F9"/>
          </w:tcPr>
          <w:p>
            <w:pPr>
              <w:spacing w:after="40"/>
            </w:pPr>
            <w:r>
              <w:rPr>
                <w:rFonts w:ascii="Times New Roman" w:hAnsi="Times New Roman"/>
                <w:sz w:val="17"/>
              </w:rPr>
              <w:t>Only valid where residual influence is known by construction.</w:t>
            </w:r>
          </w:p>
        </w:tc>
      </w:tr>
      <w:tr>
        <w:trPr>
          <w:cantSplit/>
        </w:trPr>
        <w:tc>
          <w:tcPr>
            <w:tcW w:type="dxa" w:w="2232"/>
            <w:vAlign w:val="top"/>
            <w:shd w:fill="F5F7F9"/>
          </w:tcPr>
          <w:p>
            <w:pPr>
              <w:spacing w:after="40"/>
            </w:pPr>
            <w:r>
              <w:rPr>
                <w:rFonts w:ascii="Times New Roman" w:hAnsi="Times New Roman"/>
                <w:sz w:val="17"/>
              </w:rPr>
              <w:t>Do two privacy attacks of different strength agree?</w:t>
            </w:r>
          </w:p>
        </w:tc>
        <w:tc>
          <w:tcPr>
            <w:tcW w:type="dxa" w:w="3384"/>
            <w:vAlign w:val="top"/>
            <w:shd w:fill="F5F7F9"/>
          </w:tcPr>
          <w:p>
            <w:pPr>
              <w:spacing w:after="40"/>
            </w:pPr>
            <w:r>
              <w:rPr>
                <w:rFonts w:ascii="Times New Roman" w:hAnsi="Times New Roman"/>
                <w:sz w:val="17"/>
              </w:rPr>
              <w:t>Population attack vs per-example attack (RMIA)</w:t>
            </w:r>
          </w:p>
        </w:tc>
        <w:tc>
          <w:tcPr>
            <w:tcW w:type="dxa" w:w="3600"/>
            <w:vAlign w:val="top"/>
            <w:shd w:fill="F5F7F9"/>
          </w:tcPr>
          <w:p>
            <w:pPr>
              <w:spacing w:after="40"/>
            </w:pPr>
            <w:r>
              <w:rPr>
                <w:rFonts w:ascii="Times New Roman" w:hAnsi="Times New Roman"/>
                <w:sz w:val="17"/>
              </w:rPr>
              <w:t>A population attack systematically overstates privacy [21].</w:t>
            </w:r>
          </w:p>
        </w:tc>
      </w:tr>
    </w:tbl>
    <w:p>
      <w:pPr>
        <w:spacing w:after="20"/>
      </w:pPr>
    </w:p>
    <w:tbl>
      <w:tblPr>
        <w:tblStyle w:val="TableGrid"/>
        <w:tblW w:type="auto" w:w="0"/>
        <w:jc w:val="center"/>
        <w:tblLook w:firstColumn="1" w:firstRow="1" w:lastColumn="0" w:lastRow="0" w:noHBand="0" w:noVBand="1" w:val="04A0"/>
      </w:tblPr>
      <w:tblGrid>
        <w:gridCol w:w="9242"/>
      </w:tblGrid>
      <w:tr>
        <w:trPr>
          <w:cantSplit/>
        </w:trPr>
        <w:tc>
          <w:tcPr>
            <w:tcW w:type="dxa" w:w="9242"/>
            <w:shd w:fill="DDE1F6"/>
          </w:tcPr>
          <w:p>
            <w:pPr>
              <w:spacing w:after="60"/>
            </w:pPr>
            <w:r>
              <w:rPr>
                <w:b/>
                <w:color w:val="17324D"/>
                <w:sz w:val="23"/>
              </w:rPr>
              <w:t>Project-wide final reference sentence</w:t>
            </w:r>
          </w:p>
          <w:p>
            <w:pPr>
              <w:spacing w:after="20"/>
            </w:pPr>
            <w:r>
              <w:rPr>
                <w:sz w:val="21"/>
              </w:rPr>
              <w:t>ForgetCheck does not attempt to prove absolute erasure. It asks whether different empirical audits provide consistent evidence that an approximate unlearned model behaves like a model retrained without the forgotten data, which of those audits can be trusted when they disagree, and whether both answers remain stable as deletion requests become harder.</w:t>
            </w:r>
          </w:p>
        </w:tc>
      </w:tr>
    </w:tbl>
    <w:p>
      <w:pPr>
        <w:spacing w:after="20"/>
      </w:pPr>
    </w:p>
    <w:sectPr w:rsidR="00FC693F" w:rsidRPr="0006063C" w:rsidSect="00034616">
      <w:headerReference w:type="default" r:id="rId9"/>
      <w:footerReference w:type="default" r:id="rId10"/>
      <w:pgSz w:w="11906" w:h="16838"/>
      <w:pgMar w:top="1276"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76571"/>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76571"/>
        <w:sz w:val="17"/>
      </w:rPr>
      <w:t>ForgetCheck — Master Project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324A8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2973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pPr>
    <w:rPr>
      <w:rFonts w:ascii="Times New Roman" w:hAnsi="Times New Roman"/>
      <w:b/>
      <w:color w:val="17324D"/>
      <w:sz w:val="22"/>
    </w:rPr>
  </w:style>
  <w:style w:type="paragraph" w:customStyle="1" w:styleId="KeyPoint">
    <w:name w:val="KeyPoint"/>
    <w:pPr>
      <w:spacing w:before="80" w:after="80"/>
    </w:pPr>
    <w:rPr>
      <w:rFonts w:ascii="Times New Roman" w:hAnsi="Times New Roman"/>
      <w:b/>
      <w:color w:val="29738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proceedings.mlr.press/v119/guo20c.html" TargetMode="External"/><Relationship Id="rId14" Type="http://schemas.openxmlformats.org/officeDocument/2006/relationships/hyperlink" Target="https://doi.org/10.1109/SP40001.2021.00019" TargetMode="External"/><Relationship Id="rId15" Type="http://schemas.openxmlformats.org/officeDocument/2006/relationships/hyperlink" Target="https://ojs.aaai.org/index.php/AAAI/article/view/25879" TargetMode="External"/><Relationship Id="rId16" Type="http://schemas.openxmlformats.org/officeDocument/2006/relationships/hyperlink" Target="https://papers.nips.cc/paper_files/paper/2023/hash/062d711fb777322e2152435459e6e9d9-Abstract-Conference.html" TargetMode="External"/><Relationship Id="rId17" Type="http://schemas.openxmlformats.org/officeDocument/2006/relationships/hyperlink" Target="https://papers.nips.cc/paper_files/paper/2023/hash/a204aa68ab4e970e1ceccfb5b5cdc5e4-Abstract-Conference.html" TargetMode="External"/><Relationship Id="rId18" Type="http://schemas.openxmlformats.org/officeDocument/2006/relationships/hyperlink" Target="https://ojs.aaai.org/index.php/AAAI/article/view/29092" TargetMode="External"/><Relationship Id="rId19" Type="http://schemas.openxmlformats.org/officeDocument/2006/relationships/hyperlink" Target="https://aclanthology.org/2024.findings-emnlp.271/" TargetMode="External"/><Relationship Id="rId20" Type="http://schemas.openxmlformats.org/officeDocument/2006/relationships/hyperlink" Target="https://papers.neurips.cc/paper_files/paper/2024/hash/16e18fa3b3add076c30f2a2598f03031-Abstract-Conference.html" TargetMode="External"/><Relationship Id="rId21" Type="http://schemas.openxmlformats.org/officeDocument/2006/relationships/hyperlink" Target="https://openreview.net/forum?id=B41hNBoWLo" TargetMode="External"/><Relationship Id="rId22" Type="http://schemas.openxmlformats.org/officeDocument/2006/relationships/hyperlink" Target="https://aclanthology.org/2024.findings-emnlp.706/" TargetMode="External"/><Relationship Id="rId23" Type="http://schemas.openxmlformats.org/officeDocument/2006/relationships/hyperlink" Target="https://proceedings.iclr.cc/paper_files/paper/2025/hash/4556f5398bd2c61bd7500e306b4e560a-Abstract-Conference.html" TargetMode="External"/><Relationship Id="rId24" Type="http://schemas.openxmlformats.org/officeDocument/2006/relationships/hyperlink" Target="https://doi.org/10.1038/s42256-025-00985-0" TargetMode="External"/><Relationship Id="rId25" Type="http://schemas.openxmlformats.org/officeDocument/2006/relationships/hyperlink" Target="https://openreview.net/forum?id=E5SVowO13b" TargetMode="External"/><Relationship Id="rId26" Type="http://schemas.openxmlformats.org/officeDocument/2006/relationships/hyperlink" Target="https://arxiv.org/abs/2601.19755" TargetMode="External"/><Relationship Id="rId27" Type="http://schemas.openxmlformats.org/officeDocument/2006/relationships/hyperlink" Target="https://research.google/blog/new-framework-for-auditing-machine-unlearning/" TargetMode="External"/><Relationship Id="rId28" Type="http://schemas.openxmlformats.org/officeDocument/2006/relationships/hyperlink" Target="https://arxiv.org/abs/2606.16110" TargetMode="External"/><Relationship Id="rId29" Type="http://schemas.openxmlformats.org/officeDocument/2006/relationships/hyperlink" Target="https://neurips.cc/virtual/2023/competition/66581" TargetMode="External"/><Relationship Id="rId30" Type="http://schemas.openxmlformats.org/officeDocument/2006/relationships/hyperlink" Target="https://doi.org/10.1145/3749987" TargetMode="External"/><Relationship Id="rId31" Type="http://schemas.openxmlformats.org/officeDocument/2006/relationships/hyperlink" Target="https://github.com/unlearning-challenge/starting-kit" TargetMode="External"/><Relationship Id="rId32" Type="http://schemas.openxmlformats.org/officeDocument/2006/relationships/hyperlink" Target="https://github.com/meghdadk/SCRUB" TargetMode="External"/><Relationship Id="rId33" Type="http://schemas.openxmlformats.org/officeDocument/2006/relationships/hyperlink" Target="https://github.com/kairanzhao/RUM" TargetMode="External"/><Relationship Id="rId34" Type="http://schemas.openxmlformats.org/officeDocument/2006/relationships/hyperlink" Target="https://github.com/if-loops/selective-synaptic-dampening" TargetMode="External"/><Relationship Id="rId35" Type="http://schemas.openxmlformats.org/officeDocument/2006/relationships/hyperlink" Target="https://locuslab.github.io/tof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ForgetCheck: Master Project Details and Architecture Reference</dc:title>
  <dc:subject>Machine Unlearning Undergraduate Research Project</dc:subject>
  <dc:creator>python-docx</dc:creator>
  <cp:keywords>machine unlearning, audit disagreement, reversibility, SCRUB, SSD, membership inference, CKA, CIFAR-10</cp:keywords>
  <dc:description>Master project reference version 1.0</dc:description>
  <cp:lastModifiedBy/>
  <cp:revision>1</cp:revision>
  <dcterms:created xsi:type="dcterms:W3CDTF">2013-12-23T23:15:00Z</dcterms:created>
  <dcterms:modified xsi:type="dcterms:W3CDTF">2013-12-23T23:15:00Z</dcterms:modified>
  <cp:category/>
</cp:coreProperties>
</file>