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2024 SDC Reference Notes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/>
    <w:p>
      <w:r>
        <w:t>Reference file: `data/raw/ND Population Projections.pdf`</w:t>
      </w:r>
    </w:p>
    <w:p>
      <w:r>
        <w:t>The 2024 State Data Center PDF is the best starting point for the 2026 public</w:t>
      </w:r>
    </w:p>
    <w:p>
      <w:r>
        <w:t>release because it has the right scale and public orientation. It is a compact</w:t>
      </w:r>
    </w:p>
    <w:p>
      <w:r>
        <w:t>16-page report for the state, regions, and counties, with enough narrative to</w:t>
      </w:r>
    </w:p>
    <w:p>
      <w:r>
        <w:t>stand alone and enough tables to be useful.</w:t>
      </w:r>
    </w:p>
    <w:p>
      <w:r>
        <w:t>Use it as a design and pacing reference. Do not use it as a language template.</w:t>
      </w:r>
    </w:p>
    <w:p>
      <w:r>
        <w:t>The 2026 release has a different model, a longer horizon, and a stronger</w:t>
      </w:r>
    </w:p>
    <w:p>
      <w:r>
        <w:t>scenario frame.</w:t>
      </w:r>
    </w:p>
    <w:p>
      <w:pPr>
        <w:pStyle w:val="Heading2"/>
      </w:pPr>
      <w:r>
        <w:t>What To Keep</w:t>
      </w:r>
    </w:p>
    <w:p>
      <w:r>
        <w:t>Keep the basic public-report shape:</w:t>
      </w:r>
    </w:p>
    <w:p>
      <w:pPr>
        <w:pStyle w:val="ListBullet"/>
      </w:pPr>
      <w:r>
        <w:t>Cover and agency attribution.</w:t>
      </w:r>
    </w:p>
    <w:p>
      <w:pPr>
        <w:pStyle w:val="ListBullet"/>
      </w:pPr>
      <w:r>
        <w:t>Table of contents.</w:t>
      </w:r>
    </w:p>
    <w:p>
      <w:pPr>
        <w:pStyle w:val="ListBullet"/>
      </w:pPr>
      <w:r>
        <w:t>Executive summary.</w:t>
      </w:r>
    </w:p>
    <w:p>
      <w:pPr>
        <w:pStyle w:val="ListBullet"/>
      </w:pPr>
      <w:r>
        <w:t>Statewide population chart.</w:t>
      </w:r>
    </w:p>
    <w:p>
      <w:pPr>
        <w:pStyle w:val="ListBullet"/>
      </w:pPr>
      <w:r>
        <w:t>Short methodology section.</w:t>
      </w:r>
    </w:p>
    <w:p>
      <w:pPr>
        <w:pStyle w:val="ListBullet"/>
      </w:pPr>
      <w:r>
        <w:t>Regional change section.</w:t>
      </w:r>
    </w:p>
    <w:p>
      <w:pPr>
        <w:pStyle w:val="ListBullet"/>
      </w:pPr>
      <w:r>
        <w:t>Demographic change section.</w:t>
      </w:r>
    </w:p>
    <w:p>
      <w:pPr>
        <w:pStyle w:val="ListBullet"/>
      </w:pPr>
      <w:r>
        <w:t>State and region summary.</w:t>
      </w:r>
    </w:p>
    <w:p>
      <w:pPr>
        <w:pStyle w:val="ListBullet"/>
      </w:pPr>
      <w:r>
        <w:t>County appendix.</w:t>
      </w:r>
    </w:p>
    <w:p>
      <w:pPr>
        <w:pStyle w:val="ListBullet"/>
      </w:pPr>
      <w:r>
        <w:t>Contact and download information.</w:t>
      </w:r>
    </w:p>
    <w:p>
      <w:r>
        <w:t>The prior report works because it does not ask public readers to navigate a</w:t>
      </w:r>
    </w:p>
    <w:p>
      <w:r>
        <w:t>technical package. The 2026 PDF should do the same: tell the story in the PDF,</w:t>
      </w:r>
    </w:p>
    <w:p>
      <w:r>
        <w:t>then point users to the workbook and CSV for exact values.</w:t>
      </w:r>
    </w:p>
    <w:p>
      <w:pPr>
        <w:pStyle w:val="Heading2"/>
      </w:pPr>
      <w:r>
        <w:t>What To Update For 2026</w:t>
      </w:r>
    </w:p>
    <w:p>
      <w:r>
        <w:t>The 2026 report should use baseline-only language throughout. Baseline</w:t>
      </w:r>
    </w:p>
    <w:p>
      <w:r>
        <w:t>(CBO-Adjusted) is the single public path. The unadjusted trend-continuation</w:t>
      </w:r>
    </w:p>
    <w:p>
      <w:r>
        <w:t>path stays internal, and Restricted Growth and High Growth stay out of the</w:t>
      </w:r>
    </w:p>
    <w:p>
      <w:r>
        <w:t>public marketing package.</w:t>
      </w:r>
    </w:p>
    <w:p>
      <w:r>
        <w:t>The horizon changes to 2025-2055. The report should print key years for</w:t>
      </w:r>
    </w:p>
    <w:p>
      <w:r>
        <w:t>readability and leave exact annual values to the public downloads.</w:t>
      </w:r>
    </w:p>
    <w:p>
      <w:r>
        <w:t>The methodology page should be plain-language and current. It should describe</w:t>
      </w:r>
    </w:p>
    <w:p>
      <w:r>
        <w:t>the cohort-component method, Census Population Estimates Program inputs,</w:t>
      </w:r>
    </w:p>
    <w:p>
      <w:r>
        <w:t>fertility, mortality, migration, and scenario construction. It should not read</w:t>
      </w:r>
    </w:p>
    <w:p>
      <w:r>
        <w:t>like a technical appendix.</w:t>
      </w:r>
    </w:p>
    <w:p>
      <w:r>
        <w:t>The download language should be simpler than the internal export structure. For</w:t>
      </w:r>
    </w:p>
    <w:p>
      <w:r>
        <w:t>public release, users should see one consolidated Excel workbook and one</w:t>
      </w:r>
    </w:p>
    <w:p>
      <w:r>
        <w:t>consolidated CSV covering the state, regions, and counties.</w:t>
      </w:r>
    </w:p>
    <w:p>
      <w:pPr>
        <w:pStyle w:val="Heading2"/>
      </w:pPr>
      <w:r>
        <w:t>What To Avoid</w:t>
      </w:r>
    </w:p>
    <w:p>
      <w:r>
        <w:t>Avoid anything that makes the public PDF feel like a production worksheet:</w:t>
      </w:r>
    </w:p>
    <w:p>
      <w:pPr>
        <w:pStyle w:val="ListBullet"/>
      </w:pPr>
      <w:r>
        <w:t>Internal file inventories.</w:t>
      </w:r>
    </w:p>
    <w:p>
      <w:pPr>
        <w:pStyle w:val="ListBullet"/>
      </w:pPr>
      <w:r>
        <w:t>Internal QA controls.</w:t>
      </w:r>
    </w:p>
    <w:p>
      <w:pPr>
        <w:pStyle w:val="ListBullet"/>
      </w:pPr>
      <w:r>
        <w:t>Methodology decision logs.</w:t>
      </w:r>
    </w:p>
    <w:p>
      <w:pPr>
        <w:pStyle w:val="ListBullet"/>
      </w:pPr>
      <w:r>
        <w:t>Full annual county tables.</w:t>
      </w:r>
    </w:p>
    <w:p>
      <w:pPr>
        <w:pStyle w:val="ListBullet"/>
      </w:pPr>
      <w:r>
        <w:t>Full county age-sex tables.</w:t>
      </w:r>
    </w:p>
    <w:p>
      <w:pPr>
        <w:pStyle w:val="ListBullet"/>
      </w:pPr>
      <w:r>
        <w:t>City/place projections.</w:t>
      </w:r>
    </w:p>
    <w:p>
      <w:r>
        <w:t>The PDF should give a complete public summary, not every available cut of the</w:t>
      </w:r>
    </w:p>
    <w:p>
      <w:r>
        <w:t>data.</w:t>
      </w:r>
    </w:p>
    <w:p>
      <w:pPr>
        <w:pStyle w:val="Heading2"/>
      </w:pPr>
      <w:r>
        <w:t>Practical Design Notes</w:t>
      </w:r>
    </w:p>
    <w:p>
      <w:r>
        <w:t>The 2024 report's strongest design lesson is that each section has a clear job.</w:t>
      </w:r>
    </w:p>
    <w:p>
      <w:r>
        <w:t>The statewide page establishes the main trajectory. The caution text explains</w:t>
      </w:r>
    </w:p>
    <w:p>
      <w:r>
        <w:t>why projections should be read carefully. The methodology page gives enough</w:t>
      </w:r>
    </w:p>
    <w:p>
      <w:r>
        <w:t>trust without overwhelming the reader. The regional and county sections make the</w:t>
      </w:r>
    </w:p>
    <w:p>
      <w:r>
        <w:t>statewide number local.</w:t>
      </w:r>
    </w:p>
    <w:p>
      <w:r>
        <w:t>For 2026, keep that rhythm but make the caveats more integrated. Place scenario</w:t>
      </w:r>
    </w:p>
    <w:p>
      <w:r>
        <w:t>and migration caveats near the first statewide chart, not only on the method</w:t>
      </w:r>
    </w:p>
    <w:p>
      <w:r>
        <w:t>page. Keep the county appendix readable by using selected years in the PDF and</w:t>
      </w:r>
    </w:p>
    <w:p>
      <w:r>
        <w:t>sending users to the downloads for annual values. The first statewide chart</w:t>
      </w:r>
    </w:p>
    <w:p>
      <w:r>
        <w:t>should explain the Baseline (CBO-Adjusted) assumptions and make clear that the</w:t>
      </w:r>
    </w:p>
    <w:p>
      <w:r>
        <w:t>projection is not a guaranteed future.</w:t>
      </w:r>
    </w:p>
    <w:p>
      <w:r>
        <w:t>Marketing will receive the 2024 PDF separately as the visual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