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Draft Public PDF Copy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/>
    <w:p>
      <w:r>
        <w:t>Draft for marketing layout and internal review. Numeric callouts are refreshed against the</w:t>
      </w:r>
    </w:p>
    <w:p>
      <w:r>
        <w:rPr>
          <w:b/>
        </w:rPr>
        <w:t>locked-config production run</w:t>
      </w:r>
      <w:r>
        <w:t xml:space="preserve"> as corrected by the </w:t>
      </w:r>
      <w:r>
        <w:rPr>
          <w:b/>
        </w:rPr>
        <w:t>ADR-068 amendment</w:t>
      </w:r>
      <w:r>
        <w:t xml:space="preserve"> (`m2026r1`, config</w:t>
      </w:r>
    </w:p>
    <w:p>
      <w:r>
        <w:t xml:space="preserve">sha256 `a6e0bfbc2d70be85`, full-horizon corrected run </w:t>
      </w:r>
      <w:r>
        <w:rPr>
          <w:b/>
        </w:rPr>
        <w:t>2026-06-16</w:t>
      </w:r>
      <w:r>
        <w:t>). The public path is</w:t>
      </w:r>
    </w:p>
    <w:p>
      <w:r>
        <w:rPr>
          <w:b/>
        </w:rPr>
        <w:t>Baseline (CBO-Adjusted)</w:t>
      </w:r>
      <w:r>
        <w:t xml:space="preserve"> only (ADR-065). Exact values live in the public download files; PDF</w:t>
      </w:r>
    </w:p>
    <w:p>
      <w:r>
        <w:t>figures are rounded for readability and should reconcile to the downloads. Language follows</w:t>
      </w:r>
    </w:p>
    <w:p>
      <w:r>
        <w:t xml:space="preserve">ADR-042: this is a </w:t>
      </w:r>
      <w:r>
        <w:rPr>
          <w:b/>
        </w:rPr>
        <w:t>projection</w:t>
      </w:r>
      <w:r>
        <w:t>, never a "forecast," "prediction," "expected outcome," or</w:t>
      </w:r>
    </w:p>
    <w:p>
      <w:r>
        <w:t>"most likely" path.</w:t>
      </w:r>
    </w:p>
    <w:p>
      <w:r>
        <w:t xml:space="preserve">⚠️ </w:t>
      </w:r>
      <w:r>
        <w:rPr>
          <w:b/>
        </w:rPr>
        <w:t>Hand-authored numbers — re-verify on every projection change.</w:t>
      </w:r>
      <w:r>
        <w:t xml:space="preserve"> The figures in this prose</w:t>
      </w:r>
    </w:p>
    <w:p>
      <w:r>
        <w:t xml:space="preserve">are written by hand; they do </w:t>
      </w:r>
      <w:r>
        <w:rPr>
          <w:b/>
        </w:rPr>
        <w:t>not</w:t>
      </w:r>
      <w:r>
        <w:t xml:space="preserve"> regenerate automatically from the CSV the way the workbook,</w:t>
      </w:r>
    </w:p>
    <w:p>
      <w:r>
        <w:t>the "Draft Numbers For Layout" doc, and the charts do. Whenever the locked run changes, update the</w:t>
      </w:r>
    </w:p>
    <w:p>
      <w:r>
        <w:t>callouts here against `final-run-metadata.md` / the locked public CSV — the state base + 2055</w:t>
      </w:r>
    </w:p>
    <w:p>
      <w:r>
        <w:t>total, the trough year and value, the growth %, the declining-county count, the top-three share</w:t>
      </w:r>
    </w:p>
    <w:p>
      <w:r>
        <w:t>of gains, the Cass / Williams / Burleigh / Ward / Grand Forks county figures, and the</w:t>
      </w:r>
    </w:p>
    <w:p>
      <w:r>
        <w:t>2024-edition comparison table — then re-run `scripts/exports/build_marketing_docx.py --strict`.</w:t>
      </w:r>
    </w:p>
    <w:p>
      <w:r>
        <w:t>The strict prose-sync check now hard-fails on the headline set, the declining-county count, the</w:t>
      </w:r>
    </w:p>
    <w:p>
      <w:r>
        <w:t>county callouts, and the top-three share, but it is a backstop, not a substitute for reading the</w:t>
      </w:r>
    </w:p>
    <w:p>
      <w:r>
        <w:t>copy. The 2018-vintage track-record figures (793,537 projected / 779,094 counted) are quoted from</w:t>
      </w:r>
    </w:p>
    <w:p>
      <w:r>
        <w:t>the 2024 edition's Note of Caution; if the original 2018 publication is located, re-verify them</w:t>
      </w:r>
    </w:p>
    <w:p>
      <w:r>
        <w:t>against it.</w:t>
      </w:r>
    </w:p>
    <w:p>
      <w:pPr>
        <w:pStyle w:val="Heading2"/>
      </w:pPr>
      <w:r>
        <w:t>Cover</w:t>
      </w:r>
    </w:p>
    <w:p>
      <w:r>
        <w:t>2026 North Dakota State Data Center Population Projections</w:t>
      </w:r>
    </w:p>
    <w:p>
      <w:r>
        <w:t>Of the State, Regions, and Counties</w:t>
      </w:r>
    </w:p>
    <w:p>
      <w:r>
        <w:t>2025 to 2055</w:t>
      </w:r>
    </w:p>
    <w:p>
      <w:r>
        <w:t>Prepared [PLACEHOLDER — publication date] by the North Dakota Department of Commerce, State Data</w:t>
      </w:r>
    </w:p>
    <w:p>
      <w:r>
        <w:t>Center</w:t>
      </w:r>
    </w:p>
    <w:p>
      <w:r>
        <w:t>(The title follows the series convention of the 2024 edition — vintage year first, the State Data</w:t>
      </w:r>
    </w:p>
    <w:p>
      <w:r>
        <w:t>Center named in the title, and the geographic scope as the subtitle — so the report reads as the</w:t>
      </w:r>
    </w:p>
    <w:p>
      <w:r>
        <w:t>next edition in the same series.)</w:t>
      </w:r>
    </w:p>
    <w:p>
      <w:pPr>
        <w:pStyle w:val="Heading2"/>
      </w:pPr>
      <w:r>
        <w:t>Executive Summary</w:t>
      </w:r>
    </w:p>
    <w:p>
      <w:r>
        <w:t>North Dakota's population is projected under a single public baseline path to help public</w:t>
      </w:r>
    </w:p>
    <w:p>
      <w:r>
        <w:t>agencies, communities, and residents plan for future needs. The Baseline (CBO-Adjusted) scenario</w:t>
      </w:r>
    </w:p>
    <w:p>
      <w:r>
        <w:t>applies the U.S. Congressional Budget Office (CBO) January 2026 current-policy outlook: a</w:t>
      </w:r>
    </w:p>
    <w:p>
      <w:r>
        <w:t>front-loaded reduction in net migration and a 5% reduction in fertility, layered onto a standard</w:t>
      </w:r>
    </w:p>
    <w:p>
      <w:r>
        <w:t>cohort-component projection.</w:t>
      </w:r>
    </w:p>
    <w:p>
      <w:r>
        <w:t xml:space="preserve">Under this baseline, the state's population is projected to move from about </w:t>
      </w:r>
      <w:r>
        <w:rPr>
          <w:b/>
        </w:rPr>
        <w:t>799,400 in 2025</w:t>
      </w:r>
      <w:r>
        <w:t xml:space="preserve"> to</w:t>
      </w:r>
    </w:p>
    <w:p>
      <w:r>
        <w:t xml:space="preserve">about </w:t>
      </w:r>
      <w:r>
        <w:rPr>
          <w:b/>
        </w:rPr>
        <w:t>899,000 in 2055</w:t>
      </w:r>
      <w:r>
        <w:t xml:space="preserve"> — an increase of roughly </w:t>
      </w:r>
      <w:r>
        <w:rPr>
          <w:b/>
        </w:rPr>
        <w:t>12%</w:t>
      </w:r>
      <w:r>
        <w:t xml:space="preserve"> over thirty years. The path is not a</w:t>
      </w:r>
    </w:p>
    <w:p>
      <w:r>
        <w:t>straight line: it is nearly flat in the first few years, easing to a shallow low of about **797,000</w:t>
      </w:r>
    </w:p>
    <w:p>
      <w:r>
        <w:t>around 2027**, before returning to steady growth. That early softening reflects the CBO assumption</w:t>
      </w:r>
    </w:p>
    <w:p>
      <w:r>
        <w:t>that the recent surge in migration eases under current federal policy; it is an intended feature of</w:t>
      </w:r>
    </w:p>
    <w:p>
      <w:r>
        <w:t>the assumption, not a downturn the model discovered on its own.</w:t>
      </w:r>
    </w:p>
    <w:p>
      <w:r>
        <w:t>Growth is concentrated in a small number of counties. **Thirty-six of North Dakota's 53 counties</w:t>
      </w:r>
    </w:p>
    <w:p>
      <w:r>
        <w:t>are projected to lose population** over the horizon, while most of the statewide gain occurs in and</w:t>
      </w:r>
    </w:p>
    <w:p>
      <w:r>
        <w:t>around Fargo, Bismarck, and the Bakken/Williston area. The population also shifts toward older age</w:t>
      </w:r>
    </w:p>
    <w:p>
      <w:r>
        <w:t>groups statewide.</w:t>
      </w:r>
    </w:p>
    <w:p>
      <w:r>
        <w:t>Suggested exhibit: key-number callout with the 2025 population and the 2055 baseline population,</w:t>
      </w:r>
    </w:p>
    <w:p>
      <w:r>
        <w:t>with the 2027 low noted.</w:t>
      </w:r>
    </w:p>
    <w:p>
      <w:pPr>
        <w:pStyle w:val="Heading3"/>
      </w:pPr>
      <w:r>
        <w:t>Required baseline caveats (place near the first statewide exhibit)</w:t>
      </w:r>
    </w:p>
    <w:p>
      <w:r>
        <w:t>These four caveats must travel with the statewide numbers (ADR-042):</w:t>
      </w:r>
    </w:p>
    <w:p>
      <w:pPr>
        <w:pStyle w:val="ListBullet"/>
      </w:pPr>
      <w:r>
        <w:rPr>
          <w:b/>
        </w:rPr>
        <w:t>Migration dependency.</w:t>
      </w:r>
      <w:r>
        <w:t xml:space="preserve"> About 91% of North Dakota's recent net migration (2023-2025) is</w:t>
      </w:r>
      <w:r>
        <w:t xml:space="preserve"> </w:t>
      </w:r>
      <w:r>
        <w:t>international. The baseline assumes the CBO current-policy immigration path; actual migration</w:t>
      </w:r>
      <w:r>
        <w:t xml:space="preserve"> </w:t>
      </w:r>
      <w:r>
        <w:t>will depend on federal policy, global conditions, and economic factors.</w:t>
      </w:r>
    </w:p>
    <w:p>
      <w:pPr>
        <w:pStyle w:val="ListBullet"/>
      </w:pPr>
      <w:r>
        <w:rPr>
          <w:b/>
        </w:rPr>
        <w:t>Geographic concentration.</w:t>
      </w:r>
      <w:r>
        <w:t xml:space="preserve"> More than three-quarters of all projected population gains occur</w:t>
      </w:r>
      <w:r>
        <w:t xml:space="preserve"> </w:t>
      </w:r>
      <w:r>
        <w:t>in just three counties — Cass, Williams, and Burleigh — and 36 of 53 counties, about</w:t>
      </w:r>
      <w:r>
        <w:t xml:space="preserve"> </w:t>
      </w:r>
      <w:r>
        <w:t>two-thirds, are projected to decline. Statewide totals do not reflect uniform growth across the</w:t>
      </w:r>
      <w:r>
        <w:t xml:space="preserve"> </w:t>
      </w:r>
      <w:r>
        <w:t>state.</w:t>
      </w:r>
    </w:p>
    <w:p>
      <w:pPr>
        <w:pStyle w:val="ListBullet"/>
      </w:pPr>
      <w:r>
        <w:rPr>
          <w:b/>
        </w:rPr>
        <w:t>A deliberately moderated path.</w:t>
      </w:r>
      <w:r>
        <w:t xml:space="preserve"> The public baseline grows at roughly 0.4% per year — well</w:t>
      </w:r>
      <w:r>
        <w:t xml:space="preserve"> </w:t>
      </w:r>
      <w:r>
        <w:t>below the recent migration-driven pace — because it assumes the recent surge softens under</w:t>
      </w:r>
      <w:r>
        <w:t xml:space="preserve"> </w:t>
      </w:r>
      <w:r>
        <w:t>current federal policy. Long-range population paths are uncertain and depend heavily on</w:t>
      </w:r>
      <w:r>
        <w:t xml:space="preserve"> </w:t>
      </w:r>
      <w:r>
        <w:t>assumptions that can change.</w:t>
      </w:r>
    </w:p>
    <w:p>
      <w:pPr>
        <w:pStyle w:val="ListBullet"/>
      </w:pPr>
      <w:r>
        <w:rPr>
          <w:b/>
        </w:rPr>
        <w:t>Projection, not forecast.</w:t>
      </w:r>
      <w:r>
        <w:t xml:space="preserve"> This is a projection conditioned on stated assumptions, not a</w:t>
      </w:r>
      <w:r>
        <w:t xml:space="preserve"> </w:t>
      </w:r>
      <w:r>
        <w:t>forecast. It shows one modeled outcome, not a guarantee.</w:t>
      </w:r>
    </w:p>
    <w:p>
      <w:pPr>
        <w:pStyle w:val="Heading2"/>
      </w:pPr>
      <w:r>
        <w:t>How To Read These Projections</w:t>
      </w:r>
    </w:p>
    <w:p>
      <w:r>
        <w:t>These are scenario projections. The public package presents one path: the Baseline (CBO-Adjusted).</w:t>
      </w:r>
    </w:p>
    <w:p>
      <w:r>
        <w:t>Use it as a planning path, not as a guaranteed future.</w:t>
      </w:r>
    </w:p>
    <w:p>
      <w:r>
        <w:t>The baseline reflects the CBO additive migration adjustment and the 5% fertility reduction. Other</w:t>
      </w:r>
    </w:p>
    <w:p>
      <w:r>
        <w:t>sensitivity paths exist for internal model testing, but they are not maintained for this release</w:t>
      </w:r>
    </w:p>
    <w:p>
      <w:r>
        <w:t>and are not part of the public package.</w:t>
      </w:r>
    </w:p>
    <w:p>
      <w:r>
        <w:t>Because the baseline is an assumption-based projection, the numbers should be used as planning</w:t>
      </w:r>
    </w:p>
    <w:p>
      <w:r>
        <w:t>tools rather than as a single fixed outcome. The point is not certainty; the point is to show how</w:t>
      </w:r>
    </w:p>
    <w:p>
      <w:r>
        <w:t>the population path behaves under the public baseline assumptions.</w:t>
      </w:r>
    </w:p>
    <w:p>
      <w:r>
        <w:t>Suggested exhibit: one-row baseline assumptions box (base year, fertility, migration, mortality).</w:t>
      </w:r>
    </w:p>
    <w:p>
      <w:pPr>
        <w:pStyle w:val="Heading2"/>
      </w:pPr>
      <w:r>
        <w:t>Statewide Population Outlook</w:t>
      </w:r>
    </w:p>
    <w:p>
      <w:r>
        <w:t>In the public baseline, North Dakota's population is nearly flat for the first few years, eases to a</w:t>
      </w:r>
    </w:p>
    <w:p>
      <w:r>
        <w:t>shallow low of about 797,000 around 2027, and then grows steadily to about 899,000 by 2055. The</w:t>
      </w:r>
    </w:p>
    <w:p>
      <w:r>
        <w:t>early softening is the most front-loaded part of the CBO migration assumption (the reduction is</w:t>
      </w:r>
    </w:p>
    <w:p>
      <w:r>
        <w:t>largest in 2025-2026 and eases through 2029); after that, projected net migration settles near</w:t>
      </w:r>
    </w:p>
    <w:p>
      <w:r>
        <w:t>break-even — modestly positive through the 2030s, modestly negative from the 2040s — and natural</w:t>
      </w:r>
    </w:p>
    <w:p>
      <w:r>
        <w:t>increase (births exceeding deaths) carries the long-run trend.</w:t>
      </w:r>
    </w:p>
    <w:p>
      <w:r>
        <w:t>This is a projection path, not a guaranteed future. It shows what is projected to happen if the</w:t>
      </w:r>
    </w:p>
    <w:p>
      <w:r>
        <w:t>Baseline (CBO-Adjusted) assumptions hold over time.</w:t>
      </w:r>
    </w:p>
    <w:p>
      <w:r>
        <w:t>Suggested exhibit: 2025-2055 baseline line chart, with the 2027 low labeled.</w:t>
      </w:r>
    </w:p>
    <w:p>
      <w:pPr>
        <w:pStyle w:val="Heading3"/>
      </w:pPr>
      <w:r>
        <w:t>How these projections compare with the 2024 edition</w:t>
      </w:r>
    </w:p>
    <w:p>
      <w:r>
        <w:t>This report succeeds the 2024 edition of the State Data Center's projection series, and readers</w:t>
      </w:r>
    </w:p>
    <w:p>
      <w:r>
        <w:t>who used that edition will notice the numbers have come down. The 2024 report projected North</w:t>
      </w:r>
    </w:p>
    <w:p>
      <w:r>
        <w:t>Dakota at 957,194 residents by 2050; this edition projects 883,225 for the same year — about</w:t>
      </w:r>
    </w:p>
    <w:p>
      <w:r>
        <w:t>74,000 fewer, or roughly eight percent. A revision of that size deserves a plain accounting, not a</w:t>
      </w:r>
    </w:p>
    <w:p>
      <w:r>
        <w:t>footnote.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2024 edition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edition (baseline)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831,543</w:t>
            </w:r>
          </w:p>
        </w:tc>
        <w:tc>
          <w:tcPr>
            <w:tcW w:type="dxa" w:w="2880"/>
          </w:tcPr>
          <w:p>
            <w:r>
              <w:t>804,657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890,424</w:t>
            </w:r>
          </w:p>
        </w:tc>
        <w:tc>
          <w:tcPr>
            <w:tcW w:type="dxa" w:w="2880"/>
          </w:tcPr>
          <w:p>
            <w:r>
              <w:t>848,259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957,194</w:t>
            </w:r>
          </w:p>
        </w:tc>
        <w:tc>
          <w:tcPr>
            <w:tcW w:type="dxa" w:w="2880"/>
          </w:tcPr>
          <w:p>
            <w:r>
              <w:t>883,225</w:t>
            </w:r>
          </w:p>
        </w:tc>
      </w:tr>
    </w:tbl>
    <w:p/>
    <w:p>
      <w:r>
        <w:t>Three revisions do most of the work. This edition starts from the Census Bureau's Vintage 2025</w:t>
      </w:r>
    </w:p>
    <w:p>
      <w:r>
        <w:t>estimates rather than the 2020 census, so it begins with five more years of observed change. It</w:t>
      </w:r>
    </w:p>
    <w:p>
      <w:r>
        <w:t>applies the Congressional Budget Office's January 2026 current-policy outlook, which assumes the</w:t>
      </w:r>
    </w:p>
    <w:p>
      <w:r>
        <w:t>recent migration surge eases rather than carries forward, and it lowers fertility rates five</w:t>
      </w:r>
    </w:p>
    <w:p>
      <w:r>
        <w:t>percent under the same outlook. And several county paths were re-anchored to what the intervening</w:t>
      </w:r>
    </w:p>
    <w:p>
      <w:r>
        <w:t>data shows — most visibly Ward County, which the 2024 edition projected to overtake Grand Forks as</w:t>
      </w:r>
    </w:p>
    <w:p>
      <w:r>
        <w:t>the state's third-largest county by about 2040, but which has recorded net out-migration in every</w:t>
      </w:r>
    </w:p>
    <w:p>
      <w:r>
        <w:t>year since 2020. This edition follows that record. (Williams County moves the other way: it is the</w:t>
      </w:r>
    </w:p>
    <w:p>
      <w:r>
        <w:t>one large county projected to run above its 2024-edition path.)</w:t>
      </w:r>
    </w:p>
    <w:p>
      <w:r>
        <w:t>The deeper difference between the editions is in what carries the growth. In the 2024 projection,</w:t>
      </w:r>
    </w:p>
    <w:p>
      <w:r>
        <w:t>migration did nearly all of the work by mid-century, with births minus deaths turning negative in</w:t>
      </w:r>
    </w:p>
    <w:p>
      <w:r>
        <w:t>the 2040s. This edition is close to the mirror image: net migration is assumed to ease to roughly</w:t>
      </w:r>
    </w:p>
    <w:p>
      <w:r>
        <w:t>break-even under current federal policy, and natural increase — more births than deaths, the</w:t>
      </w:r>
    </w:p>
    <w:p>
      <w:r>
        <w:t>arithmetic of a comparatively young population — carries the long run. Neither reading is a</w:t>
      </w:r>
    </w:p>
    <w:p>
      <w:r>
        <w:t>forecast; they are different stated assumptions about the one component of change no model can pin</w:t>
      </w:r>
    </w:p>
    <w:p>
      <w:r>
        <w:t>down.</w:t>
      </w:r>
    </w:p>
    <w:p>
      <w:r>
        <w:t>Suggested exhibit: the small three-row comparison table above, set beside the statewide line chart.</w:t>
      </w:r>
    </w:p>
    <w:p>
      <w:pPr>
        <w:pStyle w:val="Heading3"/>
      </w:pPr>
      <w:r>
        <w:t>How accurate have past projections been?</w:t>
      </w:r>
    </w:p>
    <w:p>
      <w:r>
        <w:t>No projection is a guarantee, but the record offers context. The most recent test came in 2020,</w:t>
      </w:r>
    </w:p>
    <w:p>
      <w:r>
        <w:t>when the decennial census checked the projection series two years after the 2018 edition was</w:t>
      </w:r>
    </w:p>
    <w:p>
      <w:r>
        <w:t xml:space="preserve">prepared: that edition put the state's 2020 population at </w:t>
      </w:r>
      <w:r>
        <w:rPr>
          <w:b/>
        </w:rPr>
        <w:t>793,537</w:t>
      </w:r>
      <w:r>
        <w:t>, and the census counted</w:t>
      </w:r>
    </w:p>
    <w:p>
      <w:r>
        <w:rPr>
          <w:b/>
        </w:rPr>
        <w:t>779,094</w:t>
      </w:r>
      <w:r>
        <w:t xml:space="preserve"> — a difference of just under </w:t>
      </w:r>
      <w:r>
        <w:rPr>
          <w:b/>
        </w:rPr>
        <w:t>two percent</w:t>
      </w:r>
      <w:r>
        <w:t xml:space="preserve"> over a two-year horizon. (The 2024</w:t>
      </w:r>
    </w:p>
    <w:p>
      <w:r>
        <w:t>edition is too recent to be scored; its first census test comes in 2030.) In our own back-testing,</w:t>
      </w:r>
    </w:p>
    <w:p>
      <w:r>
        <w:t>when the current model is launched from recent years it tracks the statewide total to within</w:t>
      </w:r>
    </w:p>
    <w:p>
      <w:r>
        <w:t xml:space="preserve">roughly </w:t>
      </w:r>
      <w:r>
        <w:rPr>
          <w:b/>
        </w:rPr>
        <w:t>1% over one year</w:t>
      </w:r>
      <w:r>
        <w:t xml:space="preserve"> and a few percent over about a decade. Accuracy decreases at longer</w:t>
      </w:r>
    </w:p>
    <w:p>
      <w:r>
        <w:t xml:space="preserve">horizons and for the smallest counties, and </w:t>
      </w:r>
      <w:r>
        <w:rPr>
          <w:b/>
        </w:rPr>
        <w:t>no method can anticipate structural breaks</w:t>
      </w:r>
      <w:r>
        <w:t xml:space="preserve"> such as</w:t>
      </w:r>
    </w:p>
    <w:p>
      <w:r>
        <w:t>an oil boom or a pandemic. The honest summary: near-term statewide figures are reliable; long-range</w:t>
      </w:r>
    </w:p>
    <w:p>
      <w:r>
        <w:t>and small-county figures carry real uncertainty and should be read as planning ranges, not point</w:t>
      </w:r>
    </w:p>
    <w:p>
      <w:r>
        <w:t>predictions.</w:t>
      </w:r>
    </w:p>
    <w:p>
      <w:pPr>
        <w:pStyle w:val="Heading2"/>
      </w:pPr>
      <w:r>
        <w:t>What Drives The Change: Births, Deaths, And Migration</w:t>
      </w:r>
    </w:p>
    <w:p>
      <w:r>
        <w:t>Population change has only three ingredients: births, deaths, and the net of arrivals and</w:t>
      </w:r>
    </w:p>
    <w:p>
      <w:r>
        <w:t>departures. Splitting the projection into those parts shows where the early dip comes from and</w:t>
      </w:r>
    </w:p>
    <w:p>
      <w:r>
        <w:t>what sustains the later growth.</w:t>
      </w:r>
    </w:p>
    <w:p>
      <w:r>
        <w:t>The early years are a migration story. The CBO current-policy assumption front-loads its</w:t>
      </w:r>
    </w:p>
    <w:p>
      <w:r>
        <w:t>reduction, so in 2026 and 2027 the assumed migration losses (about 5,400 and then 4,000 people)</w:t>
      </w:r>
    </w:p>
    <w:p>
      <w:r>
        <w:t>outweigh the steady surplus of births over deaths (about 3,700 a year), and the total slips. From</w:t>
      </w:r>
    </w:p>
    <w:p>
      <w:r>
        <w:t>2028 onward the balance tips back, and the dip ends.</w:t>
      </w:r>
    </w:p>
    <w:p>
      <w:r>
        <w:t>The rest of the horizon is a births-and-deaths story. Net migration settles near break-even —</w:t>
      </w:r>
    </w:p>
    <w:p>
      <w:r>
        <w:t>modestly positive through the 2030s, modestly negative from the 2040s — while natural increase</w:t>
      </w:r>
    </w:p>
    <w:p>
      <w:r>
        <w:t>holds steady at roughly 3,700 to 4,400 people a year. Over the full thirty years, natural increase</w:t>
      </w:r>
    </w:p>
    <w:p>
      <w:r>
        <w:t>adds about 122,000 people and net migration subtracts about 23,000; the sum is the roughly</w:t>
      </w:r>
    </w:p>
    <w:p>
      <w:r>
        <w:t>100,000-person statewide gain.</w:t>
      </w:r>
    </w:p>
    <w:p>
      <w:r>
        <w:t>This division of labor is the reverse of the 2024 edition, which carried growth almost entirely on</w:t>
      </w:r>
    </w:p>
    <w:p>
      <w:r>
        <w:t>migration by mid-century. It also says what kind of uncertainty the projection carries. Births and</w:t>
      </w:r>
    </w:p>
    <w:p>
      <w:r>
        <w:t>deaths follow age structure and change slowly; migration follows policy and economics and can turn</w:t>
      </w:r>
    </w:p>
    <w:p>
      <w:r>
        <w:t>quickly. The component doing the sustained work here is the slow-moving one — but the component</w:t>
      </w:r>
    </w:p>
    <w:p>
      <w:r>
        <w:t>that sets the near-term path is the volatile one.</w:t>
      </w:r>
    </w:p>
    <w:p>
      <w:r>
        <w:t>Suggested exhibit: paired bars by five-year period — natural increase (births minus deaths) and</w:t>
      </w:r>
    </w:p>
    <w:p>
      <w:r>
        <w:t>net migration, 2026-2055. (Label deaths as household-population deaths; group-quarters populations</w:t>
      </w:r>
    </w:p>
    <w:p>
      <w:r>
        <w:t>are held constant, as noted in the methodology.)</w:t>
      </w:r>
    </w:p>
    <w:p>
      <w:pPr>
        <w:pStyle w:val="Heading2"/>
      </w:pPr>
      <w:r>
        <w:t>Regional Population Change</w:t>
      </w:r>
    </w:p>
    <w:p>
      <w:r>
        <w:t>Regional patterns differ sharply in the baseline. Growth is concentrated in the Fargo, Bismarck,</w:t>
      </w:r>
    </w:p>
    <w:p>
      <w:r>
        <w:t>and Williston/Bakken areas, while many regions in the eastern and central-rural parts of the state</w:t>
      </w:r>
    </w:p>
    <w:p>
      <w:r>
        <w:t>are projected to decline or stay roughly flat.</w:t>
      </w:r>
    </w:p>
    <w:p>
      <w:r>
        <w:t>These regional differences are why statewide totals need local context. A statewide increase can</w:t>
      </w:r>
    </w:p>
    <w:p>
      <w:r>
        <w:t>occur while most counties — and several regions — experience population decline.</w:t>
      </w:r>
    </w:p>
    <w:p>
      <w:r>
        <w:t>Suggested exhibit: region map paired with a baseline regional change bar chart.</w:t>
      </w:r>
    </w:p>
    <w:p>
      <w:pPr>
        <w:pStyle w:val="Heading2"/>
      </w:pPr>
      <w:r>
        <w:t>County Growth And Concentration</w:t>
      </w:r>
    </w:p>
    <w:p>
      <w:r>
        <w:t>County growth is highly concentrated. A small group of counties accounts for nearly all projected</w:t>
      </w:r>
    </w:p>
    <w:p>
      <w:r>
        <w:t>gains, while the majority of counties decline:</w:t>
      </w:r>
    </w:p>
    <w:p>
      <w:pPr>
        <w:pStyle w:val="ListBullet"/>
      </w:pPr>
      <w:r>
        <w:rPr>
          <w:b/>
        </w:rPr>
        <w:t>Cass County (Fargo)</w:t>
      </w:r>
      <w:r>
        <w:t xml:space="preserve"> is projected to grow about 33%, to roughly 269,000 by 2055 — the single</w:t>
      </w:r>
      <w:r>
        <w:t xml:space="preserve"> </w:t>
      </w:r>
      <w:r>
        <w:t>largest source of statewide growth.</w:t>
      </w:r>
    </w:p>
    <w:p>
      <w:pPr>
        <w:pStyle w:val="ListBullet"/>
      </w:pPr>
      <w:r>
        <w:rPr>
          <w:b/>
        </w:rPr>
        <w:t>Williams County (Williston)</w:t>
      </w:r>
      <w:r>
        <w:t xml:space="preserve"> is projected to grow about 54%, to roughly 64,000. This continues</w:t>
      </w:r>
      <w:r>
        <w:t xml:space="preserve"> </w:t>
      </w:r>
      <w:r>
        <w:t>— at a *moderated* pace — the energy-era growth of the 2010s. The projection assumes Williams'</w:t>
      </w:r>
      <w:r>
        <w:t xml:space="preserve"> </w:t>
      </w:r>
      <w:r>
        <w:t xml:space="preserve">net in-migration runs at roughly </w:t>
      </w:r>
      <w:r>
        <w:rPr>
          <w:b/>
        </w:rPr>
        <w:t>half</w:t>
      </w:r>
      <w:r>
        <w:t xml:space="preserve"> its recent observed rate; most of the projected growth</w:t>
      </w:r>
      <w:r>
        <w:t xml:space="preserve"> </w:t>
      </w:r>
      <w:r>
        <w:t>is births exceeding deaths in an unusually young population, not new arrivals. Williams is one of</w:t>
      </w:r>
      <w:r>
        <w:t xml:space="preserve"> </w:t>
      </w:r>
      <w:r>
        <w:t>a group of young Bakken oil counties (with McKenzie and Billings) showing similar patterns.</w:t>
      </w:r>
    </w:p>
    <w:p>
      <w:pPr>
        <w:pStyle w:val="ListBullet"/>
      </w:pPr>
      <w:r>
        <w:rPr>
          <w:b/>
        </w:rPr>
        <w:t>Burleigh County (Bismarck)</w:t>
      </w:r>
      <w:r>
        <w:t xml:space="preserve"> is projected to grow about 16%, to roughly 120,000.</w:t>
      </w:r>
    </w:p>
    <w:p>
      <w:r>
        <w:t>Two large counties are projected to decline, and both are worth explaining plainly:</w:t>
      </w:r>
    </w:p>
    <w:p>
      <w:pPr>
        <w:pStyle w:val="ListBullet"/>
      </w:pPr>
      <w:r>
        <w:rPr>
          <w:b/>
        </w:rPr>
        <w:t>Ward County (Minot)</w:t>
      </w:r>
      <w:r>
        <w:t xml:space="preserve"> is projected to decline about 12%, to roughly 60,000. This follows the</w:t>
      </w:r>
      <w:r>
        <w:t xml:space="preserve"> </w:t>
      </w:r>
      <w:r>
        <w:t>data: Ward has seen net out-migration in every year since 2020. The institutional anchors (Minot</w:t>
      </w:r>
      <w:r>
        <w:t xml:space="preserve"> </w:t>
      </w:r>
      <w:r>
        <w:t>Air Force Base, Minot State University) are held steady in the model, so the decline is in the</w:t>
      </w:r>
      <w:r>
        <w:t xml:space="preserve"> </w:t>
      </w:r>
      <w:r>
        <w:t>household and working-age population.</w:t>
      </w:r>
    </w:p>
    <w:p>
      <w:pPr>
        <w:pStyle w:val="ListBullet"/>
      </w:pPr>
      <w:r>
        <w:rPr>
          <w:b/>
        </w:rPr>
        <w:t>Grand Forks County</w:t>
      </w:r>
      <w:r>
        <w:t xml:space="preserve"> is projected to be roughly flat to slightly down (about -3%, to roughly</w:t>
      </w:r>
      <w:r>
        <w:t xml:space="preserve"> </w:t>
      </w:r>
      <w:r>
        <w:t>72,000). Grand Forks' recent growth came largely from international migration — exactly the</w:t>
      </w:r>
      <w:r>
        <w:t xml:space="preserve"> </w:t>
      </w:r>
      <w:r>
        <w:t>component the CBO current-policy assumption reduces — so the shallow decline mostly reflects that</w:t>
      </w:r>
      <w:r>
        <w:t xml:space="preserve"> </w:t>
      </w:r>
      <w:r>
        <w:t>stated assumption rather than a county-specific judgment.</w:t>
      </w:r>
    </w:p>
    <w:p>
      <w:r>
        <w:t>The county pattern is one of the most important messages for public users: the statewide baseline</w:t>
      </w:r>
    </w:p>
    <w:p>
      <w:r>
        <w:t>total does not describe the experience of every county.</w:t>
      </w:r>
    </w:p>
    <w:p>
      <w:r>
        <w:t>Suggested exhibit: top-growth and largest-decline county bars, or a county map with a compact</w:t>
      </w:r>
    </w:p>
    <w:p>
      <w:r>
        <w:t>ranked table.</w:t>
      </w:r>
    </w:p>
    <w:p>
      <w:pPr>
        <w:pStyle w:val="Heading2"/>
      </w:pPr>
      <w:r>
        <w:t>Age Structure</w:t>
      </w:r>
    </w:p>
    <w:p>
      <w:r>
        <w:t>The baseline shows different patterns by age group. The population age 65 and older grows as a share</w:t>
      </w:r>
    </w:p>
    <w:p>
      <w:r>
        <w:t>of the total (the statewide median age rises from about 35 in 2025 to about 40 by 2055), while the</w:t>
      </w:r>
    </w:p>
    <w:p>
      <w:r>
        <w:t>under-18 share slowly declines and the working-age population grows modestly.</w:t>
      </w:r>
    </w:p>
    <w:p>
      <w:r>
        <w:t>These shifts have practical implications. A larger older population affects health care, long-term</w:t>
      </w:r>
    </w:p>
    <w:p>
      <w:r>
        <w:t>care, transportation, housing, and community services. Working-age growth affects labor supply and</w:t>
      </w:r>
    </w:p>
    <w:p>
      <w:r>
        <w:t>economic planning. A comparatively flat under-18 population affects school and family-service</w:t>
      </w:r>
    </w:p>
    <w:p>
      <w:r>
        <w:t>planning differently across counties.</w:t>
      </w:r>
    </w:p>
    <w:p>
      <w:r>
        <w:t>Suggested exhibit: age-group trend chart with under 18, 18-64, 65+, and 85+; and a 2025-vs-2055</w:t>
      </w:r>
    </w:p>
    <w:p>
      <w:r>
        <w:t>population pyramid.</w:t>
      </w:r>
    </w:p>
    <w:p>
      <w:pPr>
        <w:pStyle w:val="Heading2"/>
      </w:pPr>
      <w:r>
        <w:t>Methodology Summary</w:t>
      </w:r>
    </w:p>
    <w:p>
      <w:r>
        <w:t>The projections use a cohort-component method. The model begins with a base population by age, sex,</w:t>
      </w:r>
    </w:p>
    <w:p>
      <w:r>
        <w:t>race and ethnicity, and geography, then advances the population year by year using fertility,</w:t>
      </w:r>
    </w:p>
    <w:p>
      <w:r>
        <w:t>mortality, and migration assumptions.</w:t>
      </w:r>
    </w:p>
    <w:p>
      <w:r>
        <w:t>The public baseline uses Census Population Estimates Program data (Vintage 2025 base of about</w:t>
      </w:r>
    </w:p>
    <w:p>
      <w:r>
        <w:t>799,400), North Dakota and national fertility inputs reduced 5% under the CBO current-policy</w:t>
      </w:r>
    </w:p>
    <w:p>
      <w:r>
        <w:t>outlook, survival assumptions with gradual mortality improvement, and residual migration rates with</w:t>
      </w:r>
    </w:p>
    <w:p>
      <w:r>
        <w:t>the CBO additive migration adjustment applied on a front-loaded schedule. State totals are built</w:t>
      </w:r>
    </w:p>
    <w:p>
      <w:r>
        <w:t>from the 53 county projections so that county, regional, and state outputs remain internally</w:t>
      </w:r>
    </w:p>
    <w:p>
      <w:r>
        <w:t>consistent.</w:t>
      </w:r>
    </w:p>
    <w:p>
      <w:pPr>
        <w:pStyle w:val="Heading2"/>
      </w:pPr>
      <w:r>
        <w:t>Cautions And Data Availability</w:t>
      </w:r>
    </w:p>
    <w:p>
      <w:r>
        <w:t>Long-term population projections are sensitive to migration. North Dakota's recent growth has</w:t>
      </w:r>
    </w:p>
    <w:p>
      <w:r>
        <w:t>depended heavily on migration — much of it international — and those patterns can change with</w:t>
      </w:r>
    </w:p>
    <w:p>
      <w:r>
        <w:t>federal policy, global conditions, economic cycles, housing availability, and local labor demand.</w:t>
      </w:r>
    </w:p>
    <w:p>
      <w:r>
        <w:t>Growth is also geographically concentrated. In the baseline, a small group of counties accounts for</w:t>
      </w:r>
    </w:p>
    <w:p>
      <w:r>
        <w:t>nearly all gross growth, while 36 of 53 counties decline. Users should review county and regional</w:t>
      </w:r>
    </w:p>
    <w:p>
      <w:r>
        <w:t>detail instead of relying only on statewide totals.</w:t>
      </w:r>
    </w:p>
    <w:p>
      <w:r>
        <w:t>The public download package includes one consolidated Excel workbook and one consolidated CSV</w:t>
      </w:r>
    </w:p>
    <w:p>
      <w:r>
        <w:t>covering the state, regions, and counties, 2025-2055. City and place projections are not included</w:t>
      </w:r>
    </w:p>
    <w:p>
      <w:r>
        <w:t>in the public release.</w:t>
      </w:r>
    </w:p>
    <w:p>
      <w:pPr>
        <w:pStyle w:val="Heading2"/>
      </w:pPr>
      <w:r>
        <w:t>Contact And Downloads</w:t>
      </w:r>
    </w:p>
    <w:p>
      <w:r>
        <w:t>Full data downloads (Excel workbook and CSV) with exact annual values for the state, all eight</w:t>
      </w:r>
    </w:p>
    <w:p>
      <w:r>
        <w:t>planning regions, and all 53 counties are available from the North Dakota State Data Center:</w:t>
      </w:r>
    </w:p>
    <w:p>
      <w:pPr>
        <w:pStyle w:val="ListBullet"/>
      </w:pPr>
      <w:r>
        <w:t>Website: [PLACEHOLDER — public projections landing page URL]</w:t>
      </w:r>
    </w:p>
    <w:p>
      <w:pPr>
        <w:pStyle w:val="ListBullet"/>
      </w:pPr>
      <w:r>
        <w:t>Direct downloads: [PLACEHOLDER — Excel workbook link], [PLACEHOLDER — CSV link]</w:t>
      </w:r>
    </w:p>
    <w:p>
      <w:pPr>
        <w:pStyle w:val="ListBullet"/>
      </w:pPr>
      <w:r>
        <w:t>Questions and methodology: [PLACEHOLDER — State Data Center contact email]</w:t>
      </w:r>
    </w:p>
    <w:p>
      <w:pPr>
        <w:pStyle w:val="ListBullet"/>
      </w:pPr>
      <w:r>
        <w:t>North Dakota Department of Commerce, State Data Center, [PLACEHOLDER — phone]</w:t>
      </w:r>
    </w:p>
    <w:p>
      <w:r>
        <w:t>The PDF presents rounded values at key years for readability; the downloads carry the exact annual</w:t>
      </w:r>
    </w:p>
    <w:p>
      <w:r>
        <w:t>figures. Where a PDF number and a download number appear to differ, the download value is</w:t>
      </w:r>
    </w:p>
    <w:p>
      <w:r>
        <w:t>authoritative.</w:t>
      </w:r>
    </w:p>
    <w:p>
      <w:r>
        <w:t>(Marketing: replace each [PLACEHOLDER] with the live release URLs and the current State Data Center</w:t>
      </w:r>
    </w:p>
    <w:p>
      <w:r>
        <w:t>contact block before publication.)</w:t>
      </w:r>
    </w:p>
    <w:p>
      <w:pPr>
        <w:pStyle w:val="Heading2"/>
      </w:pPr>
      <w:r>
        <w:t>County Appendix Intro</w:t>
      </w:r>
    </w:p>
    <w:p>
      <w:r>
        <w:t>The county appendix provides Baseline (CBO-Adjusted) values at selected years for all 53 North</w:t>
      </w:r>
    </w:p>
    <w:p>
      <w:r>
        <w:t>Dakota counties. Exact annual values live in the public download files.</w:t>
      </w:r>
    </w:p>
    <w:p>
      <w:r>
        <w:t>Use key years only in the PDF (2025, 2030, 2035, 2040, 2045, 2050, 2055) so the appendix remains</w:t>
      </w:r>
    </w:p>
    <w:p>
      <w:r>
        <w:t>readable. The downloads provide the full annual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