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PUB-2026 PDF Report Storyboard</w:t>
      </w:r>
    </w:p>
    <w:p>
      <w:r>
        <w:rPr>
          <w:i/>
          <w:color w:val="808080"/>
          <w:sz w:val="16"/>
        </w:rPr>
        <w:t>Pre-publication marketing draft. Numbers are final/locked from the production run m2026r1 / cfg-20260611-production-lock — ADR-068 corrected full-horizon run (2026-06-15 + 2026-06-16 survival-horizon amendment; config sha256(16) a6e0bfbc2d70be85); this document is DRAFT only because public layout and release are pending, not because the data is provisional. Generated by scripts/exports/build_marketing_docx.py — do not hand-edit; rerun the generator instead.</w:t>
      </w:r>
    </w:p>
    <w:p/>
    <w:p>
      <w:r>
        <w:t>Target length: 12-16 pages.</w:t>
      </w:r>
    </w:p>
    <w:p>
      <w:r>
        <w:t>Audience: public stakeholders, state and local planners, elected officials,</w:t>
      </w:r>
    </w:p>
    <w:p>
      <w:r>
        <w:t>agency staff, media, and interested residents.</w:t>
      </w:r>
    </w:p>
    <w:p>
      <w:r>
        <w:t>Use the 2024 SDC PDF as the pacing model: a compact public report with a clear</w:t>
      </w:r>
    </w:p>
    <w:p>
      <w:r>
        <w:t>statewide story, a short methodology section, regional and county context, and</w:t>
      </w:r>
    </w:p>
    <w:p>
      <w:r>
        <w:t>a county appendix. The 2026 report should keep that approachable structure</w:t>
      </w:r>
    </w:p>
    <w:p>
      <w:r>
        <w:t>while staying baseline-only in the public package.</w:t>
      </w:r>
    </w:p>
    <w:p>
      <w:pPr>
        <w:pStyle w:val="Heading2"/>
      </w:pPr>
      <w:r>
        <w:t>Story Arc</w:t>
      </w:r>
    </w:p>
    <w:p>
      <w:r>
        <w:t>The report should answer six reader questions:</w:t>
      </w:r>
    </w:p>
    <w:p>
      <w:pPr>
        <w:pStyle w:val="ListBullet"/>
      </w:pPr>
      <w:r>
        <w:t>What do the 2026 baseline projections say about North Dakota's statewide population?</w:t>
      </w:r>
    </w:p>
    <w:p>
      <w:pPr>
        <w:pStyle w:val="ListBullet"/>
      </w:pPr>
      <w:r>
        <w:t>How do these projections compare with the 2024 edition, and why did the numbers change?</w:t>
      </w:r>
    </w:p>
    <w:p>
      <w:pPr>
        <w:pStyle w:val="ListBullet"/>
      </w:pPr>
      <w:r>
        <w:t>What assumptions shape the public baseline?</w:t>
      </w:r>
    </w:p>
    <w:p>
      <w:pPr>
        <w:pStyle w:val="ListBullet"/>
      </w:pPr>
      <w:r>
        <w:t>Where is growth concentrated, and where is decline projected?</w:t>
      </w:r>
    </w:p>
    <w:p>
      <w:pPr>
        <w:pStyle w:val="ListBullet"/>
      </w:pPr>
      <w:r>
        <w:t>How does the age structure change?</w:t>
      </w:r>
    </w:p>
    <w:p>
      <w:pPr>
        <w:pStyle w:val="ListBullet"/>
      </w:pPr>
      <w:r>
        <w:t>Where can users find exact values after reading the PDF?</w:t>
      </w:r>
    </w:p>
    <w:p>
      <w:r>
        <w:t>The Baseline (CBO-Adjusted) scenario carries the main narrative thread. The</w:t>
      </w:r>
    </w:p>
    <w:p>
      <w:r>
        <w:t>unadjusted trend-continuation path is internal only, and the restricted/high</w:t>
      </w:r>
    </w:p>
    <w:p>
      <w:r>
        <w:t>sensitivities are not part of the public package.</w:t>
      </w:r>
    </w:p>
    <w:p>
      <w:pPr>
        <w:pStyle w:val="Heading2"/>
      </w:pPr>
      <w:r>
        <w:t>Page-By-Page Storyboard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Reader takeaway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Likely content and exhibit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This is the next edition of the State Data Center's projection series.</w:t>
            </w:r>
          </w:p>
        </w:tc>
        <w:tc>
          <w:tcPr>
            <w:tcW w:type="dxa" w:w="2880"/>
          </w:tcPr>
          <w:p>
            <w:r>
              <w:t>Cover following the series title convention ("2026 North Dakota State Data Center Population Projections — Of the State, Regions, and Counties"), horizon line, preparation date, agency attribution, North Dakota map or clean population graphic.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The report is short enough to navigate quickly.</w:t>
            </w:r>
          </w:p>
        </w:tc>
        <w:tc>
          <w:tcPr>
            <w:tcW w:type="dxa" w:w="2880"/>
          </w:tcPr>
          <w:p>
            <w:r>
              <w:t>Table of contents matching the 2024 report style.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Statewide growth in the public baseline is the lead story.</w:t>
            </w:r>
          </w:p>
        </w:tc>
        <w:tc>
          <w:tcPr>
            <w:tcW w:type="dxa" w:w="2880"/>
          </w:tcPr>
          <w:p>
            <w:r>
              <w:t>Executive summary with key-number callout: 2025 population and 2055 baseline.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The projections are conditional planning assumptions.</w:t>
            </w:r>
          </w:p>
        </w:tc>
        <w:tc>
          <w:tcPr>
            <w:tcW w:type="dxa" w:w="2880"/>
          </w:tcPr>
          <w:p>
            <w:r>
              <w:t>Plain-language baseline description covering the CBO additive migration adjustment and the -5% fertility adjustment.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The statewide path is easier to read as a single baseline line.</w:t>
            </w:r>
          </w:p>
        </w:tc>
        <w:tc>
          <w:tcPr>
            <w:tcW w:type="dxa" w:w="2880"/>
          </w:tcPr>
          <w:p>
            <w:r>
              <w:t>2025-2055 line chart with a short caveat that this is a projection, not a guaranteed future.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Key years make the public baseline easier to compare — including against the 2024 edition.</w:t>
            </w:r>
          </w:p>
        </w:tc>
        <w:tc>
          <w:tcPr>
            <w:tcW w:type="dxa" w:w="2880"/>
          </w:tcPr>
          <w:p>
            <w:r>
              <w:t>Baseline table for 2025, 2030, 2035, 2040, 2045, 2050, and 2055, paired with the "How these projections compare with the 2024 edition" box (three-row 2030/2040/2050 comparison table plus the short explanation of what changed).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The dip and the growth have different engines.</w:t>
            </w:r>
          </w:p>
        </w:tc>
        <w:tc>
          <w:tcPr>
            <w:tcW w:type="dxa" w:w="2880"/>
          </w:tcPr>
          <w:p>
            <w:r>
              <w:t>Components-of-change exhibit: natural increase vs. net migration by five-year period, with the plain-language reading (early dip = front-loaded migration assumption; long run = steady natural increase).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Regional change is uneven.</w:t>
            </w:r>
          </w:p>
        </w:tc>
        <w:tc>
          <w:tcPr>
            <w:tcW w:type="dxa" w:w="2880"/>
          </w:tcPr>
          <w:p>
            <w:r>
              <w:t>Eight-region map plus baseline change bars.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County growth is concentrated in a smaller group of counties.</w:t>
            </w:r>
          </w:p>
        </w:tc>
        <w:tc>
          <w:tcPr>
            <w:tcW w:type="dxa" w:w="2880"/>
          </w:tcPr>
          <w:p>
            <w:r>
              <w:t>Top-growth and largest-decline county bars, or a county map with a compact ranked table.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Age groups do not move in the same direction.</w:t>
            </w:r>
          </w:p>
        </w:tc>
        <w:tc>
          <w:tcPr>
            <w:tcW w:type="dxa" w:w="2880"/>
          </w:tcPr>
          <w:p>
            <w:r>
              <w:t>Trend chart for under 18, 18-64, 65+, and 85+.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The age structure is visibly shifting toward older residents.</w:t>
            </w:r>
          </w:p>
        </w:tc>
        <w:tc>
          <w:tcPr>
            <w:tcW w:type="dxa" w:w="2880"/>
          </w:tcPr>
          <w:p>
            <w:r>
              <w:t>Population pyramid: state 2025 vs 2055 baseline (side-by-side, overlaid, or stacked) with a short sex-ratio callout. Race/ethnicity only if final review supports a simple public display.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The method is standard and understandable.</w:t>
            </w:r>
          </w:p>
        </w:tc>
        <w:tc>
          <w:tcPr>
            <w:tcW w:type="dxa" w:w="2880"/>
          </w:tcPr>
          <w:p>
            <w:r>
              <w:t>Plain-language cohort-component method box covering base data, fertility, mortality, migration, and the baseline construction; pointer to the standalone companion explainer ("How These Projections Work") as the methods appendix / linked companion.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Readers need cautions and download guidance before using the numbers.</w:t>
            </w:r>
          </w:p>
        </w:tc>
        <w:tc>
          <w:tcPr>
            <w:tcW w:type="dxa" w:w="2880"/>
          </w:tcPr>
          <w:p>
            <w:r>
              <w:t>Migration sensitivity, geographic concentration, city/place exclusion, and public Excel/CSV description.</w:t>
            </w:r>
          </w:p>
        </w:tc>
      </w:tr>
      <w:tr>
        <w:tc>
          <w:tcPr>
            <w:tcW w:type="dxa" w:w="2880"/>
          </w:tcPr>
          <w:p>
            <w:r>
              <w:t>14-16</w:t>
            </w:r>
          </w:p>
        </w:tc>
        <w:tc>
          <w:tcPr>
            <w:tcW w:type="dxa" w:w="2880"/>
          </w:tcPr>
          <w:p>
            <w:r>
              <w:t>County users can find their county without opening the workbook.</w:t>
            </w:r>
          </w:p>
        </w:tc>
        <w:tc>
          <w:tcPr>
            <w:tcW w:type="dxa" w:w="2880"/>
          </w:tcPr>
          <w:p>
            <w:r>
              <w:t>Baseline key-year county appendix; exact annual values live in downloads.</w:t>
            </w:r>
          </w:p>
        </w:tc>
      </w:tr>
    </w:tbl>
    <w:p/>
    <w:p>
      <w:pPr>
        <w:pStyle w:val="Heading2"/>
      </w:pPr>
      <w:r>
        <w:t>Exhibits To Prepare</w:t>
      </w:r>
    </w:p>
    <w:p>
      <w:pPr>
        <w:pStyle w:val="ListBullet"/>
      </w:pPr>
      <w:r>
        <w:t>State population by year, 2025-2055, baseline only.</w:t>
      </w:r>
    </w:p>
    <w:p>
      <w:pPr>
        <w:pStyle w:val="ListBullet"/>
      </w:pPr>
      <w:r>
        <w:t>Baseline key-year table for 2025, 2030, 2035, 2040, 2045, 2050, and 2055.</w:t>
      </w:r>
    </w:p>
    <w:p>
      <w:pPr>
        <w:pStyle w:val="ListBullet"/>
      </w:pPr>
      <w:r>
        <w:t>2024-edition comparison table (2030/2040/2050, both editions).</w:t>
      </w:r>
    </w:p>
    <w:p>
      <w:pPr>
        <w:pStyle w:val="ListBullet"/>
      </w:pPr>
      <w:r>
        <w:t>Components-of-change chart: natural increase vs. net migration by five-year period, 2026-2055</w:t>
      </w:r>
      <w:r>
        <w:t xml:space="preserve"> </w:t>
      </w:r>
      <w:r>
        <w:t>(label deaths as household-population deaths; group quarters held constant).</w:t>
      </w:r>
    </w:p>
    <w:p>
      <w:pPr>
        <w:pStyle w:val="ListBullet"/>
      </w:pPr>
      <w:r>
        <w:t>Region map and baseline regional change chart.</w:t>
      </w:r>
    </w:p>
    <w:p>
      <w:pPr>
        <w:pStyle w:val="ListBullet"/>
      </w:pPr>
      <w:r>
        <w:t>Top-growth and largest-decline county exhibit.</w:t>
      </w:r>
    </w:p>
    <w:p>
      <w:pPr>
        <w:pStyle w:val="ListBullet"/>
      </w:pPr>
      <w:r>
        <w:t>Age-group trend chart for under 18, 18-64, 65+, and 85+.</w:t>
      </w:r>
    </w:p>
    <w:p>
      <w:pPr>
        <w:pStyle w:val="ListBullet"/>
      </w:pPr>
      <w:r>
        <w:t>Population pyramid for state 2025 vs 2055 baseline.</w:t>
      </w:r>
    </w:p>
    <w:p>
      <w:pPr>
        <w:pStyle w:val="ListBullet"/>
      </w:pPr>
      <w:r>
        <w:t>County appendix table with selected baseline years.</w:t>
      </w:r>
    </w:p>
    <w:p>
      <w:r>
        <w:t>If space allows, add a small callout showing the share of statewide growth</w:t>
      </w:r>
    </w:p>
    <w:p>
      <w:r>
        <w:t>concentrated in the largest growth counties. Avoid full annual county tables,</w:t>
      </w:r>
    </w:p>
    <w:p>
      <w:r>
        <w:t>city/place tables, and detailed age-sex tables in the PDF.</w:t>
      </w:r>
    </w:p>
    <w:p>
      <w:pPr>
        <w:pStyle w:val="Heading2"/>
      </w:pPr>
      <w:r>
        <w:t>Relationship To The 2024 PDF</w:t>
      </w:r>
    </w:p>
    <w:p>
      <w:r>
        <w:t>Keep:</w:t>
      </w:r>
    </w:p>
    <w:p>
      <w:pPr>
        <w:pStyle w:val="ListBullet"/>
      </w:pPr>
      <w:r>
        <w:t>Sixteen-page public-report scale.</w:t>
      </w:r>
    </w:p>
    <w:p>
      <w:pPr>
        <w:pStyle w:val="ListBullet"/>
      </w:pPr>
      <w:r>
        <w:t>Cover, table of contents, executive summary, statewide chart, methodology,</w:t>
      </w:r>
      <w:r>
        <w:t xml:space="preserve"> </w:t>
      </w:r>
      <w:r>
        <w:t>components-of-change exhibit, regional section, demographic section, county</w:t>
      </w:r>
      <w:r>
        <w:t xml:space="preserve"> </w:t>
      </w:r>
      <w:r>
        <w:t>appendix, and contact page.</w:t>
      </w:r>
    </w:p>
    <w:p>
      <w:pPr>
        <w:pStyle w:val="ListBullet"/>
      </w:pPr>
      <w:r>
        <w:t>The series title convention (vintage year + "North Dakota State Data Center</w:t>
      </w:r>
      <w:r>
        <w:t xml:space="preserve"> </w:t>
      </w:r>
      <w:r>
        <w:t>Population Projections" + geographic-scope subtitle + preparation date).</w:t>
      </w:r>
    </w:p>
    <w:p>
      <w:pPr>
        <w:pStyle w:val="ListBullet"/>
      </w:pPr>
      <w:r>
        <w:t>The precedent of discussing prior projection vintages in public (the 2024</w:t>
      </w:r>
      <w:r>
        <w:t xml:space="preserve"> </w:t>
      </w:r>
      <w:r>
        <w:t>Note of Caution benchmarked the 2018 SDC projections and the 2005 Census</w:t>
      </w:r>
      <w:r>
        <w:t xml:space="preserve"> </w:t>
      </w:r>
      <w:r>
        <w:t>Bureau projections).</w:t>
      </w:r>
    </w:p>
    <w:p>
      <w:pPr>
        <w:pStyle w:val="ListBullet"/>
      </w:pPr>
      <w:r>
        <w:t>Plain-language interpretation beside charts and tables.</w:t>
      </w:r>
    </w:p>
    <w:p>
      <w:r>
        <w:t>Update:</w:t>
      </w:r>
    </w:p>
    <w:p>
      <w:pPr>
        <w:pStyle w:val="ListBullet"/>
      </w:pPr>
      <w:r>
        <w:t>Replace multi-scenario language with baseline-only language.</w:t>
      </w:r>
    </w:p>
    <w:p>
      <w:pPr>
        <w:pStyle w:val="ListBullet"/>
      </w:pPr>
      <w:r>
        <w:t>Extend the horizon to 2025-2055.</w:t>
      </w:r>
    </w:p>
    <w:p>
      <w:pPr>
        <w:pStyle w:val="ListBullet"/>
      </w:pPr>
      <w:r>
        <w:t>Make the baseline assumptions explicit, including the CBO additive</w:t>
      </w:r>
      <w:r>
        <w:t xml:space="preserve"> </w:t>
      </w:r>
      <w:r>
        <w:t>migration adjustment and the -5% fertility adjustment.</w:t>
      </w:r>
    </w:p>
    <w:p>
      <w:pPr>
        <w:pStyle w:val="ListBullet"/>
      </w:pPr>
      <w:r>
        <w:t>Use current cohort-component method language.</w:t>
      </w:r>
    </w:p>
    <w:p>
      <w:pPr>
        <w:pStyle w:val="ListBullet"/>
      </w:pPr>
      <w:r>
        <w:t>Add the "How these projections compare with the 2024 edition" box (the 2050</w:t>
      </w:r>
      <w:r>
        <w:t xml:space="preserve"> </w:t>
      </w:r>
      <w:r>
        <w:t>headline moved down ~74,000; Ward's path reversed — readers of the 2024</w:t>
      </w:r>
      <w:r>
        <w:t xml:space="preserve"> </w:t>
      </w:r>
      <w:r>
        <w:t>edition get the bridge, not a silent revision).</w:t>
      </w:r>
    </w:p>
    <w:p>
      <w:pPr>
        <w:pStyle w:val="ListBullet"/>
      </w:pPr>
      <w:r>
        <w:t>Add clear public download language for one Excel workbook and one CSV.</w:t>
      </w:r>
    </w:p>
    <w:p>
      <w:pPr>
        <w:pStyle w:val="ListBullet"/>
      </w:pPr>
      <w:r>
        <w:t>Add the standalone plain-language methods companion ("How These Projections</w:t>
      </w:r>
      <w:r>
        <w:t xml:space="preserve"> </w:t>
      </w:r>
      <w:r>
        <w:t>Work") as a linked companion or bound-in appendix.</w:t>
      </w:r>
    </w:p>
    <w:p>
      <w:r>
        <w:t>Move out of the PDF:</w:t>
      </w:r>
    </w:p>
    <w:p>
      <w:pPr>
        <w:pStyle w:val="ListBullet"/>
      </w:pPr>
      <w:r>
        <w:t>Detailed age-sex tables.</w:t>
      </w:r>
    </w:p>
    <w:p>
      <w:pPr>
        <w:pStyle w:val="ListBullet"/>
      </w:pPr>
      <w:r>
        <w:t>Technical package inventories.</w:t>
      </w:r>
    </w:p>
    <w:p>
      <w:pPr>
        <w:pStyle w:val="ListBullet"/>
      </w:pPr>
      <w:r>
        <w:t>City/place projections.</w:t>
      </w:r>
    </w:p>
    <w:p>
      <w:pPr>
        <w:pStyle w:val="ListBullet"/>
      </w:pPr>
      <w:r>
        <w:t>Internal QA or production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