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Draft Numbers For Layout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(commit 12fa6f9, 2026-06-13); this document is DRAFT only because public layout and release are pending, not because the data is provisional. Generated by scripts/exports/build_marketing_docx.py — do not hand-edit; rerun the generator instead.</w:t>
      </w:r>
    </w:p>
    <w:p>
      <w:r>
        <w:rPr>
          <w:b/>
        </w:rPr>
        <w:t>Rounded layout values from the locked Baseline (CBO-Adjusted) public run. Exact annual values live in the public CSV/workbook; the downloads are authoritative.</w:t>
      </w:r>
    </w:p>
    <w:p/>
    <w:p>
      <w:pPr>
        <w:pStyle w:val="Heading2"/>
      </w:pPr>
      <w:r>
        <w:t>Statewide baseline, key years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Population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 vs 2025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799,000</w:t>
            </w:r>
          </w:p>
        </w:tc>
        <w:tc>
          <w:tcPr>
            <w:tcW w:type="dxa" w:w="2880"/>
          </w:tcPr>
          <w:p>
            <w:r>
              <w:t>+0.0%</w:t>
            </w:r>
          </w:p>
        </w:tc>
      </w:tr>
      <w:tr>
        <w:tc>
          <w:tcPr>
            <w:tcW w:type="dxa" w:w="2880"/>
          </w:tcPr>
          <w:p>
            <w:r>
              <w:t>2030</w:t>
            </w:r>
          </w:p>
        </w:tc>
        <w:tc>
          <w:tcPr>
            <w:tcW w:type="dxa" w:w="2880"/>
          </w:tcPr>
          <w:p>
            <w:r>
              <w:t>792,000</w:t>
            </w:r>
          </w:p>
        </w:tc>
        <w:tc>
          <w:tcPr>
            <w:tcW w:type="dxa" w:w="2880"/>
          </w:tcPr>
          <w:p>
            <w:r>
              <w:t>-0.9%</w:t>
            </w:r>
          </w:p>
        </w:tc>
      </w:tr>
      <w:tr>
        <w:tc>
          <w:tcPr>
            <w:tcW w:type="dxa" w:w="2880"/>
          </w:tcPr>
          <w:p>
            <w:r>
              <w:t>2035</w:t>
            </w:r>
          </w:p>
        </w:tc>
        <w:tc>
          <w:tcPr>
            <w:tcW w:type="dxa" w:w="2880"/>
          </w:tcPr>
          <w:p>
            <w:r>
              <w:t>814,000</w:t>
            </w:r>
          </w:p>
        </w:tc>
        <w:tc>
          <w:tcPr>
            <w:tcW w:type="dxa" w:w="2880"/>
          </w:tcPr>
          <w:p>
            <w:r>
              <w:t>+1.9%</w:t>
            </w:r>
          </w:p>
        </w:tc>
      </w:tr>
      <w:tr>
        <w:tc>
          <w:tcPr>
            <w:tcW w:type="dxa" w:w="2880"/>
          </w:tcPr>
          <w:p>
            <w:r>
              <w:t>2040</w:t>
            </w:r>
          </w:p>
        </w:tc>
        <w:tc>
          <w:tcPr>
            <w:tcW w:type="dxa" w:w="2880"/>
          </w:tcPr>
          <w:p>
            <w:r>
              <w:t>837,000</w:t>
            </w:r>
          </w:p>
        </w:tc>
        <w:tc>
          <w:tcPr>
            <w:tcW w:type="dxa" w:w="2880"/>
          </w:tcPr>
          <w:p>
            <w:r>
              <w:t>+4.7%</w:t>
            </w:r>
          </w:p>
        </w:tc>
      </w:tr>
      <w:tr>
        <w:tc>
          <w:tcPr>
            <w:tcW w:type="dxa" w:w="2880"/>
          </w:tcPr>
          <w:p>
            <w:r>
              <w:t>2045</w:t>
            </w:r>
          </w:p>
        </w:tc>
        <w:tc>
          <w:tcPr>
            <w:tcW w:type="dxa" w:w="2880"/>
          </w:tcPr>
          <w:p>
            <w:r>
              <w:t>855,000</w:t>
            </w:r>
          </w:p>
        </w:tc>
        <w:tc>
          <w:tcPr>
            <w:tcW w:type="dxa" w:w="2880"/>
          </w:tcPr>
          <w:p>
            <w:r>
              <w:t>+7.0%</w:t>
            </w:r>
          </w:p>
        </w:tc>
      </w:tr>
      <w:tr>
        <w:tc>
          <w:tcPr>
            <w:tcW w:type="dxa" w:w="2880"/>
          </w:tcPr>
          <w:p>
            <w:r>
              <w:t>2050</w:t>
            </w:r>
          </w:p>
        </w:tc>
        <w:tc>
          <w:tcPr>
            <w:tcW w:type="dxa" w:w="2880"/>
          </w:tcPr>
          <w:p>
            <w:r>
              <w:t>873,000</w:t>
            </w:r>
          </w:p>
        </w:tc>
        <w:tc>
          <w:tcPr>
            <w:tcW w:type="dxa" w:w="2880"/>
          </w:tcPr>
          <w:p>
            <w:r>
              <w:t>+9.2%</w:t>
            </w:r>
          </w:p>
        </w:tc>
      </w:tr>
      <w:tr>
        <w:tc>
          <w:tcPr>
            <w:tcW w:type="dxa" w:w="2880"/>
          </w:tcPr>
          <w:p>
            <w:r>
              <w:t>2055</w:t>
            </w:r>
          </w:p>
        </w:tc>
        <w:tc>
          <w:tcPr>
            <w:tcW w:type="dxa" w:w="2880"/>
          </w:tcPr>
          <w:p>
            <w:r>
              <w:t>889,000</w:t>
            </w:r>
          </w:p>
        </w:tc>
        <w:tc>
          <w:tcPr>
            <w:tcW w:type="dxa" w:w="2880"/>
          </w:tcPr>
          <w:p>
            <w:r>
              <w:t>+11.2%</w:t>
            </w:r>
          </w:p>
        </w:tc>
      </w:tr>
    </w:tbl>
    <w:p/>
    <w:p>
      <w:r>
        <w:rPr>
          <w:b/>
        </w:rPr>
        <w:t>Trough:</w:t>
      </w:r>
      <w:r>
        <w:t xml:space="preserve"> about 787,000 around 2028 (the intended CBO front-loaded migration ramp), before steady recovery to 2055.</w:t>
      </w:r>
    </w:p>
    <w:p>
      <w:pPr>
        <w:pStyle w:val="Heading2"/>
      </w:pPr>
      <w:r>
        <w:t>Regional change, 2025 to 2055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Fargo</w:t>
            </w:r>
          </w:p>
        </w:tc>
        <w:tc>
          <w:tcPr>
            <w:tcW w:type="dxa" w:w="2160"/>
          </w:tcPr>
          <w:p>
            <w:r>
              <w:t>238,000</w:t>
            </w:r>
          </w:p>
        </w:tc>
        <w:tc>
          <w:tcPr>
            <w:tcW w:type="dxa" w:w="2160"/>
          </w:tcPr>
          <w:p>
            <w:r>
              <w:t>297,000</w:t>
            </w:r>
          </w:p>
        </w:tc>
        <w:tc>
          <w:tcPr>
            <w:tcW w:type="dxa" w:w="2160"/>
          </w:tcPr>
          <w:p>
            <w:r>
              <w:t>+25.1%</w:t>
            </w:r>
          </w:p>
        </w:tc>
      </w:tr>
      <w:tr>
        <w:tc>
          <w:tcPr>
            <w:tcW w:type="dxa" w:w="2160"/>
          </w:tcPr>
          <w:p>
            <w:r>
              <w:t>Bismarck</w:t>
            </w:r>
          </w:p>
        </w:tc>
        <w:tc>
          <w:tcPr>
            <w:tcW w:type="dxa" w:w="2160"/>
          </w:tcPr>
          <w:p>
            <w:r>
              <w:t>171,000</w:t>
            </w:r>
          </w:p>
        </w:tc>
        <w:tc>
          <w:tcPr>
            <w:tcW w:type="dxa" w:w="2160"/>
          </w:tcPr>
          <w:p>
            <w:r>
              <w:t>194,000</w:t>
            </w:r>
          </w:p>
        </w:tc>
        <w:tc>
          <w:tcPr>
            <w:tcW w:type="dxa" w:w="2160"/>
          </w:tcPr>
          <w:p>
            <w:r>
              <w:t>+13.5%</w:t>
            </w:r>
          </w:p>
        </w:tc>
      </w:tr>
      <w:tr>
        <w:tc>
          <w:tcPr>
            <w:tcW w:type="dxa" w:w="2160"/>
          </w:tcPr>
          <w:p>
            <w:r>
              <w:t>Williston</w:t>
            </w:r>
          </w:p>
        </w:tc>
        <w:tc>
          <w:tcPr>
            <w:tcW w:type="dxa" w:w="2160"/>
          </w:tcPr>
          <w:p>
            <w:r>
              <w:t>59,000</w:t>
            </w:r>
          </w:p>
        </w:tc>
        <w:tc>
          <w:tcPr>
            <w:tcW w:type="dxa" w:w="2160"/>
          </w:tcPr>
          <w:p>
            <w:r>
              <w:t>92,000</w:t>
            </w:r>
          </w:p>
        </w:tc>
        <w:tc>
          <w:tcPr>
            <w:tcW w:type="dxa" w:w="2160"/>
          </w:tcPr>
          <w:p>
            <w:r>
              <w:t>+56.4%</w:t>
            </w:r>
          </w:p>
        </w:tc>
      </w:tr>
      <w:tr>
        <w:tc>
          <w:tcPr>
            <w:tcW w:type="dxa" w:w="2160"/>
          </w:tcPr>
          <w:p>
            <w:r>
              <w:t>Minot</w:t>
            </w:r>
          </w:p>
        </w:tc>
        <w:tc>
          <w:tcPr>
            <w:tcW w:type="dxa" w:w="2160"/>
          </w:tcPr>
          <w:p>
            <w:r>
              <w:t>97,000</w:t>
            </w:r>
          </w:p>
        </w:tc>
        <w:tc>
          <w:tcPr>
            <w:tcW w:type="dxa" w:w="2160"/>
          </w:tcPr>
          <w:p>
            <w:r>
              <w:t>87,000</w:t>
            </w:r>
          </w:p>
        </w:tc>
        <w:tc>
          <w:tcPr>
            <w:tcW w:type="dxa" w:w="2160"/>
          </w:tcPr>
          <w:p>
            <w:r>
              <w:t>-10.8%</w:t>
            </w:r>
          </w:p>
        </w:tc>
      </w:tr>
      <w:tr>
        <w:tc>
          <w:tcPr>
            <w:tcW w:type="dxa" w:w="2160"/>
          </w:tcPr>
          <w:p>
            <w:r>
              <w:t>Grand Forks</w:t>
            </w:r>
          </w:p>
        </w:tc>
        <w:tc>
          <w:tcPr>
            <w:tcW w:type="dxa" w:w="2160"/>
          </w:tcPr>
          <w:p>
            <w:r>
              <w:t>94,000</w:t>
            </w:r>
          </w:p>
        </w:tc>
        <w:tc>
          <w:tcPr>
            <w:tcW w:type="dxa" w:w="2160"/>
          </w:tcPr>
          <w:p>
            <w:r>
              <w:t>86,000</w:t>
            </w:r>
          </w:p>
        </w:tc>
        <w:tc>
          <w:tcPr>
            <w:tcW w:type="dxa" w:w="2160"/>
          </w:tcPr>
          <w:p>
            <w:r>
              <w:t>-8.3%</w:t>
            </w:r>
          </w:p>
        </w:tc>
      </w:tr>
      <w:tr>
        <w:tc>
          <w:tcPr>
            <w:tcW w:type="dxa" w:w="2160"/>
          </w:tcPr>
          <w:p>
            <w:r>
              <w:t>Dickinson</w:t>
            </w:r>
          </w:p>
        </w:tc>
        <w:tc>
          <w:tcPr>
            <w:tcW w:type="dxa" w:w="2160"/>
          </w:tcPr>
          <w:p>
            <w:r>
              <w:t>49,000</w:t>
            </w:r>
          </w:p>
        </w:tc>
        <w:tc>
          <w:tcPr>
            <w:tcW w:type="dxa" w:w="2160"/>
          </w:tcPr>
          <w:p>
            <w:r>
              <w:t>52,000</w:t>
            </w:r>
          </w:p>
        </w:tc>
        <w:tc>
          <w:tcPr>
            <w:tcW w:type="dxa" w:w="2160"/>
          </w:tcPr>
          <w:p>
            <w:r>
              <w:t>+5.3%</w:t>
            </w:r>
          </w:p>
        </w:tc>
      </w:tr>
      <w:tr>
        <w:tc>
          <w:tcPr>
            <w:tcW w:type="dxa" w:w="2160"/>
          </w:tcPr>
          <w:p>
            <w:r>
              <w:t>Jamestown</w:t>
            </w:r>
          </w:p>
        </w:tc>
        <w:tc>
          <w:tcPr>
            <w:tcW w:type="dxa" w:w="2160"/>
          </w:tcPr>
          <w:p>
            <w:r>
              <w:t>55,000</w:t>
            </w:r>
          </w:p>
        </w:tc>
        <w:tc>
          <w:tcPr>
            <w:tcW w:type="dxa" w:w="2160"/>
          </w:tcPr>
          <w:p>
            <w:r>
              <w:t>48,000</w:t>
            </w:r>
          </w:p>
        </w:tc>
        <w:tc>
          <w:tcPr>
            <w:tcW w:type="dxa" w:w="2160"/>
          </w:tcPr>
          <w:p>
            <w:r>
              <w:t>-11.5%</w:t>
            </w:r>
          </w:p>
        </w:tc>
      </w:tr>
      <w:tr>
        <w:tc>
          <w:tcPr>
            <w:tcW w:type="dxa" w:w="2160"/>
          </w:tcPr>
          <w:p>
            <w:r>
              <w:t>Devils Lake</w:t>
            </w:r>
          </w:p>
        </w:tc>
        <w:tc>
          <w:tcPr>
            <w:tcW w:type="dxa" w:w="2160"/>
          </w:tcPr>
          <w:p>
            <w:r>
              <w:t>37,000</w:t>
            </w:r>
          </w:p>
        </w:tc>
        <w:tc>
          <w:tcPr>
            <w:tcW w:type="dxa" w:w="2160"/>
          </w:tcPr>
          <w:p>
            <w:r>
              <w:t>33,000</w:t>
            </w:r>
          </w:p>
        </w:tc>
        <w:tc>
          <w:tcPr>
            <w:tcW w:type="dxa" w:w="2160"/>
          </w:tcPr>
          <w:p>
            <w:r>
              <w:t>-11.5%</w:t>
            </w:r>
          </w:p>
        </w:tc>
      </w:tr>
    </w:tbl>
    <w:p/>
    <w:p>
      <w:pPr>
        <w:pStyle w:val="Heading2"/>
      </w:pPr>
      <w:r>
        <w:t>County concentration, 2025 to 2055</w:t>
      </w:r>
    </w:p>
    <w:p>
      <w:r>
        <w:rPr>
          <w:b/>
        </w:rPr>
        <w:t>37 of 53 counties</w:t>
      </w:r>
      <w:r>
        <w:t xml:space="preserve"> are projected to decline. Most statewide growth is concentrated in Cass (Fargo), Williams (Williston), and Burleigh (Bismarck).</w:t>
      </w:r>
    </w:p>
    <w:p>
      <w:pPr>
        <w:pStyle w:val="Heading3"/>
      </w:pPr>
      <w:r>
        <w:t>Largest projected growth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County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McKenzie County</w:t>
            </w:r>
          </w:p>
        </w:tc>
        <w:tc>
          <w:tcPr>
            <w:tcW w:type="dxa" w:w="2160"/>
          </w:tcPr>
          <w:p>
            <w:r>
              <w:t>15,000</w:t>
            </w:r>
          </w:p>
        </w:tc>
        <w:tc>
          <w:tcPr>
            <w:tcW w:type="dxa" w:w="2160"/>
          </w:tcPr>
          <w:p>
            <w:r>
              <w:t>27,000</w:t>
            </w:r>
          </w:p>
        </w:tc>
        <w:tc>
          <w:tcPr>
            <w:tcW w:type="dxa" w:w="2160"/>
          </w:tcPr>
          <w:p>
            <w:r>
              <w:t>+75.9%</w:t>
            </w:r>
          </w:p>
        </w:tc>
      </w:tr>
      <w:tr>
        <w:tc>
          <w:tcPr>
            <w:tcW w:type="dxa" w:w="2160"/>
          </w:tcPr>
          <w:p>
            <w:r>
              <w:t>Williams County</w:t>
            </w:r>
          </w:p>
        </w:tc>
        <w:tc>
          <w:tcPr>
            <w:tcW w:type="dxa" w:w="2160"/>
          </w:tcPr>
          <w:p>
            <w:r>
              <w:t>42,000</w:t>
            </w:r>
          </w:p>
        </w:tc>
        <w:tc>
          <w:tcPr>
            <w:tcW w:type="dxa" w:w="2160"/>
          </w:tcPr>
          <w:p>
            <w:r>
              <w:t>63,000</w:t>
            </w:r>
          </w:p>
        </w:tc>
        <w:tc>
          <w:tcPr>
            <w:tcW w:type="dxa" w:w="2160"/>
          </w:tcPr>
          <w:p>
            <w:r>
              <w:t>+51.5%</w:t>
            </w:r>
          </w:p>
        </w:tc>
      </w:tr>
      <w:tr>
        <w:tc>
          <w:tcPr>
            <w:tcW w:type="dxa" w:w="2160"/>
          </w:tcPr>
          <w:p>
            <w:r>
              <w:t>Billings County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+49.2%</w:t>
            </w:r>
          </w:p>
        </w:tc>
      </w:tr>
      <w:tr>
        <w:tc>
          <w:tcPr>
            <w:tcW w:type="dxa" w:w="2160"/>
          </w:tcPr>
          <w:p>
            <w:r>
              <w:t>Cass County</w:t>
            </w:r>
          </w:p>
        </w:tc>
        <w:tc>
          <w:tcPr>
            <w:tcW w:type="dxa" w:w="2160"/>
          </w:tcPr>
          <w:p>
            <w:r>
              <w:t>202,000</w:t>
            </w:r>
          </w:p>
        </w:tc>
        <w:tc>
          <w:tcPr>
            <w:tcW w:type="dxa" w:w="2160"/>
          </w:tcPr>
          <w:p>
            <w:r>
              <w:t>266,000</w:t>
            </w:r>
          </w:p>
        </w:tc>
        <w:tc>
          <w:tcPr>
            <w:tcW w:type="dxa" w:w="2160"/>
          </w:tcPr>
          <w:p>
            <w:r>
              <w:t>+31.6%</w:t>
            </w:r>
          </w:p>
        </w:tc>
      </w:tr>
      <w:tr>
        <w:tc>
          <w:tcPr>
            <w:tcW w:type="dxa" w:w="2160"/>
          </w:tcPr>
          <w:p>
            <w:r>
              <w:t>Morton County</w:t>
            </w:r>
          </w:p>
        </w:tc>
        <w:tc>
          <w:tcPr>
            <w:tcW w:type="dxa" w:w="2160"/>
          </w:tcPr>
          <w:p>
            <w:r>
              <w:t>35,000</w:t>
            </w:r>
          </w:p>
        </w:tc>
        <w:tc>
          <w:tcPr>
            <w:tcW w:type="dxa" w:w="2160"/>
          </w:tcPr>
          <w:p>
            <w:r>
              <w:t>45,000</w:t>
            </w:r>
          </w:p>
        </w:tc>
        <w:tc>
          <w:tcPr>
            <w:tcW w:type="dxa" w:w="2160"/>
          </w:tcPr>
          <w:p>
            <w:r>
              <w:t>+29.4%</w:t>
            </w:r>
          </w:p>
        </w:tc>
      </w:tr>
      <w:tr>
        <w:tc>
          <w:tcPr>
            <w:tcW w:type="dxa" w:w="2160"/>
          </w:tcPr>
          <w:p>
            <w:r>
              <w:t>Hettinger County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+28.4%</w:t>
            </w:r>
          </w:p>
        </w:tc>
      </w:tr>
    </w:tbl>
    <w:p/>
    <w:p>
      <w:pPr>
        <w:pStyle w:val="Heading3"/>
      </w:pPr>
      <w:r>
        <w:t>Largest projected decline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County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Pembina County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-36.4%</w:t>
            </w:r>
          </w:p>
        </w:tc>
      </w:tr>
      <w:tr>
        <w:tc>
          <w:tcPr>
            <w:tcW w:type="dxa" w:w="2160"/>
          </w:tcPr>
          <w:p>
            <w:r>
              <w:t>Slope County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-34.8%</w:t>
            </w:r>
          </w:p>
        </w:tc>
      </w:tr>
      <w:tr>
        <w:tc>
          <w:tcPr>
            <w:tcW w:type="dxa" w:w="2160"/>
          </w:tcPr>
          <w:p>
            <w:r>
              <w:t>Walsh County</w:t>
            </w:r>
          </w:p>
        </w:tc>
        <w:tc>
          <w:tcPr>
            <w:tcW w:type="dxa" w:w="2160"/>
          </w:tcPr>
          <w:p>
            <w:r>
              <w:t>10,000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-26.6%</w:t>
            </w:r>
          </w:p>
        </w:tc>
      </w:tr>
      <w:tr>
        <w:tc>
          <w:tcPr>
            <w:tcW w:type="dxa" w:w="2160"/>
          </w:tcPr>
          <w:p>
            <w:r>
              <w:t>Cavalier County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-23.1%</w:t>
            </w:r>
          </w:p>
        </w:tc>
      </w:tr>
      <w:tr>
        <w:tc>
          <w:tcPr>
            <w:tcW w:type="dxa" w:w="2160"/>
          </w:tcPr>
          <w:p>
            <w:r>
              <w:t>Kidder County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-20.5%</w:t>
            </w:r>
          </w:p>
        </w:tc>
      </w:tr>
      <w:tr>
        <w:tc>
          <w:tcPr>
            <w:tcW w:type="dxa" w:w="2160"/>
          </w:tcPr>
          <w:p>
            <w:r>
              <w:t>McHenry County</w:t>
            </w:r>
          </w:p>
        </w:tc>
        <w:tc>
          <w:tcPr>
            <w:tcW w:type="dxa" w:w="2160"/>
          </w:tcPr>
          <w:p>
            <w:r>
              <w:t>5,000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-20.4%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