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PUB-2026 Draft Numbers For Layout</w:t>
      </w:r>
    </w:p>
    <w:p>
      <w:r>
        <w:rPr>
          <w:i/>
          <w:color w:val="808080"/>
          <w:sz w:val="16"/>
        </w:rPr>
        <w:t>Pre-publication marketing draft. Numbers are final/locked from the production run m2026r1 / cfg-20260611-production-lock — ADR-068 corrected full-horizon run (2026-06-15 + 2026-06-16 survival-horizon amendment; config sha256(16) a6e0bfbc2d70be85); this document is DRAFT only because public layout and release are pending, not because the data is provisional. Generated by scripts/exports/build_marketing_docx.py — do not hand-edit; rerun the generator instead.</w:t>
      </w:r>
    </w:p>
    <w:p>
      <w:r>
        <w:rPr>
          <w:b/>
        </w:rPr>
        <w:t>Rounded layout values from the locked Baseline (CBO-Adjusted) public run. Exact annual values live in the public CSV/workbook; the downloads are authoritative.</w:t>
      </w:r>
    </w:p>
    <w:p/>
    <w:p>
      <w:pPr>
        <w:pStyle w:val="Heading2"/>
      </w:pPr>
      <w:r>
        <w:t>Statewide baseline, key years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Year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Population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Change vs 2025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799,000</w:t>
            </w:r>
          </w:p>
        </w:tc>
        <w:tc>
          <w:tcPr>
            <w:tcW w:type="dxa" w:w="2880"/>
          </w:tcPr>
          <w:p>
            <w:r>
              <w:t>+0.0%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805,000</w:t>
            </w:r>
          </w:p>
        </w:tc>
        <w:tc>
          <w:tcPr>
            <w:tcW w:type="dxa" w:w="2880"/>
          </w:tcPr>
          <w:p>
            <w:r>
              <w:t>+0.7%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826,000</w:t>
            </w:r>
          </w:p>
        </w:tc>
        <w:tc>
          <w:tcPr>
            <w:tcW w:type="dxa" w:w="2880"/>
          </w:tcPr>
          <w:p>
            <w:r>
              <w:t>+3.3%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848,000</w:t>
            </w:r>
          </w:p>
        </w:tc>
        <w:tc>
          <w:tcPr>
            <w:tcW w:type="dxa" w:w="2880"/>
          </w:tcPr>
          <w:p>
            <w:r>
              <w:t>+6.1%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867,000</w:t>
            </w:r>
          </w:p>
        </w:tc>
        <w:tc>
          <w:tcPr>
            <w:tcW w:type="dxa" w:w="2880"/>
          </w:tcPr>
          <w:p>
            <w:r>
              <w:t>+8.4%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883,000</w:t>
            </w:r>
          </w:p>
        </w:tc>
        <w:tc>
          <w:tcPr>
            <w:tcW w:type="dxa" w:w="2880"/>
          </w:tcPr>
          <w:p>
            <w:r>
              <w:t>+10.5%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899,000</w:t>
            </w:r>
          </w:p>
        </w:tc>
        <w:tc>
          <w:tcPr>
            <w:tcW w:type="dxa" w:w="2880"/>
          </w:tcPr>
          <w:p>
            <w:r>
              <w:t>+12.5%</w:t>
            </w:r>
          </w:p>
        </w:tc>
      </w:tr>
    </w:tbl>
    <w:p/>
    <w:p>
      <w:r>
        <w:rPr>
          <w:b/>
        </w:rPr>
        <w:t>Trough:</w:t>
      </w:r>
      <w:r>
        <w:t xml:space="preserve"> about 797,000 around 2027 (the intended CBO front-loaded migration ramp), before steady recovery to 2055.</w:t>
      </w:r>
    </w:p>
    <w:p>
      <w:pPr>
        <w:pStyle w:val="Heading2"/>
      </w:pPr>
      <w:r>
        <w:t>Regional change, 2025 to 2055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Fargo</w:t>
            </w:r>
          </w:p>
        </w:tc>
        <w:tc>
          <w:tcPr>
            <w:tcW w:type="dxa" w:w="2160"/>
          </w:tcPr>
          <w:p>
            <w:r>
              <w:t>238,000</w:t>
            </w:r>
          </w:p>
        </w:tc>
        <w:tc>
          <w:tcPr>
            <w:tcW w:type="dxa" w:w="2160"/>
          </w:tcPr>
          <w:p>
            <w:r>
              <w:t>301,000</w:t>
            </w:r>
          </w:p>
        </w:tc>
        <w:tc>
          <w:tcPr>
            <w:tcW w:type="dxa" w:w="2160"/>
          </w:tcPr>
          <w:p>
            <w:r>
              <w:t>+26.5%</w:t>
            </w:r>
          </w:p>
        </w:tc>
      </w:tr>
      <w:tr>
        <w:tc>
          <w:tcPr>
            <w:tcW w:type="dxa" w:w="2160"/>
          </w:tcPr>
          <w:p>
            <w:r>
              <w:t>Bismarck</w:t>
            </w:r>
          </w:p>
        </w:tc>
        <w:tc>
          <w:tcPr>
            <w:tcW w:type="dxa" w:w="2160"/>
          </w:tcPr>
          <w:p>
            <w:r>
              <w:t>171,000</w:t>
            </w:r>
          </w:p>
        </w:tc>
        <w:tc>
          <w:tcPr>
            <w:tcW w:type="dxa" w:w="2160"/>
          </w:tcPr>
          <w:p>
            <w:r>
              <w:t>196,000</w:t>
            </w:r>
          </w:p>
        </w:tc>
        <w:tc>
          <w:tcPr>
            <w:tcW w:type="dxa" w:w="2160"/>
          </w:tcPr>
          <w:p>
            <w:r>
              <w:t>+14.5%</w:t>
            </w:r>
          </w:p>
        </w:tc>
      </w:tr>
      <w:tr>
        <w:tc>
          <w:tcPr>
            <w:tcW w:type="dxa" w:w="2160"/>
          </w:tcPr>
          <w:p>
            <w:r>
              <w:t>Williston</w:t>
            </w:r>
          </w:p>
        </w:tc>
        <w:tc>
          <w:tcPr>
            <w:tcW w:type="dxa" w:w="2160"/>
          </w:tcPr>
          <w:p>
            <w:r>
              <w:t>59,000</w:t>
            </w:r>
          </w:p>
        </w:tc>
        <w:tc>
          <w:tcPr>
            <w:tcW w:type="dxa" w:w="2160"/>
          </w:tcPr>
          <w:p>
            <w:r>
              <w:t>94,000</w:t>
            </w:r>
          </w:p>
        </w:tc>
        <w:tc>
          <w:tcPr>
            <w:tcW w:type="dxa" w:w="2160"/>
          </w:tcPr>
          <w:p>
            <w:r>
              <w:t>+58.7%</w:t>
            </w:r>
          </w:p>
        </w:tc>
      </w:tr>
      <w:tr>
        <w:tc>
          <w:tcPr>
            <w:tcW w:type="dxa" w:w="2160"/>
          </w:tcPr>
          <w:p>
            <w:r>
              <w:t>Minot</w:t>
            </w:r>
          </w:p>
        </w:tc>
        <w:tc>
          <w:tcPr>
            <w:tcW w:type="dxa" w:w="2160"/>
          </w:tcPr>
          <w:p>
            <w:r>
              <w:t>97,000</w:t>
            </w:r>
          </w:p>
        </w:tc>
        <w:tc>
          <w:tcPr>
            <w:tcW w:type="dxa" w:w="2160"/>
          </w:tcPr>
          <w:p>
            <w:r>
              <w:t>88,000</w:t>
            </w:r>
          </w:p>
        </w:tc>
        <w:tc>
          <w:tcPr>
            <w:tcW w:type="dxa" w:w="2160"/>
          </w:tcPr>
          <w:p>
            <w:r>
              <w:t>-9.7%</w:t>
            </w:r>
          </w:p>
        </w:tc>
      </w:tr>
      <w:tr>
        <w:tc>
          <w:tcPr>
            <w:tcW w:type="dxa" w:w="2160"/>
          </w:tcPr>
          <w:p>
            <w:r>
              <w:t>Grand Forks</w:t>
            </w:r>
          </w:p>
        </w:tc>
        <w:tc>
          <w:tcPr>
            <w:tcW w:type="dxa" w:w="2160"/>
          </w:tcPr>
          <w:p>
            <w:r>
              <w:t>94,000</w:t>
            </w:r>
          </w:p>
        </w:tc>
        <w:tc>
          <w:tcPr>
            <w:tcW w:type="dxa" w:w="2160"/>
          </w:tcPr>
          <w:p>
            <w:r>
              <w:t>87,000</w:t>
            </w:r>
          </w:p>
        </w:tc>
        <w:tc>
          <w:tcPr>
            <w:tcW w:type="dxa" w:w="2160"/>
          </w:tcPr>
          <w:p>
            <w:r>
              <w:t>-7.3%</w:t>
            </w:r>
          </w:p>
        </w:tc>
      </w:tr>
      <w:tr>
        <w:tc>
          <w:tcPr>
            <w:tcW w:type="dxa" w:w="2160"/>
          </w:tcPr>
          <w:p>
            <w:r>
              <w:t>Dickinson</w:t>
            </w:r>
          </w:p>
        </w:tc>
        <w:tc>
          <w:tcPr>
            <w:tcW w:type="dxa" w:w="2160"/>
          </w:tcPr>
          <w:p>
            <w:r>
              <w:t>49,000</w:t>
            </w:r>
          </w:p>
        </w:tc>
        <w:tc>
          <w:tcPr>
            <w:tcW w:type="dxa" w:w="2160"/>
          </w:tcPr>
          <w:p>
            <w:r>
              <w:t>52,000</w:t>
            </w:r>
          </w:p>
        </w:tc>
        <w:tc>
          <w:tcPr>
            <w:tcW w:type="dxa" w:w="2160"/>
          </w:tcPr>
          <w:p>
            <w:r>
              <w:t>+6.4%</w:t>
            </w:r>
          </w:p>
        </w:tc>
      </w:tr>
      <w:tr>
        <w:tc>
          <w:tcPr>
            <w:tcW w:type="dxa" w:w="2160"/>
          </w:tcPr>
          <w:p>
            <w:r>
              <w:t>Jamestown</w:t>
            </w:r>
          </w:p>
        </w:tc>
        <w:tc>
          <w:tcPr>
            <w:tcW w:type="dxa" w:w="2160"/>
          </w:tcPr>
          <w:p>
            <w:r>
              <w:t>55,000</w:t>
            </w:r>
          </w:p>
        </w:tc>
        <w:tc>
          <w:tcPr>
            <w:tcW w:type="dxa" w:w="2160"/>
          </w:tcPr>
          <w:p>
            <w:r>
              <w:t>49,000</w:t>
            </w:r>
          </w:p>
        </w:tc>
        <w:tc>
          <w:tcPr>
            <w:tcW w:type="dxa" w:w="2160"/>
          </w:tcPr>
          <w:p>
            <w:r>
              <w:t>-10.6%</w:t>
            </w:r>
          </w:p>
        </w:tc>
      </w:tr>
      <w:tr>
        <w:tc>
          <w:tcPr>
            <w:tcW w:type="dxa" w:w="2160"/>
          </w:tcPr>
          <w:p>
            <w:r>
              <w:t>Devils Lake</w:t>
            </w:r>
          </w:p>
        </w:tc>
        <w:tc>
          <w:tcPr>
            <w:tcW w:type="dxa" w:w="2160"/>
          </w:tcPr>
          <w:p>
            <w:r>
              <w:t>37,000</w:t>
            </w:r>
          </w:p>
        </w:tc>
        <w:tc>
          <w:tcPr>
            <w:tcW w:type="dxa" w:w="2160"/>
          </w:tcPr>
          <w:p>
            <w:r>
              <w:t>33,000</w:t>
            </w:r>
          </w:p>
        </w:tc>
        <w:tc>
          <w:tcPr>
            <w:tcW w:type="dxa" w:w="2160"/>
          </w:tcPr>
          <w:p>
            <w:r>
              <w:t>-10.4%</w:t>
            </w:r>
          </w:p>
        </w:tc>
      </w:tr>
    </w:tbl>
    <w:p/>
    <w:p>
      <w:pPr>
        <w:pStyle w:val="Heading2"/>
      </w:pPr>
      <w:r>
        <w:t>County concentration, 2025 to 2055</w:t>
      </w:r>
    </w:p>
    <w:p>
      <w:r>
        <w:rPr>
          <w:b/>
        </w:rPr>
        <w:t>36 of 53 counties</w:t>
      </w:r>
      <w:r>
        <w:t xml:space="preserve"> are projected to decline. Most statewide growth is concentrated in Cass (Fargo), Williams (Williston), and Burleigh (Bismarck).</w:t>
      </w:r>
    </w:p>
    <w:p>
      <w:pPr>
        <w:pStyle w:val="Heading3"/>
      </w:pPr>
      <w:r>
        <w:t>Largest projected growth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McKenzie County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27,000</w:t>
            </w:r>
          </w:p>
        </w:tc>
        <w:tc>
          <w:tcPr>
            <w:tcW w:type="dxa" w:w="2160"/>
          </w:tcPr>
          <w:p>
            <w:r>
              <w:t>+78.6%</w:t>
            </w:r>
          </w:p>
        </w:tc>
      </w:tr>
      <w:tr>
        <w:tc>
          <w:tcPr>
            <w:tcW w:type="dxa" w:w="2160"/>
          </w:tcPr>
          <w:p>
            <w:r>
              <w:t>Williams County</w:t>
            </w:r>
          </w:p>
        </w:tc>
        <w:tc>
          <w:tcPr>
            <w:tcW w:type="dxa" w:w="2160"/>
          </w:tcPr>
          <w:p>
            <w:r>
              <w:t>42,000</w:t>
            </w:r>
          </w:p>
        </w:tc>
        <w:tc>
          <w:tcPr>
            <w:tcW w:type="dxa" w:w="2160"/>
          </w:tcPr>
          <w:p>
            <w:r>
              <w:t>64,000</w:t>
            </w:r>
          </w:p>
        </w:tc>
        <w:tc>
          <w:tcPr>
            <w:tcW w:type="dxa" w:w="2160"/>
          </w:tcPr>
          <w:p>
            <w:r>
              <w:t>+53.8%</w:t>
            </w:r>
          </w:p>
        </w:tc>
      </w:tr>
      <w:tr>
        <w:tc>
          <w:tcPr>
            <w:tcW w:type="dxa" w:w="2160"/>
          </w:tcPr>
          <w:p>
            <w:r>
              <w:t>Billings County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+50.4%</w:t>
            </w:r>
          </w:p>
        </w:tc>
      </w:tr>
      <w:tr>
        <w:tc>
          <w:tcPr>
            <w:tcW w:type="dxa" w:w="2160"/>
          </w:tcPr>
          <w:p>
            <w:r>
              <w:t>Cass County</w:t>
            </w:r>
          </w:p>
        </w:tc>
        <w:tc>
          <w:tcPr>
            <w:tcW w:type="dxa" w:w="2160"/>
          </w:tcPr>
          <w:p>
            <w:r>
              <w:t>202,000</w:t>
            </w:r>
          </w:p>
        </w:tc>
        <w:tc>
          <w:tcPr>
            <w:tcW w:type="dxa" w:w="2160"/>
          </w:tcPr>
          <w:p>
            <w:r>
              <w:t>269,000</w:t>
            </w:r>
          </w:p>
        </w:tc>
        <w:tc>
          <w:tcPr>
            <w:tcW w:type="dxa" w:w="2160"/>
          </w:tcPr>
          <w:p>
            <w:r>
              <w:t>+33.2%</w:t>
            </w:r>
          </w:p>
        </w:tc>
      </w:tr>
      <w:tr>
        <w:tc>
          <w:tcPr>
            <w:tcW w:type="dxa" w:w="2160"/>
          </w:tcPr>
          <w:p>
            <w:r>
              <w:t>Morton County</w:t>
            </w:r>
          </w:p>
        </w:tc>
        <w:tc>
          <w:tcPr>
            <w:tcW w:type="dxa" w:w="2160"/>
          </w:tcPr>
          <w:p>
            <w:r>
              <w:t>35,000</w:t>
            </w:r>
          </w:p>
        </w:tc>
        <w:tc>
          <w:tcPr>
            <w:tcW w:type="dxa" w:w="2160"/>
          </w:tcPr>
          <w:p>
            <w:r>
              <w:t>45,000</w:t>
            </w:r>
          </w:p>
        </w:tc>
        <w:tc>
          <w:tcPr>
            <w:tcW w:type="dxa" w:w="2160"/>
          </w:tcPr>
          <w:p>
            <w:r>
              <w:t>+31.1%</w:t>
            </w:r>
          </w:p>
        </w:tc>
      </w:tr>
      <w:tr>
        <w:tc>
          <w:tcPr>
            <w:tcW w:type="dxa" w:w="2160"/>
          </w:tcPr>
          <w:p>
            <w:r>
              <w:t>Hettinger County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+30.3%</w:t>
            </w:r>
          </w:p>
        </w:tc>
      </w:tr>
    </w:tbl>
    <w:p/>
    <w:p>
      <w:pPr>
        <w:pStyle w:val="Heading3"/>
      </w:pPr>
      <w:r>
        <w:t>Largest projected decline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2025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2055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type="dxa" w:w="2160"/>
          </w:tcPr>
          <w:p>
            <w:r>
              <w:t>Pembina County</w:t>
            </w:r>
          </w:p>
        </w:tc>
        <w:tc>
          <w:tcPr>
            <w:tcW w:type="dxa" w:w="2160"/>
          </w:tcPr>
          <w:p>
            <w:r>
              <w:t>7,000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-35.9%</w:t>
            </w:r>
          </w:p>
        </w:tc>
      </w:tr>
      <w:tr>
        <w:tc>
          <w:tcPr>
            <w:tcW w:type="dxa" w:w="2160"/>
          </w:tcPr>
          <w:p>
            <w:r>
              <w:t>Slope County</w:t>
            </w:r>
          </w:p>
        </w:tc>
        <w:tc>
          <w:tcPr>
            <w:tcW w:type="dxa" w:w="2160"/>
          </w:tcPr>
          <w:p>
            <w:r>
              <w:t>1,000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-34.5%</w:t>
            </w:r>
          </w:p>
        </w:tc>
      </w:tr>
      <w:tr>
        <w:tc>
          <w:tcPr>
            <w:tcW w:type="dxa" w:w="2160"/>
          </w:tcPr>
          <w:p>
            <w:r>
              <w:t>Walsh County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-25.9%</w:t>
            </w:r>
          </w:p>
        </w:tc>
      </w:tr>
      <w:tr>
        <w:tc>
          <w:tcPr>
            <w:tcW w:type="dxa" w:w="2160"/>
          </w:tcPr>
          <w:p>
            <w:r>
              <w:t>Cavalier County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3,000</w:t>
            </w:r>
          </w:p>
        </w:tc>
        <w:tc>
          <w:tcPr>
            <w:tcW w:type="dxa" w:w="2160"/>
          </w:tcPr>
          <w:p>
            <w:r>
              <w:t>-22.4%</w:t>
            </w:r>
          </w:p>
        </w:tc>
      </w:tr>
      <w:tr>
        <w:tc>
          <w:tcPr>
            <w:tcW w:type="dxa" w:w="2160"/>
          </w:tcPr>
          <w:p>
            <w:r>
              <w:t>Kidder County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2,000</w:t>
            </w:r>
          </w:p>
        </w:tc>
        <w:tc>
          <w:tcPr>
            <w:tcW w:type="dxa" w:w="2160"/>
          </w:tcPr>
          <w:p>
            <w:r>
              <w:t>-19.8%</w:t>
            </w:r>
          </w:p>
        </w:tc>
      </w:tr>
      <w:tr>
        <w:tc>
          <w:tcPr>
            <w:tcW w:type="dxa" w:w="2160"/>
          </w:tcPr>
          <w:p>
            <w:r>
              <w:t>McHenry County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4,000</w:t>
            </w:r>
          </w:p>
        </w:tc>
        <w:tc>
          <w:tcPr>
            <w:tcW w:type="dxa" w:w="2160"/>
          </w:tcPr>
          <w:p>
            <w:r>
              <w:t>-19.4%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