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PUB-2026 Handoff Overview</w:t>
      </w:r>
    </w:p>
    <w:p>
      <w:r>
        <w:rPr>
          <w:i/>
          <w:color w:val="808080"/>
          <w:sz w:val="16"/>
        </w:rPr>
        <w:t>Pre-publication marketing draft. Numbers are final/locked from the production run m2026r1 / cfg-20260611-production-lock — ADR-068 corrected full-horizon run (2026-06-15 + 2026-06-16 survival-horizon amendment; config sha256(16) a6e0bfbc2d70be85); this document is DRAFT only because public layout and release are pending, not because the data is provisional. Generated by scripts/exports/build_marketing_docx.py — do not hand-edit; rerun the generator instead.</w:t>
      </w:r>
    </w:p>
    <w:p/>
    <w:p>
      <w:r>
        <w:t>Generated: 2026-06-16 (ADR-068-corrected locked production run)</w:t>
      </w:r>
    </w:p>
    <w:p>
      <w:r>
        <w:t>This folder is the PUB-2026 marketing handoff drop. It contains draft narrative</w:t>
      </w:r>
    </w:p>
    <w:p>
      <w:r>
        <w:t>and storyboard files plus generated data/visual artifacts. The data/visual</w:t>
      </w:r>
    </w:p>
    <w:p>
      <w:r>
        <w:t>artifacts in `drafts/` were regenerated on 2026-06-16 from the **ADR-068-corrected</w:t>
      </w:r>
    </w:p>
    <w:p>
      <w:r>
        <w:t>locked production run** (config sha `a6e0bfbc2d70be85`; ADR-065/066 baseline,</w:t>
      </w:r>
    </w:p>
    <w:p>
      <w:r>
        <w:t>ADR-061/067 applied, ADR-068 `reference_intl_migration` + open-ended 90+ survival +</w:t>
      </w:r>
    </w:p>
    <w:p>
      <w:r>
        <w:t xml:space="preserve">survival-horizon corrections). These are the </w:t>
      </w:r>
      <w:r>
        <w:rPr>
          <w:b/>
        </w:rPr>
        <w:t>final, locked</w:t>
      </w:r>
      <w:r>
        <w:t xml:space="preserve"> public numbers; the</w:t>
      </w:r>
    </w:p>
    <w:p>
      <w:r>
        <w:t>"draft" framing reflects pending public layout and release, not provisional data.</w:t>
      </w:r>
    </w:p>
    <w:p>
      <w:pPr>
        <w:pStyle w:val="Heading2"/>
      </w:pPr>
      <w:r>
        <w:t>What To Send To Marketing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t>`drafts/PUB-2026 Draft Public Workbook.xlsx`</w:t>
            </w:r>
          </w:p>
        </w:tc>
        <w:tc>
          <w:tcPr>
            <w:tcW w:type="dxa" w:w="4320"/>
          </w:tcPr>
          <w:p>
            <w:r>
              <w:t xml:space="preserve">Consolidated public workbook (baseline-only: README incl. run provenance, State Key Years, state/region/county annual tables, county key years, age groups, </w:t>
            </w:r>
            <w:r>
              <w:rPr>
                <w:b/>
              </w:rPr>
              <w:t>State Age-Sex Detail</w:t>
            </w:r>
            <w:r>
              <w:t>, chart-ready sheets, pyramid data, data dictionary)</w:t>
            </w:r>
          </w:p>
        </w:tc>
      </w:tr>
      <w:tr>
        <w:tc>
          <w:tcPr>
            <w:tcW w:type="dxa" w:w="4320"/>
          </w:tcPr>
          <w:p>
            <w:r>
              <w:t>`drafts/PUB-2026 Draft Public Dataset.csv`</w:t>
            </w:r>
          </w:p>
        </w:tc>
        <w:tc>
          <w:tcPr>
            <w:tcW w:type="dxa" w:w="4320"/>
          </w:tcPr>
          <w:p>
            <w:r>
              <w:t>Tidy consolidated public CSV: 1,922 rows for 1 scenario × 62 geographies × 31 years</w:t>
            </w:r>
          </w:p>
        </w:tc>
      </w:tr>
      <w:tr>
        <w:tc>
          <w:tcPr>
            <w:tcW w:type="dxa" w:w="4320"/>
          </w:tcPr>
          <w:p>
            <w:r>
              <w:t>`drafts/pyramid_state_2025.png` and `drafts/pyramid_state_2055_baseline.png`</w:t>
            </w:r>
          </w:p>
        </w:tc>
        <w:tc>
          <w:tcPr>
            <w:tcW w:type="dxa" w:w="4320"/>
          </w:tcPr>
          <w:p>
            <w:r>
              <w:t>Statewide pyramid pair at 300 DPI for the public baseline</w:t>
            </w:r>
          </w:p>
        </w:tc>
      </w:tr>
      <w:tr>
        <w:tc>
          <w:tcPr>
            <w:tcW w:type="dxa" w:w="4320"/>
          </w:tcPr>
          <w:p>
            <w:r>
              <w:t>`drafts/pyramid_cass_*.png` and `drafts/pyramid_ward_*.png`</w:t>
            </w:r>
          </w:p>
        </w:tc>
        <w:tc>
          <w:tcPr>
            <w:tcW w:type="dxa" w:w="4320"/>
          </w:tcPr>
          <w:p>
            <w:r>
              <w:t>County pyramids at 300 DPI for baseline reference</w:t>
            </w:r>
          </w:p>
        </w:tc>
      </w:tr>
      <w:tr>
        <w:tc>
          <w:tcPr>
            <w:tcW w:type="dxa" w:w="4320"/>
          </w:tcPr>
          <w:p>
            <w:r>
              <w:t>`drafts/chart_state_baseline_line.png`</w:t>
            </w:r>
          </w:p>
        </w:tc>
        <w:tc>
          <w:tcPr>
            <w:tcW w:type="dxa" w:w="4320"/>
          </w:tcPr>
          <w:p>
            <w:r>
              <w:t>Baseline line chart (shows the shallow 2025–2027 dip and recovery to 2055)</w:t>
            </w:r>
          </w:p>
        </w:tc>
      </w:tr>
      <w:tr>
        <w:tc>
          <w:tcPr>
            <w:tcW w:type="dxa" w:w="4320"/>
          </w:tcPr>
          <w:p>
            <w:r>
              <w:t>`drafts/chart_region_baseline_bars.png`</w:t>
            </w:r>
          </w:p>
        </w:tc>
        <w:tc>
          <w:tcPr>
            <w:tcW w:type="dxa" w:w="4320"/>
          </w:tcPr>
          <w:p>
            <w:r>
              <w:t>Regional baseline change bars</w:t>
            </w:r>
          </w:p>
        </w:tc>
      </w:tr>
      <w:tr>
        <w:tc>
          <w:tcPr>
            <w:tcW w:type="dxa" w:w="4320"/>
          </w:tcPr>
          <w:p>
            <w:r>
              <w:t>`drafts/chart_county_top_bottom.png`</w:t>
            </w:r>
          </w:p>
        </w:tc>
        <w:tc>
          <w:tcPr>
            <w:tcW w:type="dxa" w:w="4320"/>
          </w:tcPr>
          <w:p>
            <w:r>
              <w:t>Top-6/bottom-6 county bars</w:t>
            </w:r>
          </w:p>
        </w:tc>
      </w:tr>
      <w:tr>
        <w:tc>
          <w:tcPr>
            <w:tcW w:type="dxa" w:w="4320"/>
          </w:tcPr>
          <w:p>
            <w:r>
              <w:t>`drafts/chart_age_group_trend.png`</w:t>
            </w:r>
          </w:p>
        </w:tc>
        <w:tc>
          <w:tcPr>
            <w:tcW w:type="dxa" w:w="4320"/>
          </w:tcPr>
          <w:p>
            <w:r>
              <w:t>Age-group trend</w:t>
            </w:r>
          </w:p>
        </w:tc>
      </w:tr>
      <w:tr>
        <w:tc>
          <w:tcPr>
            <w:tcW w:type="dxa" w:w="4320"/>
          </w:tcPr>
          <w:p>
            <w:r>
              <w:t>`drafts/chart_components_change.png`</w:t>
            </w:r>
          </w:p>
        </w:tc>
        <w:tc>
          <w:tcPr>
            <w:tcW w:type="dxa" w:w="4320"/>
          </w:tcPr>
          <w:p>
            <w:r>
              <w:t>Components of change: natural increase vs. net migration by five-year period (storyboard page 7)</w:t>
            </w:r>
          </w:p>
        </w:tc>
      </w:tr>
      <w:tr>
        <w:tc>
          <w:tcPr>
            <w:tcW w:type="dxa" w:w="4320"/>
          </w:tcPr>
          <w:p>
            <w:r>
              <w:t>`PUB-2026 Reference - 2024 SDC PDF.pdf`</w:t>
            </w:r>
          </w:p>
        </w:tc>
        <w:tc>
          <w:tcPr>
            <w:tcW w:type="dxa" w:w="4320"/>
          </w:tcPr>
          <w:p>
            <w:r>
              <w:t>The 2024 State Data Center projection PDF — the visual and pacing starting point for the 2026 layout</w:t>
            </w:r>
          </w:p>
        </w:tc>
      </w:tr>
      <w:tr>
        <w:tc>
          <w:tcPr>
            <w:tcW w:type="dxa" w:w="4320"/>
          </w:tcPr>
          <w:p>
            <w:r>
              <w:t>`PUB-2026 Marketing Handoff Packet.docx`</w:t>
            </w:r>
          </w:p>
        </w:tc>
        <w:tc>
          <w:tcPr>
            <w:tcW w:type="dxa" w:w="4320"/>
          </w:tcPr>
          <w:p>
            <w:r>
              <w:t>Combined narrative packet (overview, draft report copy, storyboard, 2024 PDF notes, draft numbers, methods companion)</w:t>
            </w:r>
          </w:p>
        </w:tc>
      </w:tr>
      <w:tr>
        <w:tc>
          <w:tcPr>
            <w:tcW w:type="dxa" w:w="4320"/>
          </w:tcPr>
          <w:p>
            <w:r>
              <w:t>`PUB-2026 Draft Public PDF Copy.docx`</w:t>
            </w:r>
          </w:p>
        </w:tc>
        <w:tc>
          <w:tcPr>
            <w:tcW w:type="dxa" w:w="4320"/>
          </w:tcPr>
          <w:p>
            <w:r>
              <w:t>Draft narrative copy for PDF layout</w:t>
            </w:r>
          </w:p>
        </w:tc>
      </w:tr>
      <w:tr>
        <w:tc>
          <w:tcPr>
            <w:tcW w:type="dxa" w:w="4320"/>
          </w:tcPr>
          <w:p>
            <w:r>
              <w:t>`PUB-2026 PDF Report Storyboard.docx`</w:t>
            </w:r>
          </w:p>
        </w:tc>
        <w:tc>
          <w:tcPr>
            <w:tcW w:type="dxa" w:w="4320"/>
          </w:tcPr>
          <w:p>
            <w:r>
              <w:t>Page-by-page report flow and exhibit plan</w:t>
            </w:r>
          </w:p>
        </w:tc>
      </w:tr>
      <w:tr>
        <w:tc>
          <w:tcPr>
            <w:tcW w:type="dxa" w:w="4320"/>
          </w:tcPr>
          <w:p>
            <w:r>
              <w:t>`PUB-2026 2024 SDC Reference Notes.docx`</w:t>
            </w:r>
          </w:p>
        </w:tc>
        <w:tc>
          <w:tcPr>
            <w:tcW w:type="dxa" w:w="4320"/>
          </w:tcPr>
          <w:p>
            <w:r>
              <w:t>Guidance on using the 2024 SDC PDF</w:t>
            </w:r>
          </w:p>
        </w:tc>
      </w:tr>
      <w:tr>
        <w:tc>
          <w:tcPr>
            <w:tcW w:type="dxa" w:w="4320"/>
          </w:tcPr>
          <w:p>
            <w:r>
              <w:t>`PUB-2026 Draft Numbers For Layout.docx`</w:t>
            </w:r>
          </w:p>
        </w:tc>
        <w:tc>
          <w:tcPr>
            <w:tcW w:type="dxa" w:w="4320"/>
          </w:tcPr>
          <w:p>
            <w:r>
              <w:t>Rounded figures for chart and table planning</w:t>
            </w:r>
          </w:p>
        </w:tc>
      </w:tr>
      <w:tr>
        <w:tc>
          <w:tcPr>
            <w:tcW w:type="dxa" w:w="4320"/>
          </w:tcPr>
          <w:p>
            <w:r>
              <w:t>`PUB-2026 How These Projections Work.docx`</w:t>
            </w:r>
          </w:p>
        </w:tc>
        <w:tc>
          <w:tcPr>
            <w:tcW w:type="dxa" w:w="4320"/>
          </w:tcPr>
          <w:p>
            <w:r>
              <w:t>Plain-language methods companion — link from the report and download page, or bind in as a methods appendix</w:t>
            </w:r>
          </w:p>
        </w:tc>
      </w:tr>
    </w:tbl>
    <w:p/>
    <w:p>
      <w:pPr>
        <w:pStyle w:val="Heading2"/>
      </w:pPr>
      <w:r>
        <w:t>Locked numbers (for quick reference)</w:t>
      </w:r>
    </w:p>
    <w:p>
      <w:pPr>
        <w:pStyle w:val="ListBullet"/>
      </w:pPr>
      <w:r>
        <w:t>State: 799,358 (2025) → shallow trough 797,298 (2027, −0.26%, the intended CBO migration ramp) → 898,907 (2055, +12.45%).</w:t>
      </w:r>
    </w:p>
    <w:p>
      <w:pPr>
        <w:pStyle w:val="ListBullet"/>
      </w:pPr>
      <w:r>
        <w:t>Growth concentrated: Cass, Williams, Burleigh; most counties projected to decline.</w:t>
      </w:r>
    </w:p>
    <w:p>
      <w:r>
        <w:t xml:space="preserve">Corrected per </w:t>
      </w:r>
      <w:r>
        <w:rPr>
          <w:b/>
        </w:rPr>
        <w:t>ADR-068</w:t>
      </w:r>
      <w:r>
        <w:t xml:space="preserve"> (2026-06-15) and its </w:t>
      </w:r>
      <w:r>
        <w:rPr>
          <w:b/>
        </w:rPr>
        <w:t>2026-06-16 amendment</w:t>
      </w:r>
      <w:r>
        <w:t xml:space="preserve"> (operative survival-horizon fix). The earlier "787,382 (2028) → 889,017 (2055, +11.2%)" framing was the superseded 2026-06-13 locked run; the intermediate 2026-06-15 figures (886,585 @2055 / 90+ 9,971) were biased by a survival-table truncation. These full-horizon numbers (898,907 @2055, 90+ 8,172) are final.</w:t>
      </w:r>
    </w:p>
    <w:p>
      <w:pPr>
        <w:pStyle w:val="Heading2"/>
      </w:pPr>
      <w:r>
        <w:t>Notes</w:t>
      </w:r>
    </w:p>
    <w:p>
      <w:pPr>
        <w:pStyle w:val="ListBullet"/>
      </w:pPr>
      <w:r>
        <w:t>Every data-driven file in `drafts/` is generated from the **corrected</w:t>
      </w:r>
      <w:r>
        <w:t xml:space="preserve"> </w:t>
      </w:r>
      <w:r>
        <w:t>full-horizon production baseline (ADR-068, 2026-06-15 + 2026-06-16 amendment)**,</w:t>
      </w:r>
      <w:r>
        <w:t xml:space="preserve"> </w:t>
      </w:r>
      <w:r>
        <w:t xml:space="preserve">which superseded the 2026-06-13 locked run. Numbers are </w:t>
      </w:r>
      <w:r>
        <w:rPr>
          <w:b/>
        </w:rPr>
        <w:t>final</w:t>
      </w:r>
      <w:r>
        <w:t>; chart PNGs and</w:t>
      </w:r>
      <w:r>
        <w:t xml:space="preserve"> </w:t>
      </w:r>
      <w:r>
        <w:t>workbook headers carry a pre-publication mark because public layout and release</w:t>
      </w:r>
      <w:r>
        <w:t xml:space="preserve"> </w:t>
      </w:r>
      <w:r>
        <w:t>are still pending, not because the data is provisional.</w:t>
      </w:r>
    </w:p>
    <w:p>
      <w:pPr>
        <w:pStyle w:val="ListBullet"/>
      </w:pPr>
      <w:r>
        <w:t>CF-001 was disposed on 2026-06-11 (ADR-061 Accepted as modified; ADR-067</w:t>
      </w:r>
      <w:r>
        <w:t xml:space="preserve"> </w:t>
      </w:r>
      <w:r>
        <w:t>applied). The earlier "refresh after CF-001 / week of 2026-06-01" trigger is</w:t>
      </w:r>
      <w:r>
        <w:t xml:space="preserve"> </w:t>
      </w:r>
      <w:r>
        <w:t>satisfied; the data package (`drafts/`) is regenerated by rerunning</w:t>
      </w:r>
      <w:r>
        <w:t xml:space="preserve"> </w:t>
      </w:r>
      <w:r>
        <w:t>[`scripts/exports/build_public_draft_package.py`](../../../../scripts/exports/build_public_draft_package.py).</w:t>
      </w:r>
    </w:p>
    <w:p>
      <w:pPr>
        <w:pStyle w:val="ListBullet"/>
      </w:pPr>
      <w:r>
        <w:t>The narrative Word documents (`PUB-2026 *.docx`) are **generated, not</w:t>
      </w:r>
      <w:r>
        <w:t xml:space="preserve"> </w:t>
      </w:r>
      <w:r>
        <w:t>hand-edited** — they are built from the locked markdown sources</w:t>
      </w:r>
      <w:r>
        <w:t xml:space="preserve"> </w:t>
      </w:r>
      <w:r>
        <w:t>(`draft-public-pdf-copy.md`, `pdf-content-outline.md`, `2024-sdc-pdf-review.md`,</w:t>
      </w:r>
      <w:r>
        <w:t xml:space="preserve"> </w:t>
      </w:r>
      <w:r>
        <w:t>this README) and the locked CSV by</w:t>
      </w:r>
      <w:r>
        <w:t xml:space="preserve"> </w:t>
      </w:r>
      <w:r>
        <w:t>[`scripts/exports/build_marketing_docx.py`](../../../../scripts/exports/build_marketing_docx.py).</w:t>
      </w:r>
      <w:r>
        <w:t xml:space="preserve"> </w:t>
      </w:r>
      <w:r>
        <w:t>Edit the markdown source and rerun the generator rather than editing the</w:t>
      </w:r>
      <w:r>
        <w:t xml:space="preserve"> </w:t>
      </w:r>
      <w:r>
        <w:t>`.docx` directly, so the Word files cannot drift from the locked numbers again.</w:t>
      </w:r>
    </w:p>
    <w:p>
      <w:pPr>
        <w:pStyle w:val="ListBullet"/>
      </w:pPr>
      <w:r>
        <w:t>Older three-scenario outputs were removed from `drafts/` under ADR-065 and are</w:t>
      </w:r>
      <w:r>
        <w:t xml:space="preserve"> </w:t>
      </w:r>
      <w:r>
        <w:t>not part of the public package.</w:t>
      </w:r>
    </w:p>
    <w:p>
      <w:pPr>
        <w:pStyle w:val="ListBullet"/>
      </w:pPr>
      <w:r>
        <w:t>The chart-ready PNGs are reference cuts for layout; marketing should produce</w:t>
      </w:r>
      <w:r>
        <w:t xml:space="preserve"> </w:t>
      </w:r>
      <w:r>
        <w:t>final accessible figures (non-color-dependent encodings, legible map labels,</w:t>
      </w:r>
      <w:r>
        <w:t xml:space="preserve"> </w:t>
      </w:r>
      <w:r>
        <w:t>logical reading order) and replace the contact/download PLACEHOLDERs in the</w:t>
      </w:r>
      <w:r>
        <w:t xml:space="preserve"> </w:t>
      </w:r>
      <w:r>
        <w:t>PDF copy before publication.</w:t>
      </w:r>
    </w:p>
    <w:p>
      <w:pPr>
        <w:pStyle w:val="ListBullet"/>
      </w:pPr>
      <w:r>
        <w:rPr>
          <w:b/>
        </w:rPr>
        <w:t>Statewide line chart axis note:</w:t>
      </w:r>
      <w:r>
        <w:t xml:space="preserve"> the y-axis does not start at zero (it</w:t>
      </w:r>
      <w:r>
        <w:t xml:space="preserve"> </w:t>
      </w:r>
      <w:r>
        <w:t>spans roughly 795k–900k so the 2025–2055 rise is readable). At that span the</w:t>
      </w:r>
      <w:r>
        <w:t xml:space="preserve"> </w:t>
      </w:r>
      <w:r>
        <w:t>−0.26% dip to 2027 reads correctly as a shallow flattening, but keep the</w:t>
      </w:r>
      <w:r>
        <w:t xml:space="preserve"> </w:t>
      </w:r>
      <w:r>
        <w:t>dip annotation (or an explicit "−0.26%" label) in the final figure so the</w:t>
      </w:r>
      <w:r>
        <w:t xml:space="preserve"> </w:t>
      </w:r>
      <w:r>
        <w:t>early dip is not over-read as a decline (ADR-042 in spirit).</w:t>
      </w:r>
    </w:p>
    <w:p>
      <w:pPr>
        <w:pStyle w:val="ListBullet"/>
      </w:pPr>
      <w:r>
        <w:t>City and place projections are intentionally excluded from the public release.</w:t>
      </w:r>
      <w:r>
        <w:t xml:space="preserve"> </w:t>
      </w:r>
      <w:r>
        <w:t>Geographies covered: 1 state, 8 economic planning regions (R1–R8), 53 counties.</w:t>
      </w:r>
    </w:p>
    <w:p>
      <w:pPr>
        <w:pStyle w:val="ListBullet"/>
      </w:pPr>
      <w:r>
        <w:t>The bundled 2024 SDC PDF is the visual reference for marketing — do not use it</w:t>
      </w:r>
      <w:r>
        <w:t xml:space="preserve"> </w:t>
      </w:r>
      <w:r>
        <w:t>as a language template; the 2026 report uses baseline-only language and a</w:t>
      </w:r>
      <w:r>
        <w:t xml:space="preserve"> </w:t>
      </w:r>
      <w:r>
        <w:t>longer 2025–2055 horizon, and presents Baseline (CBO-Adjusted) only.</w:t>
      </w:r>
    </w:p>
    <w:p>
      <w:pPr>
        <w:pStyle w:val="ListBullet"/>
      </w:pPr>
      <w:r>
        <w:t>Internal records (decision log, QA control checklist, technical download</w:t>
      </w:r>
      <w:r>
        <w:t xml:space="preserve"> </w:t>
      </w:r>
      <w:r>
        <w:t>specification, run metadata) live one level up in the handoff folder and are</w:t>
      </w:r>
      <w:r>
        <w:t xml:space="preserve"> </w:t>
      </w:r>
      <w:r>
        <w:t>not part of the marketing packet.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