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PUB-2026 How These Projections Work</w:t>
      </w:r>
    </w:p>
    <w:p>
      <w:r>
        <w:rPr>
          <w:i/>
          <w:color w:val="808080"/>
          <w:sz w:val="16"/>
        </w:rPr>
        <w:t>Pre-publication marketing draft. Numbers are final/locked from the production run m2026r1 / cfg-20260611-production-lock — ADR-068 corrected full-horizon run (2026-06-15 + 2026-06-16 survival-horizon amendment; config sha256(16) a6e0bfbc2d70be85); this document is DRAFT only because public layout and release are pending, not because the data is provisional. Generated by scripts/exports/build_marketing_docx.py — do not hand-edit; rerun the generator instead.</w:t>
      </w:r>
    </w:p>
    <w:p>
      <w:r>
        <w:rPr>
          <w:b/>
        </w:rPr>
        <w:t>Plain-language companion to the public report: how the cohort-component method works, what the baseline assumes, and how far to trust it. Link it from the report and the download page, or bind it in as a methods appendix.</w:t>
      </w:r>
    </w:p>
    <w:p/>
    <w:p>
      <w:r>
        <w:t>*A plain-language companion to the North Dakota Population Projections, 2025–2055*</w:t>
      </w:r>
    </w:p>
    <w:p>
      <w:r>
        <w:t xml:space="preserve">Draft for marketing layout and internal review. This is a </w:t>
      </w:r>
      <w:r>
        <w:rPr>
          <w:b/>
        </w:rPr>
        <w:t>standalone companion</w:t>
      </w:r>
      <w:r>
        <w:t xml:space="preserve"> to the public</w:t>
      </w:r>
    </w:p>
    <w:p>
      <w:r>
        <w:t>report, written for the general reader who is curious about *how* a population projection is built,</w:t>
      </w:r>
    </w:p>
    <w:p>
      <w:r>
        <w:t>not only what it concludes. It is meant to be linked from the report and the download page, or bound</w:t>
      </w:r>
    </w:p>
    <w:p>
      <w:r>
        <w:t>in as a methods appendix.</w:t>
      </w:r>
    </w:p>
    <w:p>
      <w:r>
        <w:t xml:space="preserve">Numeric callouts are kept consistent with the </w:t>
      </w:r>
      <w:r>
        <w:rPr>
          <w:b/>
        </w:rPr>
        <w:t>locked-config production run</w:t>
      </w:r>
      <w:r>
        <w:t xml:space="preserve"> as corrected by the</w:t>
      </w:r>
    </w:p>
    <w:p>
      <w:r>
        <w:rPr>
          <w:b/>
        </w:rPr>
        <w:t>ADR-068 amendment</w:t>
      </w:r>
      <w:r>
        <w:t xml:space="preserve"> (`m2026r1`, full-horizon corrected run </w:t>
      </w:r>
      <w:r>
        <w:rPr>
          <w:b/>
        </w:rPr>
        <w:t>2026-06-16</w:t>
      </w:r>
      <w:r>
        <w:t>); the public path is</w:t>
      </w:r>
    </w:p>
    <w:p>
      <w:r>
        <w:rPr>
          <w:b/>
        </w:rPr>
        <w:t>Baseline (CBO-Adjusted)</w:t>
      </w:r>
      <w:r>
        <w:t xml:space="preserve"> only (ADR-065). Language follows ADR-042: this is a </w:t>
      </w:r>
      <w:r>
        <w:rPr>
          <w:b/>
        </w:rPr>
        <w:t>projection</w:t>
      </w:r>
      <w:r>
        <w:t>,</w:t>
      </w:r>
    </w:p>
    <w:p>
      <w:r>
        <w:t>never a "forecast," "prediction," "expected outcome," or "most likely" path.</w:t>
      </w:r>
    </w:p>
    <w:p>
      <w:r>
        <w:t xml:space="preserve">⚠️ </w:t>
      </w:r>
      <w:r>
        <w:rPr>
          <w:b/>
        </w:rPr>
        <w:t>Hand-authored numbers: re-verify on every projection change.</w:t>
      </w:r>
      <w:r>
        <w:t xml:space="preserve"> Like the public PDF copy,</w:t>
      </w:r>
    </w:p>
    <w:p>
      <w:r>
        <w:t xml:space="preserve">the figures here are written by hand and do </w:t>
      </w:r>
      <w:r>
        <w:rPr>
          <w:b/>
        </w:rPr>
        <w:t>not</w:t>
      </w:r>
      <w:r>
        <w:t xml:space="preserve"> regenerate automatically. Whenever the locked</w:t>
      </w:r>
    </w:p>
    <w:p>
      <w:r>
        <w:t>run changes, reconcile the callouts (state base, 2055 total, growth %, the 2027 low, the</w:t>
      </w:r>
    </w:p>
    <w:p>
      <w:r>
        <w:t>declining-county count, and the county figures) against `final-run-metadata.md` / the locked</w:t>
      </w:r>
    </w:p>
    <w:p>
      <w:r>
        <w:t>public CSV and `draft-public-pdf-copy.md`. This file is covered by the strict prose-sync check in</w:t>
      </w:r>
    </w:p>
    <w:p>
      <w:r>
        <w:t>`scripts/exports/build_marketing_docx.py`. The 2018-vintage track-record figures (793,537 /</w:t>
      </w:r>
    </w:p>
    <w:p>
      <w:r>
        <w:t>779,094) are quoted from the 2024 edition's Note of Caution; re-verify against the original 2018</w:t>
      </w:r>
    </w:p>
    <w:p>
      <w:r>
        <w:t>publication if it is located.</w:t>
      </w:r>
    </w:p>
    <w:p>
      <w:pPr>
        <w:pStyle w:val="Heading2"/>
      </w:pPr>
      <w:r>
        <w:t>Counting a future that hasn't happened yet</w:t>
      </w:r>
    </w:p>
    <w:p>
      <w:r>
        <w:t>The people who will live in North Dakota in 2055 are, for the most part, not a mystery. A majority of</w:t>
      </w:r>
    </w:p>
    <w:p>
      <w:r>
        <w:t>them are already here, and many of the rest will be the children and grandchildren of people already</w:t>
      </w:r>
    </w:p>
    <w:p>
      <w:r>
        <w:t>here. So projecting a population is less an act of prediction than of careful accounting: you take a</w:t>
      </w:r>
    </w:p>
    <w:p>
      <w:r>
        <w:t>detailed picture of who lives here now and follow it forward, year by year, watching it change as</w:t>
      </w:r>
    </w:p>
    <w:p>
      <w:r>
        <w:t>people age, as some are born and some die, and as others arrive or depart.</w:t>
      </w:r>
    </w:p>
    <w:p>
      <w:r>
        <w:t>That is the whole idea behind the method used in these projections, and it has a name:</w:t>
      </w:r>
    </w:p>
    <w:p>
      <w:r>
        <w:t xml:space="preserve">the </w:t>
      </w:r>
      <w:r>
        <w:rPr>
          <w:b/>
        </w:rPr>
        <w:t>cohort-component method</w:t>
      </w:r>
      <w:r>
        <w:t>. It is the standard approach used by the U.S. Census Bureau, by</w:t>
      </w:r>
    </w:p>
    <w:p>
      <w:r>
        <w:t>state demography offices, and by the United Nations. This companion explains, in ordinary language,</w:t>
      </w:r>
    </w:p>
    <w:p>
      <w:r>
        <w:t>what it does and why it is built the way it is. No background in demography is assumed; the more</w:t>
      </w:r>
    </w:p>
    <w:p>
      <w:r>
        <w:t>technical details are set aside in boxes for readers who want them.</w:t>
      </w:r>
    </w:p>
    <w:p>
      <w:pPr>
        <w:pStyle w:val="Heading2"/>
      </w:pPr>
      <w:r>
        <w:t>Why a trend line is not enough</w:t>
      </w:r>
    </w:p>
    <w:p>
      <w:r>
        <w:t>The tempting shortcut is to look at how fast the population has grown lately and simply extend the</w:t>
      </w:r>
    </w:p>
    <w:p>
      <w:r>
        <w:t>line. Over a year or two, that is harmless. Over thirty years, it quietly falls apart because a</w:t>
      </w:r>
    </w:p>
    <w:p>
      <w:r>
        <w:t>population is not really a single number. It is a structure, and structure has consequences.</w:t>
      </w:r>
    </w:p>
    <w:p>
      <w:r>
        <w:t>Consider two counties of exactly the same size, growing at exactly the same rate this year. In one,</w:t>
      </w:r>
    </w:p>
    <w:p>
      <w:r>
        <w:t>the residents are mostly young families; in the other, mostly people past middle age. Extend the</w:t>
      </w:r>
    </w:p>
    <w:p>
      <w:r>
        <w:t>trend line and the two look identical. But they are not headed to the same place. The young county</w:t>
      </w:r>
    </w:p>
    <w:p>
      <w:r>
        <w:t>will keep producing far more births than deaths for decades; the older one will see the balance tip</w:t>
      </w:r>
    </w:p>
    <w:p>
      <w:r>
        <w:t>the other way. Within a generation their paths diverge sharply, and a trend line never saw it</w:t>
      </w:r>
    </w:p>
    <w:p>
      <w:r>
        <w:t>coming.</w:t>
      </w:r>
    </w:p>
    <w:p>
      <w:r>
        <w:t>The cohort-component method works precisely because it refuses that shortcut. Instead of carrying one</w:t>
      </w:r>
    </w:p>
    <w:p>
      <w:r>
        <w:t>number per county, it carries a detailed portrait of the population and updates every feature</w:t>
      </w:r>
    </w:p>
    <w:p>
      <w:r>
        <w:t>of that portrait each year. The projection responds to *who* lives in a place, not merely *how many*.</w:t>
      </w:r>
    </w:p>
    <w:p>
      <w:r>
        <w:rPr>
          <w:b/>
        </w:rPr>
        <w:t>Technical note: what a "cohort" is, and how many we track.</w:t>
      </w:r>
    </w:p>
    <w:p>
      <w:r>
        <w:t>A cohort is a group of people who share an age, a sex, and a race/ethnicity. The model divides</w:t>
      </w:r>
    </w:p>
    <w:p>
      <w:r>
        <w:t xml:space="preserve">each county's population into </w:t>
      </w:r>
      <w:r>
        <w:rPr>
          <w:b/>
        </w:rPr>
        <w:t>91 single-year age groups</w:t>
      </w:r>
      <w:r>
        <w:t xml:space="preserve"> (0 through 89, plus an open-ended</w:t>
      </w:r>
    </w:p>
    <w:p>
      <w:r>
        <w:t xml:space="preserve">"90 and older"), </w:t>
      </w:r>
      <w:r>
        <w:rPr>
          <w:b/>
        </w:rPr>
        <w:t>2 sexes</w:t>
      </w:r>
      <w:r>
        <w:t xml:space="preserve">, and </w:t>
      </w:r>
      <w:r>
        <w:rPr>
          <w:b/>
        </w:rPr>
        <w:t>6 race/ethnicity categories</w:t>
      </w:r>
      <w:r>
        <w:t>: 1,092 distinct cohorts in</w:t>
      </w:r>
    </w:p>
    <w:p>
      <w:r>
        <w:t>every county, each followed separately for every year from 2025 to 2055. The base year is</w:t>
      </w:r>
    </w:p>
    <w:p>
      <w:r>
        <w:t>July 1, 2025, anchored to the Census Bureau's Population Estimates Program (Vintage 2025), with a</w:t>
      </w:r>
    </w:p>
    <w:p>
      <w:r>
        <w:t xml:space="preserve">starting statewide population of </w:t>
      </w:r>
      <w:r>
        <w:rPr>
          <w:b/>
        </w:rPr>
        <w:t>799,358</w:t>
      </w:r>
      <w:r>
        <w:t>.</w:t>
      </w:r>
    </w:p>
    <w:p>
      <w:pPr>
        <w:pStyle w:val="Heading2"/>
      </w:pPr>
      <w:r>
        <w:t>The three things that can change a population</w:t>
      </w:r>
    </w:p>
    <w:p>
      <w:r>
        <w:t>Once you know who lives somewhere, the bookkeeping that follows is, in principle, simple. Only three</w:t>
      </w:r>
    </w:p>
    <w:p>
      <w:r>
        <w:t>things can change the count over the course of a year. The method handles each in turn. These three</w:t>
      </w:r>
    </w:p>
    <w:p>
      <w:r>
        <w:t>*components* give the method its name.</w:t>
      </w:r>
    </w:p>
    <w:p>
      <w:pPr>
        <w:pStyle w:val="Heading3"/>
      </w:pPr>
      <w:r>
        <w:t>Survival: everyone grows a year older, and not everyone makes it</w:t>
      </w:r>
    </w:p>
    <w:p>
      <w:r>
        <w:t>Each year, every person who was thirty becomes thirty-one, every thirty-one-year-old becomes</w:t>
      </w:r>
    </w:p>
    <w:p>
      <w:r>
        <w:t>thirty-two, and the whole population shifts one step up the ladder of age. At the same time, a</w:t>
      </w:r>
    </w:p>
    <w:p>
      <w:r>
        <w:t>share of each group (vanishingly small among children and young adults, larger in advanced age)</w:t>
      </w:r>
    </w:p>
    <w:p>
      <w:r>
        <w:t>does not survive the year. This single step does two jobs at once: it ages the population forward,</w:t>
      </w:r>
    </w:p>
    <w:p>
      <w:r>
        <w:t>and it accounts for death.</w:t>
      </w:r>
    </w:p>
    <w:p>
      <w:r>
        <w:rPr>
          <w:b/>
        </w:rPr>
        <w:t>Technical note: where survival rates come from.</w:t>
      </w:r>
    </w:p>
    <w:p>
      <w:r>
        <w:t>Survival rates are derived from CDC/NCHS life tables and adjusted to reflect North Dakota's own</w:t>
      </w:r>
    </w:p>
    <w:p>
      <w:r>
        <w:t>mortality experience instead of the national average. They also improve gradually over time</w:t>
      </w:r>
    </w:p>
    <w:p>
      <w:r>
        <w:t>(about 0.5% per year), reflecting the long, slow trend toward longer lives. The open-ended</w:t>
      </w:r>
    </w:p>
    <w:p>
      <w:r>
        <w:t>"90 and older" group is handled with a survival ratio built from the life table's person-years</w:t>
      </w:r>
    </w:p>
    <w:p>
      <w:r>
        <w:t>columns, so the oldest cohort ages realistically instead of emptying out or piling up.</w:t>
      </w:r>
    </w:p>
    <w:p>
      <w:pPr>
        <w:pStyle w:val="Heading3"/>
      </w:pPr>
      <w:r>
        <w:t>Fertility: a new generation enters</w:t>
      </w:r>
    </w:p>
    <w:p>
      <w:r>
        <w:t>Women of childbearing age have children, and those children enter the model as the new age-zero</w:t>
      </w:r>
    </w:p>
    <w:p>
      <w:r>
        <w:t>group, the youngest rung of the ladder, replenished each year. How many arrive depends on how many</w:t>
      </w:r>
    </w:p>
    <w:p>
      <w:r>
        <w:t>women of each age live in the county and on the rate at which women of that age tend to have</w:t>
      </w:r>
    </w:p>
    <w:p>
      <w:r>
        <w:t>children. This is the quiet engine of the long run, and it is also where a county's age structure</w:t>
      </w:r>
    </w:p>
    <w:p>
      <w:r>
        <w:t>makes itself felt most directly: a county with many women in their prime childbearing years carries</w:t>
      </w:r>
    </w:p>
    <w:p>
      <w:r>
        <w:t>a momentum that no trend line can read.</w:t>
      </w:r>
    </w:p>
    <w:p>
      <w:r>
        <w:rPr>
          <w:b/>
        </w:rPr>
        <w:t>Technical note: fertility inputs.</w:t>
      </w:r>
    </w:p>
    <w:p>
      <w:r>
        <w:t>Age-specific fertility rates come from CDC/NCHS natality data, calibrated to North Dakota (a total</w:t>
      </w:r>
    </w:p>
    <w:p>
      <w:r>
        <w:t>fertility rate of roughly 1.86 children per woman). Newborns are divided into male and female</w:t>
      </w:r>
    </w:p>
    <w:p>
      <w:r>
        <w:t>using the observed biological sex ratio at birth. In the public baseline, fertility is reduced 5%</w:t>
      </w:r>
    </w:p>
    <w:p>
      <w:r>
        <w:t>to match the CBO current-policy fertility outlook (see "What the baseline assumes" below).</w:t>
      </w:r>
    </w:p>
    <w:p>
      <w:pPr>
        <w:pStyle w:val="Heading3"/>
      </w:pPr>
      <w:r>
        <w:t>Migration: people arrive, and people leave</w:t>
      </w:r>
    </w:p>
    <w:p>
      <w:r>
        <w:t>Finally, the model accounts for movement: people settling in each county and people leaving it.</w:t>
      </w:r>
    </w:p>
    <w:p>
      <w:r>
        <w:t>What matters is the *net* of the two: arrivals minus departures. For North Dakota, this is at once</w:t>
      </w:r>
    </w:p>
    <w:p>
      <w:r>
        <w:t>the most important ingredient and the most uncertain, because migration — much of it from abroad —</w:t>
      </w:r>
    </w:p>
    <w:p>
      <w:r>
        <w:t>drives most of the state's recent change, while births and deaths account for relatively little.</w:t>
      </w:r>
    </w:p>
    <w:p>
      <w:r>
        <w:rPr>
          <w:b/>
        </w:rPr>
        <w:t>Technical note: how migration is estimated.</w:t>
      </w:r>
    </w:p>
    <w:p>
      <w:r>
        <w:t xml:space="preserve">Migration is estimated by a </w:t>
      </w:r>
      <w:r>
        <w:rPr>
          <w:b/>
        </w:rPr>
        <w:t>residual method</w:t>
      </w:r>
      <w:r>
        <w:t>. For recent years we take the actual change in</w:t>
      </w:r>
    </w:p>
    <w:p>
      <w:r>
        <w:t>population and subtract what births and deaths alone would have produced; whatever remains (the</w:t>
      </w:r>
    </w:p>
    <w:p>
      <w:r>
        <w:t>residual) is attributed to migration. Those historical rates are then smoothed, adjusted for</w:t>
      </w:r>
    </w:p>
    <w:p>
      <w:r>
        <w:t>special cases (oil-boom counties, college towns, military and tribal communities), and allowed to</w:t>
      </w:r>
    </w:p>
    <w:p>
      <w:r>
        <w:t>converge toward more moderate long-run levels instead of being assumed to run at peak rates forever.</w:t>
      </w:r>
    </w:p>
    <w:p>
      <w:r>
        <w:t>When all three components have been applied, the population at the end of one year becomes the</w:t>
      </w:r>
    </w:p>
    <w:p>
      <w:r>
        <w:t>starting point for the next, and the whole cycle begins again: thirty times over, once a year, for</w:t>
      </w:r>
    </w:p>
    <w:p>
      <w:r>
        <w:t>every cohort in every county. The arithmetic is patient and unglamorous, but it is faithful to how</w:t>
      </w:r>
    </w:p>
    <w:p>
      <w:r>
        <w:t>populations actually change.</w:t>
      </w:r>
    </w:p>
    <w:p>
      <w:r>
        <w:rPr>
          <w:b/>
        </w:rPr>
        <w:t>Technical note: the projection in one line.</w:t>
      </w:r>
    </w:p>
    <w:p>
      <w:r>
        <w:t>For a cohort of age *a*, sex *s*, and race *r* in county *c*, next year's population is</w:t>
      </w:r>
    </w:p>
    <w:p>
      <w:r>
        <w:t>*(this year's population × survival rate) + net migration*, with births entering as a new</w:t>
      </w:r>
    </w:p>
    <w:p>
      <w:r>
        <w:t xml:space="preserve">age-zero cohort. State totals are then formed by </w:t>
      </w:r>
      <w:r>
        <w:rPr>
          <w:b/>
        </w:rPr>
        <w:t>summing the 53 counties</w:t>
      </w:r>
      <w:r>
        <w:t>. The state is not</w:t>
      </w:r>
    </w:p>
    <w:p>
      <w:r>
        <w:t>projected separately, so county, regional, and state figures always reconcile exactly.</w:t>
      </w:r>
    </w:p>
    <w:p>
      <w:pPr>
        <w:pStyle w:val="Heading2"/>
      </w:pPr>
      <w:r>
        <w:t>What the baseline assumes</w:t>
      </w:r>
    </w:p>
    <w:p>
      <w:r>
        <w:t>A projection is only as trustworthy as its assumptions, and across thirty years the assumptions that</w:t>
      </w:r>
    </w:p>
    <w:p>
      <w:r>
        <w:t>matter most concern migration and fertility. The public release follows a single path: the</w:t>
      </w:r>
    </w:p>
    <w:p>
      <w:r>
        <w:rPr>
          <w:b/>
        </w:rPr>
        <w:t>Baseline (CBO-Adjusted)</w:t>
      </w:r>
      <w:r>
        <w:t xml:space="preserve"> scenario, built on the U.S. Congressional Budget Office's January 2026</w:t>
      </w:r>
    </w:p>
    <w:p>
      <w:r>
        <w:t>current-policy outlook:</w:t>
      </w:r>
    </w:p>
    <w:p>
      <w:pPr>
        <w:pStyle w:val="ListBullet"/>
      </w:pPr>
      <w:r>
        <w:rPr>
          <w:b/>
        </w:rPr>
        <w:t>Migration</w:t>
      </w:r>
      <w:r>
        <w:t xml:space="preserve"> is eased down from its recent surge on a </w:t>
      </w:r>
      <w:r>
        <w:rPr>
          <w:b/>
        </w:rPr>
        <w:t>front-loaded</w:t>
      </w:r>
      <w:r>
        <w:t xml:space="preserve"> schedule, the reduction</w:t>
      </w:r>
      <w:r>
        <w:t xml:space="preserve"> </w:t>
      </w:r>
      <w:r>
        <w:t>largest in 2025–2026 and tapering through the end of the decade, reflecting the CBO's assumption</w:t>
      </w:r>
      <w:r>
        <w:t xml:space="preserve"> </w:t>
      </w:r>
      <w:r>
        <w:t>that the recent pace of immigration softens under current federal policy.</w:t>
      </w:r>
    </w:p>
    <w:p>
      <w:pPr>
        <w:pStyle w:val="ListBullet"/>
      </w:pPr>
      <w:r>
        <w:rPr>
          <w:b/>
        </w:rPr>
        <w:t>Fertility</w:t>
      </w:r>
      <w:r>
        <w:t xml:space="preserve"> is reduced 5%, matching the CBO's lower fertility revision.</w:t>
      </w:r>
    </w:p>
    <w:p>
      <w:pPr>
        <w:pStyle w:val="ListBullet"/>
      </w:pPr>
      <w:r>
        <w:rPr>
          <w:b/>
        </w:rPr>
        <w:t>Survival</w:t>
      </w:r>
      <w:r>
        <w:t xml:space="preserve"> improves gradually, as described above.</w:t>
      </w:r>
    </w:p>
    <w:p>
      <w:r>
        <w:t>This is why the projected path does not rise in a straight line. It is nearly flat for the first few</w:t>
      </w:r>
    </w:p>
    <w:p>
      <w:r>
        <w:t xml:space="preserve">years, dips to a shallow low of about </w:t>
      </w:r>
      <w:r>
        <w:rPr>
          <w:b/>
        </w:rPr>
        <w:t>797,000 around 2027</w:t>
      </w:r>
      <w:r>
        <w:t>, and then resumes a steady climb,</w:t>
      </w:r>
    </w:p>
    <w:p>
      <w:r>
        <w:t xml:space="preserve">reaching roughly </w:t>
      </w:r>
      <w:r>
        <w:rPr>
          <w:b/>
        </w:rPr>
        <w:t>899,000 by 2055</w:t>
      </w:r>
      <w:r>
        <w:t xml:space="preserve">, about </w:t>
      </w:r>
      <w:r>
        <w:rPr>
          <w:b/>
        </w:rPr>
        <w:t>12% above</w:t>
      </w:r>
      <w:r>
        <w:t xml:space="preserve"> the 2025 starting point of some</w:t>
      </w:r>
    </w:p>
    <w:p>
      <w:r>
        <w:rPr>
          <w:b/>
        </w:rPr>
        <w:t>799,400</w:t>
      </w:r>
      <w:r>
        <w:t>. The early dip is easily misread. It is a built-in feature of the migration assumption,</w:t>
      </w:r>
    </w:p>
    <w:p>
      <w:r>
        <w:t>not a downturn the model uncovered on its own.</w:t>
      </w:r>
    </w:p>
    <w:p>
      <w:r>
        <w:rPr>
          <w:b/>
        </w:rPr>
        <w:t>A projection is not a forecast.</w:t>
      </w:r>
      <w:r>
        <w:t xml:space="preserve"> The baseline describes one modeled outcome *if the stated</w:t>
      </w:r>
    </w:p>
    <w:p>
      <w:r>
        <w:t>assumptions hold*. It is a planning path, not a guarantee and not a prediction of the most likely</w:t>
      </w:r>
    </w:p>
    <w:p>
      <w:r>
        <w:t>future. Change the assumptions, especially those about migration, and the path changes with them.</w:t>
      </w:r>
    </w:p>
    <w:p>
      <w:pPr>
        <w:pStyle w:val="Heading2"/>
      </w:pPr>
      <w:r>
        <w:t>What the statewide number conceals</w:t>
      </w:r>
    </w:p>
    <w:p>
      <w:r>
        <w:t>The statewide total describes no single county's experience. Under the baseline, growth is</w:t>
      </w:r>
    </w:p>
    <w:p>
      <w:r>
        <w:t>strikingly concentrated. More than three-quarters of all projected gains fall in just three</w:t>
      </w:r>
    </w:p>
    <w:p>
      <w:r>
        <w:t xml:space="preserve">counties: </w:t>
      </w:r>
      <w:r>
        <w:rPr>
          <w:b/>
        </w:rPr>
        <w:t>Cass</w:t>
      </w:r>
      <w:r>
        <w:t xml:space="preserve"> (Fargo), </w:t>
      </w:r>
      <w:r>
        <w:rPr>
          <w:b/>
        </w:rPr>
        <w:t>Williams</w:t>
      </w:r>
      <w:r>
        <w:t xml:space="preserve"> (Williston), and </w:t>
      </w:r>
      <w:r>
        <w:rPr>
          <w:b/>
        </w:rPr>
        <w:t>Burleigh</w:t>
      </w:r>
      <w:r>
        <w:t xml:space="preserve"> (Bismarck). At the same</w:t>
      </w:r>
    </w:p>
    <w:p>
      <w:r>
        <w:t xml:space="preserve">time, </w:t>
      </w:r>
      <w:r>
        <w:rPr>
          <w:b/>
        </w:rPr>
        <w:t>36 of the 53 counties are projected to decline.</w:t>
      </w:r>
    </w:p>
    <w:p>
      <w:r>
        <w:t>Because the method follows each county on its own terms, reflecting its particular age structure and</w:t>
      </w:r>
    </w:p>
    <w:p>
      <w:r>
        <w:t>its own history of migration, it can show why these paths diverge.</w:t>
      </w:r>
    </w:p>
    <w:p>
      <w:r>
        <w:rPr>
          <w:b/>
        </w:rPr>
        <w:t>Williams County</w:t>
      </w:r>
      <w:r>
        <w:t xml:space="preserve"> continues to grow largely because its population is unusually young and so</w:t>
      </w:r>
    </w:p>
    <w:p>
      <w:r>
        <w:t>produces more births than deaths, even after its in-migration is assumed to run at about half its</w:t>
      </w:r>
    </w:p>
    <w:p>
      <w:r>
        <w:t xml:space="preserve">recent rate. </w:t>
      </w:r>
      <w:r>
        <w:rPr>
          <w:b/>
        </w:rPr>
        <w:t>Ward County</w:t>
      </w:r>
      <w:r>
        <w:t>, around Minot, declines because it has recorded net out-migration</w:t>
      </w:r>
    </w:p>
    <w:p>
      <w:r>
        <w:t>every year since 2020. Neither conclusion is an editorial judgment imposed on the data; each falls</w:t>
      </w:r>
    </w:p>
    <w:p>
      <w:r>
        <w:t>out of that county's own numbers, run through the same machinery as every other.</w:t>
      </w:r>
    </w:p>
    <w:p>
      <w:pPr>
        <w:pStyle w:val="Heading2"/>
      </w:pPr>
      <w:r>
        <w:t>How far should you trust it?</w:t>
      </w:r>
    </w:p>
    <w:p>
      <w:r>
        <w:t>No projection is a promise, but the record offers a fair sense of its reach. The last time the</w:t>
      </w:r>
    </w:p>
    <w:p>
      <w:r>
        <w:t>census checked this projection series was 2020: the Data Center's 2018-vintage projection put the</w:t>
      </w:r>
    </w:p>
    <w:p>
      <w:r>
        <w:t xml:space="preserve">state's population at </w:t>
      </w:r>
      <w:r>
        <w:rPr>
          <w:b/>
        </w:rPr>
        <w:t>793,537</w:t>
      </w:r>
      <w:r>
        <w:t xml:space="preserve">, and the census counted </w:t>
      </w:r>
      <w:r>
        <w:rPr>
          <w:b/>
        </w:rPr>
        <w:t>779,094</w:t>
      </w:r>
      <w:r>
        <w:t xml:space="preserve"> — a difference of just under</w:t>
      </w:r>
    </w:p>
    <w:p>
      <w:r>
        <w:rPr>
          <w:b/>
        </w:rPr>
        <w:t>two percent</w:t>
      </w:r>
      <w:r>
        <w:t>, across a two-year horizon. In our own back-testing, which launches the current model</w:t>
      </w:r>
    </w:p>
    <w:p>
      <w:r>
        <w:t>from past years and checks it against what actually happened, it tracks the statewide total to</w:t>
      </w:r>
    </w:p>
    <w:p>
      <w:r>
        <w:t xml:space="preserve">within roughly </w:t>
      </w:r>
      <w:r>
        <w:rPr>
          <w:b/>
        </w:rPr>
        <w:t>1% over a single year</w:t>
      </w:r>
      <w:r>
        <w:t xml:space="preserve"> and a few percent over about a decade.</w:t>
      </w:r>
    </w:p>
    <w:p>
      <w:r>
        <w:t>Two cautions deserve to travel alongside those figures, and they are not fine print:</w:t>
      </w:r>
    </w:p>
    <w:p>
      <w:pPr>
        <w:pStyle w:val="ListBullet"/>
      </w:pPr>
      <w:r>
        <w:rPr>
          <w:b/>
        </w:rPr>
        <w:t>Accuracy fades with distance and with smallness.</w:t>
      </w:r>
      <w:r>
        <w:t xml:space="preserve"> Near-term statewide numbers are dependable;</w:t>
      </w:r>
      <w:r>
        <w:t xml:space="preserve"> </w:t>
      </w:r>
      <w:r>
        <w:t>long-range figures and the smallest counties carry real uncertainty and are best read as planning</w:t>
      </w:r>
      <w:r>
        <w:t xml:space="preserve"> </w:t>
      </w:r>
      <w:r>
        <w:t>ranges, not as points on a map.</w:t>
      </w:r>
    </w:p>
    <w:p>
      <w:pPr>
        <w:pStyle w:val="ListBullet"/>
      </w:pPr>
      <w:r>
        <w:rPr>
          <w:b/>
        </w:rPr>
        <w:t>No method anticipates a rupture.</w:t>
      </w:r>
      <w:r>
        <w:t xml:space="preserve"> An oil boom, a pandemic, or a sharp turn in federal</w:t>
      </w:r>
      <w:r>
        <w:t xml:space="preserve"> </w:t>
      </w:r>
      <w:r>
        <w:t>immigration policy can overturn the assumptions the model carries forward. That is a limit of the</w:t>
      </w:r>
      <w:r>
        <w:t xml:space="preserve"> </w:t>
      </w:r>
      <w:r>
        <w:t>enterprise, not a flaw in this particular model.</w:t>
      </w:r>
    </w:p>
    <w:p>
      <w:pPr>
        <w:pStyle w:val="Heading2"/>
      </w:pPr>
      <w:r>
        <w:t>In a sentence</w:t>
      </w:r>
    </w:p>
    <w:p>
      <w:r>
        <w:t>Stripped to its essentials, the cohort-component method is careful bookkeeping carried out one year</w:t>
      </w:r>
    </w:p>
    <w:p>
      <w:r>
        <w:t>at a time: begin with a detailed picture of who lives here, age everyone forward, welcome the</w:t>
      </w:r>
    </w:p>
    <w:p>
      <w:r>
        <w:t>newborns, account for those who die, weigh the comings and goings, and repeat. Its strength is that</w:t>
      </w:r>
    </w:p>
    <w:p>
      <w:r>
        <w:t>it honors the real structure of a population. That strength does not remove the limits of looking</w:t>
      </w:r>
    </w:p>
    <w:p>
      <w:r>
        <w:t>thirty years ahead. The farther out the year, and the smaller the place, the more the answer leans on</w:t>
      </w:r>
    </w:p>
    <w:p>
      <w:r>
        <w:t>assumptions the future may revise.</w:t>
      </w:r>
    </w:p>
    <w:p>
      <w:r>
        <w:t>For exact annual figures by state, region, and county, see the public download package (the Excel</w:t>
      </w:r>
    </w:p>
    <w:p>
      <w:r>
        <w:t>workbook and CSV). For the full technical methodology, including every formula, data source, and special-case</w:t>
      </w:r>
    </w:p>
    <w:p>
      <w:r>
        <w:t>adjustment, see the complete methodology documentation referenced in the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