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Draft Numbers For Layout</w:t>
      </w:r>
    </w:p>
    <w:p>
      <w:r>
        <w:t xml:space="preserve">These are rounded draft values from the March 2026 exports. They are for copy</w:t>
      </w:r>
    </w:p>
    <w:p>
      <w:r>
        <w:t xml:space="preserve">development, chart sizing, and table layout only.</w:t>
      </w:r>
    </w:p>
    <w:p>
      <w:r>
        <w:t xml:space="preserve">Refresh every number after CF-001 is resolved and final production outputs are</w:t>
      </w:r>
    </w:p>
    <w:p>
      <w:r>
        <w:t xml:space="preserve">approved.</w:t>
      </w:r>
    </w:p>
    <w:p>
      <w:pPr>
        <w:pStyle w:val="Heading2"/>
      </w:pPr>
      <w:r>
        <w:t xml:space="preserve">Statewide Scenario Range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1337" w:type="dxa"/>
          </w:tcPr>
          <w:p>
            <w:r>
              <w:rPr>
                <w:b/>
              </w:rPr>
              <w:t xml:space="preserve">Scenario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2025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2030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2040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2050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2055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2025-2055 change</w:t>
            </w:r>
          </w:p>
        </w:tc>
      </w:tr>
      <w:tr>
        <w:tc>
          <w:tcPr>
            <w:tcW w:w="1337" w:type="dxa"/>
          </w:tcPr>
          <w:p>
            <w:r>
              <w:t xml:space="preserve">Restricted Growth</w:t>
            </w:r>
          </w:p>
        </w:tc>
        <w:tc>
          <w:tcPr>
            <w:tcW w:w="1337" w:type="dxa"/>
          </w:tcPr>
          <w:p>
            <w:r>
              <w:t xml:space="preserve">799,000</w:t>
            </w:r>
          </w:p>
        </w:tc>
        <w:tc>
          <w:tcPr>
            <w:tcW w:w="1337" w:type="dxa"/>
          </w:tcPr>
          <w:p>
            <w:r>
              <w:t xml:space="preserve">784,000</w:t>
            </w:r>
          </w:p>
        </w:tc>
        <w:tc>
          <w:tcPr>
            <w:tcW w:w="1337" w:type="dxa"/>
          </w:tcPr>
          <w:p>
            <w:r>
              <w:t xml:space="preserve">812,000</w:t>
            </w:r>
          </w:p>
        </w:tc>
        <w:tc>
          <w:tcPr>
            <w:tcW w:w="1337" w:type="dxa"/>
          </w:tcPr>
          <w:p>
            <w:r>
              <w:t xml:space="preserve">827,000</w:t>
            </w:r>
          </w:p>
        </w:tc>
        <w:tc>
          <w:tcPr>
            <w:tcW w:w="1337" w:type="dxa"/>
          </w:tcPr>
          <w:p>
            <w:r>
              <w:t xml:space="preserve">828,000</w:t>
            </w:r>
          </w:p>
        </w:tc>
        <w:tc>
          <w:tcPr>
            <w:tcW w:w="1337" w:type="dxa"/>
          </w:tcPr>
          <w:p>
            <w:r>
              <w:t xml:space="preserve">29,000</w:t>
            </w:r>
          </w:p>
        </w:tc>
      </w:tr>
      <w:tr>
        <w:tc>
          <w:tcPr>
            <w:tcW w:w="1337" w:type="dxa"/>
          </w:tcPr>
          <w:p>
            <w:r>
              <w:t xml:space="preserve">Baseline (Trend Continuation)</w:t>
            </w:r>
          </w:p>
        </w:tc>
        <w:tc>
          <w:tcPr>
            <w:tcW w:w="1337" w:type="dxa"/>
          </w:tcPr>
          <w:p>
            <w:r>
              <w:t xml:space="preserve">799,000</w:t>
            </w:r>
          </w:p>
        </w:tc>
        <w:tc>
          <w:tcPr>
            <w:tcW w:w="1337" w:type="dxa"/>
          </w:tcPr>
          <w:p>
            <w:r>
              <w:t xml:space="preserve">810,000</w:t>
            </w:r>
          </w:p>
        </w:tc>
        <w:tc>
          <w:tcPr>
            <w:tcW w:w="1337" w:type="dxa"/>
          </w:tcPr>
          <w:p>
            <w:r>
              <w:t xml:space="preserve">848,000</w:t>
            </w:r>
          </w:p>
        </w:tc>
        <w:tc>
          <w:tcPr>
            <w:tcW w:w="1337" w:type="dxa"/>
          </w:tcPr>
          <w:p>
            <w:r>
              <w:t xml:space="preserve">874,000</w:t>
            </w:r>
          </w:p>
        </w:tc>
        <w:tc>
          <w:tcPr>
            <w:tcW w:w="1337" w:type="dxa"/>
          </w:tcPr>
          <w:p>
            <w:r>
              <w:t xml:space="preserve">882,000</w:t>
            </w:r>
          </w:p>
        </w:tc>
        <w:tc>
          <w:tcPr>
            <w:tcW w:w="1337" w:type="dxa"/>
          </w:tcPr>
          <w:p>
            <w:r>
              <w:t xml:space="preserve">83,000</w:t>
            </w:r>
          </w:p>
        </w:tc>
      </w:tr>
      <w:tr>
        <w:tc>
          <w:tcPr>
            <w:tcW w:w="1337" w:type="dxa"/>
          </w:tcPr>
          <w:p>
            <w:r>
              <w:t xml:space="preserve">High Growth</w:t>
            </w:r>
          </w:p>
        </w:tc>
        <w:tc>
          <w:tcPr>
            <w:tcW w:w="1337" w:type="dxa"/>
          </w:tcPr>
          <w:p>
            <w:r>
              <w:t xml:space="preserve">799,000</w:t>
            </w:r>
          </w:p>
        </w:tc>
        <w:tc>
          <w:tcPr>
            <w:tcW w:w="1337" w:type="dxa"/>
          </w:tcPr>
          <w:p>
            <w:r>
              <w:t xml:space="preserve">847,000</w:t>
            </w:r>
          </w:p>
        </w:tc>
        <w:tc>
          <w:tcPr>
            <w:tcW w:w="1337" w:type="dxa"/>
          </w:tcPr>
          <w:p>
            <w:r>
              <w:t xml:space="preserve">941,000</w:t>
            </w:r>
          </w:p>
        </w:tc>
        <w:tc>
          <w:tcPr>
            <w:tcW w:w="1337" w:type="dxa"/>
          </w:tcPr>
          <w:p>
            <w:r>
              <w:t xml:space="preserve">1,035,000</w:t>
            </w:r>
          </w:p>
        </w:tc>
        <w:tc>
          <w:tcPr>
            <w:tcW w:w="1337" w:type="dxa"/>
          </w:tcPr>
          <w:p>
            <w:r>
              <w:t xml:space="preserve">1,078,000</w:t>
            </w:r>
          </w:p>
        </w:tc>
        <w:tc>
          <w:tcPr>
            <w:tcW w:w="1337" w:type="dxa"/>
          </w:tcPr>
          <w:p>
            <w:r>
              <w:t xml:space="preserve">279,000</w:t>
            </w:r>
          </w:p>
        </w:tc>
      </w:tr>
    </w:tbl>
    <w:p>
      <w:r>
        <w:t xml:space="preserve">Layout takeaways:</w:t>
      </w:r>
    </w:p>
    <w:p>
      <w:pPr>
        <w:ind w:left="360" w:hanging="360"/>
      </w:pPr>
      <w:r>
        <w:t xml:space="preserve">• </w:t>
      </w:r>
      <w:r>
        <w:t xml:space="preserve">The baseline reaches about 882,000 residents by 2055.</w:t>
      </w:r>
    </w:p>
    <w:p>
      <w:pPr>
        <w:ind w:left="360" w:hanging="360"/>
      </w:pPr>
      <w:r>
        <w:t xml:space="preserve">• </w:t>
      </w:r>
      <w:r>
        <w:t xml:space="preserve">The 2055 scenario range runs from about 828,000 to 1.08 million residents.</w:t>
      </w:r>
    </w:p>
    <w:p>
      <w:pPr>
        <w:ind w:left="360" w:hanging="360"/>
      </w:pPr>
      <w:r>
        <w:t xml:space="preserve">• </w:t>
      </w:r>
      <w:r>
        <w:t xml:space="preserve">The spread is mainly a migration story, so scenario assumptions need to</w:t>
      </w:r>
    </w:p>
    <w:p>
      <w:r>
        <w:t xml:space="preserve">appear early in the PDF.</w:t>
      </w:r>
    </w:p>
    <w:p>
      <w:pPr>
        <w:pStyle w:val="Heading2"/>
      </w:pPr>
      <w:r>
        <w:t xml:space="preserve">Baseline Regional Change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2340" w:type="dxa"/>
          </w:tcPr>
          <w:p>
            <w:r>
              <w:rPr>
                <w:b/>
              </w:rPr>
              <w:t xml:space="preserve">Region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2025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2055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Change</w:t>
            </w:r>
          </w:p>
        </w:tc>
      </w:tr>
      <w:tr>
        <w:tc>
          <w:tcPr>
            <w:tcW w:w="2340" w:type="dxa"/>
          </w:tcPr>
          <w:p>
            <w:r>
              <w:t xml:space="preserve">Williston</w:t>
            </w:r>
          </w:p>
        </w:tc>
        <w:tc>
          <w:tcPr>
            <w:tcW w:w="2340" w:type="dxa"/>
          </w:tcPr>
          <w:p>
            <w:r>
              <w:t xml:space="preserve">59,000</w:t>
            </w:r>
          </w:p>
        </w:tc>
        <w:tc>
          <w:tcPr>
            <w:tcW w:w="2340" w:type="dxa"/>
          </w:tcPr>
          <w:p>
            <w:r>
              <w:t xml:space="preserve">95,000</w:t>
            </w:r>
          </w:p>
        </w:tc>
        <w:tc>
          <w:tcPr>
            <w:tcW w:w="2340" w:type="dxa"/>
          </w:tcPr>
          <w:p>
            <w:r>
              <w:t xml:space="preserve">36,000</w:t>
            </w:r>
          </w:p>
        </w:tc>
      </w:tr>
      <w:tr>
        <w:tc>
          <w:tcPr>
            <w:tcW w:w="2340" w:type="dxa"/>
          </w:tcPr>
          <w:p>
            <w:r>
              <w:t xml:space="preserve">Minot</w:t>
            </w:r>
          </w:p>
        </w:tc>
        <w:tc>
          <w:tcPr>
            <w:tcW w:w="2340" w:type="dxa"/>
          </w:tcPr>
          <w:p>
            <w:r>
              <w:t xml:space="preserve">97,000</w:t>
            </w:r>
          </w:p>
        </w:tc>
        <w:tc>
          <w:tcPr>
            <w:tcW w:w="2340" w:type="dxa"/>
          </w:tcPr>
          <w:p>
            <w:r>
              <w:t xml:space="preserve">85,000</w:t>
            </w:r>
          </w:p>
        </w:tc>
        <w:tc>
          <w:tcPr>
            <w:tcW w:w="2340" w:type="dxa"/>
          </w:tcPr>
          <w:p>
            <w:r>
              <w:t xml:space="preserve">-12,000</w:t>
            </w:r>
          </w:p>
        </w:tc>
      </w:tr>
      <w:tr>
        <w:tc>
          <w:tcPr>
            <w:tcW w:w="2340" w:type="dxa"/>
          </w:tcPr>
          <w:p>
            <w:r>
              <w:t xml:space="preserve">Devils Lake</w:t>
            </w:r>
          </w:p>
        </w:tc>
        <w:tc>
          <w:tcPr>
            <w:tcW w:w="2340" w:type="dxa"/>
          </w:tcPr>
          <w:p>
            <w:r>
              <w:t xml:space="preserve">37,000</w:t>
            </w:r>
          </w:p>
        </w:tc>
        <w:tc>
          <w:tcPr>
            <w:tcW w:w="2340" w:type="dxa"/>
          </w:tcPr>
          <w:p>
            <w:r>
              <w:t xml:space="preserve">33,000</w:t>
            </w:r>
          </w:p>
        </w:tc>
        <w:tc>
          <w:tcPr>
            <w:tcW w:w="2340" w:type="dxa"/>
          </w:tcPr>
          <w:p>
            <w:r>
              <w:t xml:space="preserve">-4,000</w:t>
            </w:r>
          </w:p>
        </w:tc>
      </w:tr>
      <w:tr>
        <w:tc>
          <w:tcPr>
            <w:tcW w:w="2340" w:type="dxa"/>
          </w:tcPr>
          <w:p>
            <w:r>
              <w:t xml:space="preserve">Grand Forks</w:t>
            </w:r>
          </w:p>
        </w:tc>
        <w:tc>
          <w:tcPr>
            <w:tcW w:w="2340" w:type="dxa"/>
          </w:tcPr>
          <w:p>
            <w:r>
              <w:t xml:space="preserve">94,000</w:t>
            </w:r>
          </w:p>
        </w:tc>
        <w:tc>
          <w:tcPr>
            <w:tcW w:w="2340" w:type="dxa"/>
          </w:tcPr>
          <w:p>
            <w:r>
              <w:t xml:space="preserve">81,000</w:t>
            </w:r>
          </w:p>
        </w:tc>
        <w:tc>
          <w:tcPr>
            <w:tcW w:w="2340" w:type="dxa"/>
          </w:tcPr>
          <w:p>
            <w:r>
              <w:t xml:space="preserve">-13,000</w:t>
            </w:r>
          </w:p>
        </w:tc>
      </w:tr>
      <w:tr>
        <w:tc>
          <w:tcPr>
            <w:tcW w:w="2340" w:type="dxa"/>
          </w:tcPr>
          <w:p>
            <w:r>
              <w:t xml:space="preserve">Fargo</w:t>
            </w:r>
          </w:p>
        </w:tc>
        <w:tc>
          <w:tcPr>
            <w:tcW w:w="2340" w:type="dxa"/>
          </w:tcPr>
          <w:p>
            <w:r>
              <w:t xml:space="preserve">238,000</w:t>
            </w:r>
          </w:p>
        </w:tc>
        <w:tc>
          <w:tcPr>
            <w:tcW w:w="2340" w:type="dxa"/>
          </w:tcPr>
          <w:p>
            <w:r>
              <w:t xml:space="preserve">284,000</w:t>
            </w:r>
          </w:p>
        </w:tc>
        <w:tc>
          <w:tcPr>
            <w:tcW w:w="2340" w:type="dxa"/>
          </w:tcPr>
          <w:p>
            <w:r>
              <w:t xml:space="preserve">47,000</w:t>
            </w:r>
          </w:p>
        </w:tc>
      </w:tr>
      <w:tr>
        <w:tc>
          <w:tcPr>
            <w:tcW w:w="2340" w:type="dxa"/>
          </w:tcPr>
          <w:p>
            <w:r>
              <w:t xml:space="preserve">Jamestown</w:t>
            </w:r>
          </w:p>
        </w:tc>
        <w:tc>
          <w:tcPr>
            <w:tcW w:w="2340" w:type="dxa"/>
          </w:tcPr>
          <w:p>
            <w:r>
              <w:t xml:space="preserve">55,000</w:t>
            </w:r>
          </w:p>
        </w:tc>
        <w:tc>
          <w:tcPr>
            <w:tcW w:w="2340" w:type="dxa"/>
          </w:tcPr>
          <w:p>
            <w:r>
              <w:t xml:space="preserve">49,000</w:t>
            </w:r>
          </w:p>
        </w:tc>
        <w:tc>
          <w:tcPr>
            <w:tcW w:w="2340" w:type="dxa"/>
          </w:tcPr>
          <w:p>
            <w:r>
              <w:t xml:space="preserve">-6,000</w:t>
            </w:r>
          </w:p>
        </w:tc>
      </w:tr>
      <w:tr>
        <w:tc>
          <w:tcPr>
            <w:tcW w:w="2340" w:type="dxa"/>
          </w:tcPr>
          <w:p>
            <w:r>
              <w:t xml:space="preserve">Bismarck</w:t>
            </w:r>
          </w:p>
        </w:tc>
        <w:tc>
          <w:tcPr>
            <w:tcW w:w="2340" w:type="dxa"/>
          </w:tcPr>
          <w:p>
            <w:r>
              <w:t xml:space="preserve">170,000</w:t>
            </w:r>
          </w:p>
        </w:tc>
        <w:tc>
          <w:tcPr>
            <w:tcW w:w="2340" w:type="dxa"/>
          </w:tcPr>
          <w:p>
            <w:r>
              <w:t xml:space="preserve">198,000</w:t>
            </w:r>
          </w:p>
        </w:tc>
        <w:tc>
          <w:tcPr>
            <w:tcW w:w="2340" w:type="dxa"/>
          </w:tcPr>
          <w:p>
            <w:r>
              <w:t xml:space="preserve">28,000</w:t>
            </w:r>
          </w:p>
        </w:tc>
      </w:tr>
      <w:tr>
        <w:tc>
          <w:tcPr>
            <w:tcW w:w="2340" w:type="dxa"/>
          </w:tcPr>
          <w:p>
            <w:r>
              <w:t xml:space="preserve">Dickinson</w:t>
            </w:r>
          </w:p>
        </w:tc>
        <w:tc>
          <w:tcPr>
            <w:tcW w:w="2340" w:type="dxa"/>
          </w:tcPr>
          <w:p>
            <w:r>
              <w:t xml:space="preserve">50,000</w:t>
            </w:r>
          </w:p>
        </w:tc>
        <w:tc>
          <w:tcPr>
            <w:tcW w:w="2340" w:type="dxa"/>
          </w:tcPr>
          <w:p>
            <w:r>
              <w:t xml:space="preserve">57,000</w:t>
            </w:r>
          </w:p>
        </w:tc>
        <w:tc>
          <w:tcPr>
            <w:tcW w:w="2340" w:type="dxa"/>
          </w:tcPr>
          <w:p>
            <w:r>
              <w:t xml:space="preserve">7,000</w:t>
            </w:r>
          </w:p>
        </w:tc>
      </w:tr>
    </w:tbl>
    <w:p>
      <w:r>
        <w:t xml:space="preserve">Layout takeaways:</w:t>
      </w:r>
    </w:p>
    <w:p>
      <w:pPr>
        <w:ind w:left="360" w:hanging="360"/>
      </w:pPr>
      <w:r>
        <w:t xml:space="preserve">• </w:t>
      </w:r>
      <w:r>
        <w:t xml:space="preserve">The largest baseline regional gains are in Fargo, Williston, and Bismarck.</w:t>
      </w:r>
    </w:p>
    <w:p>
      <w:pPr>
        <w:ind w:left="360" w:hanging="360"/>
      </w:pPr>
      <w:r>
        <w:t xml:space="preserve">• </w:t>
      </w:r>
      <w:r>
        <w:t xml:space="preserve">Grand Forks, Minot, Jamestown, and Devils Lake decline in the draft baseline.</w:t>
      </w:r>
    </w:p>
    <w:p>
      <w:pPr>
        <w:ind w:left="360" w:hanging="360"/>
      </w:pPr>
      <w:r>
        <w:t xml:space="preserve">• </w:t>
      </w:r>
      <w:r>
        <w:t xml:space="preserve">Dickinson grows more modestly.</w:t>
      </w:r>
    </w:p>
    <w:p>
      <w:pPr>
        <w:pStyle w:val="Heading2"/>
      </w:pPr>
      <w:r>
        <w:t xml:space="preserve">Baseline County Growth Highlights</w:t>
      </w:r>
    </w:p>
    <w:p>
      <w:r>
        <w:t xml:space="preserve">Largest absolute increases: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2340" w:type="dxa"/>
          </w:tcPr>
          <w:p>
            <w:r>
              <w:rPr>
                <w:b/>
              </w:rPr>
              <w:t xml:space="preserve">County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2025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2055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Change</w:t>
            </w:r>
          </w:p>
        </w:tc>
      </w:tr>
      <w:tr>
        <w:tc>
          <w:tcPr>
            <w:tcW w:w="2340" w:type="dxa"/>
          </w:tcPr>
          <w:p>
            <w:r>
              <w:t xml:space="preserve">Cass County</w:t>
            </w:r>
          </w:p>
        </w:tc>
        <w:tc>
          <w:tcPr>
            <w:tcW w:w="2340" w:type="dxa"/>
          </w:tcPr>
          <w:p>
            <w:r>
              <w:t xml:space="preserve">202,000</w:t>
            </w:r>
          </w:p>
        </w:tc>
        <w:tc>
          <w:tcPr>
            <w:tcW w:w="2340" w:type="dxa"/>
          </w:tcPr>
          <w:p>
            <w:r>
              <w:t xml:space="preserve">253,000</w:t>
            </w:r>
          </w:p>
        </w:tc>
        <w:tc>
          <w:tcPr>
            <w:tcW w:w="2340" w:type="dxa"/>
          </w:tcPr>
          <w:p>
            <w:r>
              <w:t xml:space="preserve">51,000</w:t>
            </w:r>
          </w:p>
        </w:tc>
      </w:tr>
      <w:tr>
        <w:tc>
          <w:tcPr>
            <w:tcW w:w="2340" w:type="dxa"/>
          </w:tcPr>
          <w:p>
            <w:r>
              <w:t xml:space="preserve">Williams County</w:t>
            </w:r>
          </w:p>
        </w:tc>
        <w:tc>
          <w:tcPr>
            <w:tcW w:w="2340" w:type="dxa"/>
          </w:tcPr>
          <w:p>
            <w:r>
              <w:t xml:space="preserve">42,000</w:t>
            </w:r>
          </w:p>
        </w:tc>
        <w:tc>
          <w:tcPr>
            <w:tcW w:w="2340" w:type="dxa"/>
          </w:tcPr>
          <w:p>
            <w:r>
              <w:t xml:space="preserve">65,000</w:t>
            </w:r>
          </w:p>
        </w:tc>
        <w:tc>
          <w:tcPr>
            <w:tcW w:w="2340" w:type="dxa"/>
          </w:tcPr>
          <w:p>
            <w:r>
              <w:t xml:space="preserve">24,000</w:t>
            </w:r>
          </w:p>
        </w:tc>
      </w:tr>
      <w:tr>
        <w:tc>
          <w:tcPr>
            <w:tcW w:w="2340" w:type="dxa"/>
          </w:tcPr>
          <w:p>
            <w:r>
              <w:t xml:space="preserve">Burleigh County</w:t>
            </w:r>
          </w:p>
        </w:tc>
        <w:tc>
          <w:tcPr>
            <w:tcW w:w="2340" w:type="dxa"/>
          </w:tcPr>
          <w:p>
            <w:r>
              <w:t xml:space="preserve">103,000</w:t>
            </w:r>
          </w:p>
        </w:tc>
        <w:tc>
          <w:tcPr>
            <w:tcW w:w="2340" w:type="dxa"/>
          </w:tcPr>
          <w:p>
            <w:r>
              <w:t xml:space="preserve">122,000</w:t>
            </w:r>
          </w:p>
        </w:tc>
        <w:tc>
          <w:tcPr>
            <w:tcW w:w="2340" w:type="dxa"/>
          </w:tcPr>
          <w:p>
            <w:r>
              <w:t xml:space="preserve">19,000</w:t>
            </w:r>
          </w:p>
        </w:tc>
      </w:tr>
      <w:tr>
        <w:tc>
          <w:tcPr>
            <w:tcW w:w="2340" w:type="dxa"/>
          </w:tcPr>
          <w:p>
            <w:r>
              <w:t xml:space="preserve">McKenzie County</w:t>
            </w:r>
          </w:p>
        </w:tc>
        <w:tc>
          <w:tcPr>
            <w:tcW w:w="2340" w:type="dxa"/>
          </w:tcPr>
          <w:p>
            <w:r>
              <w:t xml:space="preserve">15,000</w:t>
            </w:r>
          </w:p>
        </w:tc>
        <w:tc>
          <w:tcPr>
            <w:tcW w:w="2340" w:type="dxa"/>
          </w:tcPr>
          <w:p>
            <w:r>
              <w:t xml:space="preserve">28,000</w:t>
            </w:r>
          </w:p>
        </w:tc>
        <w:tc>
          <w:tcPr>
            <w:tcW w:w="2340" w:type="dxa"/>
          </w:tcPr>
          <w:p>
            <w:r>
              <w:t xml:space="preserve">12,000</w:t>
            </w:r>
          </w:p>
        </w:tc>
      </w:tr>
      <w:tr>
        <w:tc>
          <w:tcPr>
            <w:tcW w:w="2340" w:type="dxa"/>
          </w:tcPr>
          <w:p>
            <w:r>
              <w:t xml:space="preserve">Morton County</w:t>
            </w:r>
          </w:p>
        </w:tc>
        <w:tc>
          <w:tcPr>
            <w:tcW w:w="2340" w:type="dxa"/>
          </w:tcPr>
          <w:p>
            <w:r>
              <w:t xml:space="preserve">35,000</w:t>
            </w:r>
          </w:p>
        </w:tc>
        <w:tc>
          <w:tcPr>
            <w:tcW w:w="2340" w:type="dxa"/>
          </w:tcPr>
          <w:p>
            <w:r>
              <w:t xml:space="preserve">46,000</w:t>
            </w:r>
          </w:p>
        </w:tc>
        <w:tc>
          <w:tcPr>
            <w:tcW w:w="2340" w:type="dxa"/>
          </w:tcPr>
          <w:p>
            <w:r>
              <w:t xml:space="preserve">11,000</w:t>
            </w:r>
          </w:p>
        </w:tc>
      </w:tr>
      <w:tr>
        <w:tc>
          <w:tcPr>
            <w:tcW w:w="2340" w:type="dxa"/>
          </w:tcPr>
          <w:p>
            <w:r>
              <w:t xml:space="preserve">Stark County</w:t>
            </w:r>
          </w:p>
        </w:tc>
        <w:tc>
          <w:tcPr>
            <w:tcW w:w="2340" w:type="dxa"/>
          </w:tcPr>
          <w:p>
            <w:r>
              <w:t xml:space="preserve">34,000</w:t>
            </w:r>
          </w:p>
        </w:tc>
        <w:tc>
          <w:tcPr>
            <w:tcW w:w="2340" w:type="dxa"/>
          </w:tcPr>
          <w:p>
            <w:r>
              <w:t xml:space="preserve">41,000</w:t>
            </w:r>
          </w:p>
        </w:tc>
        <w:tc>
          <w:tcPr>
            <w:tcW w:w="2340" w:type="dxa"/>
          </w:tcPr>
          <w:p>
            <w:r>
              <w:t xml:space="preserve">7,000</w:t>
            </w:r>
          </w:p>
        </w:tc>
      </w:tr>
    </w:tbl>
    <w:p>
      <w:r>
        <w:t xml:space="preserve">Largest absolute decreases: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2340" w:type="dxa"/>
          </w:tcPr>
          <w:p>
            <w:r>
              <w:rPr>
                <w:b/>
              </w:rPr>
              <w:t xml:space="preserve">County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2025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2055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Change</w:t>
            </w:r>
          </w:p>
        </w:tc>
      </w:tr>
      <w:tr>
        <w:tc>
          <w:tcPr>
            <w:tcW w:w="2340" w:type="dxa"/>
          </w:tcPr>
          <w:p>
            <w:r>
              <w:t xml:space="preserve">Ward County</w:t>
            </w:r>
          </w:p>
        </w:tc>
        <w:tc>
          <w:tcPr>
            <w:tcW w:w="2340" w:type="dxa"/>
          </w:tcPr>
          <w:p>
            <w:r>
              <w:t xml:space="preserve">68,000</w:t>
            </w:r>
          </w:p>
        </w:tc>
        <w:tc>
          <w:tcPr>
            <w:tcW w:w="2340" w:type="dxa"/>
          </w:tcPr>
          <w:p>
            <w:r>
              <w:t xml:space="preserve">58,000</w:t>
            </w:r>
          </w:p>
        </w:tc>
        <w:tc>
          <w:tcPr>
            <w:tcW w:w="2340" w:type="dxa"/>
          </w:tcPr>
          <w:p>
            <w:r>
              <w:t xml:space="preserve">-11,000</w:t>
            </w:r>
          </w:p>
        </w:tc>
      </w:tr>
      <w:tr>
        <w:tc>
          <w:tcPr>
            <w:tcW w:w="2340" w:type="dxa"/>
          </w:tcPr>
          <w:p>
            <w:r>
              <w:t xml:space="preserve">Grand Forks County</w:t>
            </w:r>
          </w:p>
        </w:tc>
        <w:tc>
          <w:tcPr>
            <w:tcW w:w="2340" w:type="dxa"/>
          </w:tcPr>
          <w:p>
            <w:r>
              <w:t xml:space="preserve">75,000</w:t>
            </w:r>
          </w:p>
        </w:tc>
        <w:tc>
          <w:tcPr>
            <w:tcW w:w="2340" w:type="dxa"/>
          </w:tcPr>
          <w:p>
            <w:r>
              <w:t xml:space="preserve">66,000</w:t>
            </w:r>
          </w:p>
        </w:tc>
        <w:tc>
          <w:tcPr>
            <w:tcW w:w="2340" w:type="dxa"/>
          </w:tcPr>
          <w:p>
            <w:r>
              <w:t xml:space="preserve">-9,000</w:t>
            </w:r>
          </w:p>
        </w:tc>
      </w:tr>
      <w:tr>
        <w:tc>
          <w:tcPr>
            <w:tcW w:w="2340" w:type="dxa"/>
          </w:tcPr>
          <w:p>
            <w:r>
              <w:t xml:space="preserve">Walsh County</w:t>
            </w:r>
          </w:p>
        </w:tc>
        <w:tc>
          <w:tcPr>
            <w:tcW w:w="2340" w:type="dxa"/>
          </w:tcPr>
          <w:p>
            <w:r>
              <w:t xml:space="preserve">10,000</w:t>
            </w:r>
          </w:p>
        </w:tc>
        <w:tc>
          <w:tcPr>
            <w:tcW w:w="2340" w:type="dxa"/>
          </w:tcPr>
          <w:p>
            <w:r>
              <w:t xml:space="preserve">8,000</w:t>
            </w:r>
          </w:p>
        </w:tc>
        <w:tc>
          <w:tcPr>
            <w:tcW w:w="2340" w:type="dxa"/>
          </w:tcPr>
          <w:p>
            <w:r>
              <w:t xml:space="preserve">-3,000</w:t>
            </w:r>
          </w:p>
        </w:tc>
      </w:tr>
      <w:tr>
        <w:tc>
          <w:tcPr>
            <w:tcW w:w="2340" w:type="dxa"/>
          </w:tcPr>
          <w:p>
            <w:r>
              <w:t xml:space="preserve">Pembina County</w:t>
            </w:r>
          </w:p>
        </w:tc>
        <w:tc>
          <w:tcPr>
            <w:tcW w:w="2340" w:type="dxa"/>
          </w:tcPr>
          <w:p>
            <w:r>
              <w:t xml:space="preserve">7,000</w:t>
            </w:r>
          </w:p>
        </w:tc>
        <w:tc>
          <w:tcPr>
            <w:tcW w:w="2340" w:type="dxa"/>
          </w:tcPr>
          <w:p>
            <w:r>
              <w:t xml:space="preserve">4,000</w:t>
            </w:r>
          </w:p>
        </w:tc>
        <w:tc>
          <w:tcPr>
            <w:tcW w:w="2340" w:type="dxa"/>
          </w:tcPr>
          <w:p>
            <w:r>
              <w:t xml:space="preserve">-2,000</w:t>
            </w:r>
          </w:p>
        </w:tc>
      </w:tr>
      <w:tr>
        <w:tc>
          <w:tcPr>
            <w:tcW w:w="2340" w:type="dxa"/>
          </w:tcPr>
          <w:p>
            <w:r>
              <w:t xml:space="preserve">Stutsman County</w:t>
            </w:r>
          </w:p>
        </w:tc>
        <w:tc>
          <w:tcPr>
            <w:tcW w:w="2340" w:type="dxa"/>
          </w:tcPr>
          <w:p>
            <w:r>
              <w:t xml:space="preserve">21,000</w:t>
            </w:r>
          </w:p>
        </w:tc>
        <w:tc>
          <w:tcPr>
            <w:tcW w:w="2340" w:type="dxa"/>
          </w:tcPr>
          <w:p>
            <w:r>
              <w:t xml:space="preserve">19,000</w:t>
            </w:r>
          </w:p>
        </w:tc>
        <w:tc>
          <w:tcPr>
            <w:tcW w:w="2340" w:type="dxa"/>
          </w:tcPr>
          <w:p>
            <w:r>
              <w:t xml:space="preserve">-2,000</w:t>
            </w:r>
          </w:p>
        </w:tc>
      </w:tr>
      <w:tr>
        <w:tc>
          <w:tcPr>
            <w:tcW w:w="2340" w:type="dxa"/>
          </w:tcPr>
          <w:p>
            <w:r>
              <w:t xml:space="preserve">Richland County</w:t>
            </w:r>
          </w:p>
        </w:tc>
        <w:tc>
          <w:tcPr>
            <w:tcW w:w="2340" w:type="dxa"/>
          </w:tcPr>
          <w:p>
            <w:r>
              <w:t xml:space="preserve">17,000</w:t>
            </w:r>
          </w:p>
        </w:tc>
        <w:tc>
          <w:tcPr>
            <w:tcW w:w="2340" w:type="dxa"/>
          </w:tcPr>
          <w:p>
            <w:r>
              <w:t xml:space="preserve">15,000</w:t>
            </w:r>
          </w:p>
        </w:tc>
        <w:tc>
          <w:tcPr>
            <w:tcW w:w="2340" w:type="dxa"/>
          </w:tcPr>
          <w:p>
            <w:r>
              <w:t xml:space="preserve">-2,000</w:t>
            </w:r>
          </w:p>
        </w:tc>
      </w:tr>
    </w:tbl>
    <w:p>
      <w:r>
        <w:t xml:space="preserve">Layout takeaways:</w:t>
      </w:r>
    </w:p>
    <w:p>
      <w:pPr>
        <w:ind w:left="360" w:hanging="360"/>
      </w:pPr>
      <w:r>
        <w:t xml:space="preserve">• </w:t>
      </w:r>
      <w:r>
        <w:t xml:space="preserve">Baseline growth is geographically concentrated.</w:t>
      </w:r>
    </w:p>
    <w:p>
      <w:pPr>
        <w:ind w:left="360" w:hanging="360"/>
      </w:pPr>
      <w:r>
        <w:t xml:space="preserve">• </w:t>
      </w:r>
      <w:r>
        <w:t xml:space="preserve">The largest-growth counties add more residents than the net statewide</w:t>
      </w:r>
    </w:p>
    <w:p>
      <w:r>
        <w:t xml:space="preserve">increase because declines elsewhere offset part of that growth.</w:t>
      </w:r>
    </w:p>
    <w:p>
      <w:pPr>
        <w:ind w:left="360" w:hanging="360"/>
      </w:pPr>
      <w:r>
        <w:t xml:space="preserve">• </w:t>
      </w:r>
      <w:r>
        <w:t xml:space="preserve">The PDF should make clear that statewide growth does not mean uniform growth</w:t>
      </w:r>
    </w:p>
    <w:p>
      <w:r>
        <w:t xml:space="preserve">across counties.</w:t>
      </w:r>
    </w:p>
    <w:p>
      <w:pPr>
        <w:pStyle w:val="Heading2"/>
      </w:pPr>
      <w:r>
        <w:t xml:space="preserve">Baseline Age Structure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1337" w:type="dxa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2025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2030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2040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2050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2055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2025-2055 change</w:t>
            </w:r>
          </w:p>
        </w:tc>
      </w:tr>
      <w:tr>
        <w:tc>
          <w:tcPr>
            <w:tcW w:w="1337" w:type="dxa"/>
          </w:tcPr>
          <w:p>
            <w:r>
              <w:t xml:space="preserve">Under 18</w:t>
            </w:r>
          </w:p>
        </w:tc>
        <w:tc>
          <w:tcPr>
            <w:tcW w:w="1337" w:type="dxa"/>
          </w:tcPr>
          <w:p>
            <w:r>
              <w:t xml:space="preserve">189,000</w:t>
            </w:r>
          </w:p>
        </w:tc>
        <w:tc>
          <w:tcPr>
            <w:tcW w:w="1337" w:type="dxa"/>
          </w:tcPr>
          <w:p>
            <w:r>
              <w:t xml:space="preserve">187,000</w:t>
            </w:r>
          </w:p>
        </w:tc>
        <w:tc>
          <w:tcPr>
            <w:tcW w:w="1337" w:type="dxa"/>
          </w:tcPr>
          <w:p>
            <w:r>
              <w:t xml:space="preserve">185,000</w:t>
            </w:r>
          </w:p>
        </w:tc>
        <w:tc>
          <w:tcPr>
            <w:tcW w:w="1337" w:type="dxa"/>
          </w:tcPr>
          <w:p>
            <w:r>
              <w:t xml:space="preserve">188,000</w:t>
            </w:r>
          </w:p>
        </w:tc>
        <w:tc>
          <w:tcPr>
            <w:tcW w:w="1337" w:type="dxa"/>
          </w:tcPr>
          <w:p>
            <w:r>
              <w:t xml:space="preserve">187,000</w:t>
            </w:r>
          </w:p>
        </w:tc>
        <w:tc>
          <w:tcPr>
            <w:tcW w:w="1337" w:type="dxa"/>
          </w:tcPr>
          <w:p>
            <w:r>
              <w:t xml:space="preserve">-2,000</w:t>
            </w:r>
          </w:p>
        </w:tc>
      </w:tr>
      <w:tr>
        <w:tc>
          <w:tcPr>
            <w:tcW w:w="1337" w:type="dxa"/>
          </w:tcPr>
          <w:p>
            <w:r>
              <w:t xml:space="preserve">18-64</w:t>
            </w:r>
          </w:p>
        </w:tc>
        <w:tc>
          <w:tcPr>
            <w:tcW w:w="1337" w:type="dxa"/>
          </w:tcPr>
          <w:p>
            <w:r>
              <w:t xml:space="preserve">476,000</w:t>
            </w:r>
          </w:p>
        </w:tc>
        <w:tc>
          <w:tcPr>
            <w:tcW w:w="1337" w:type="dxa"/>
          </w:tcPr>
          <w:p>
            <w:r>
              <w:t xml:space="preserve">480,000</w:t>
            </w:r>
          </w:p>
        </w:tc>
        <w:tc>
          <w:tcPr>
            <w:tcW w:w="1337" w:type="dxa"/>
          </w:tcPr>
          <w:p>
            <w:r>
              <w:t xml:space="preserve">520,000</w:t>
            </w:r>
          </w:p>
        </w:tc>
        <w:tc>
          <w:tcPr>
            <w:tcW w:w="1337" w:type="dxa"/>
          </w:tcPr>
          <w:p>
            <w:r>
              <w:t xml:space="preserve">536,000</w:t>
            </w:r>
          </w:p>
        </w:tc>
        <w:tc>
          <w:tcPr>
            <w:tcW w:w="1337" w:type="dxa"/>
          </w:tcPr>
          <w:p>
            <w:r>
              <w:t xml:space="preserve">536,000</w:t>
            </w:r>
          </w:p>
        </w:tc>
        <w:tc>
          <w:tcPr>
            <w:tcW w:w="1337" w:type="dxa"/>
          </w:tcPr>
          <w:p>
            <w:r>
              <w:t xml:space="preserve">60,000</w:t>
            </w:r>
          </w:p>
        </w:tc>
      </w:tr>
      <w:tr>
        <w:tc>
          <w:tcPr>
            <w:tcW w:w="1337" w:type="dxa"/>
          </w:tcPr>
          <w:p>
            <w:r>
              <w:t xml:space="preserve">65+</w:t>
            </w:r>
          </w:p>
        </w:tc>
        <w:tc>
          <w:tcPr>
            <w:tcW w:w="1337" w:type="dxa"/>
          </w:tcPr>
          <w:p>
            <w:r>
              <w:t xml:space="preserve">135,000</w:t>
            </w:r>
          </w:p>
        </w:tc>
        <w:tc>
          <w:tcPr>
            <w:tcW w:w="1337" w:type="dxa"/>
          </w:tcPr>
          <w:p>
            <w:r>
              <w:t xml:space="preserve">142,000</w:t>
            </w:r>
          </w:p>
        </w:tc>
        <w:tc>
          <w:tcPr>
            <w:tcW w:w="1337" w:type="dxa"/>
          </w:tcPr>
          <w:p>
            <w:r>
              <w:t xml:space="preserve">143,000</w:t>
            </w:r>
          </w:p>
        </w:tc>
        <w:tc>
          <w:tcPr>
            <w:tcW w:w="1337" w:type="dxa"/>
          </w:tcPr>
          <w:p>
            <w:r>
              <w:t xml:space="preserve">150,000</w:t>
            </w:r>
          </w:p>
        </w:tc>
        <w:tc>
          <w:tcPr>
            <w:tcW w:w="1337" w:type="dxa"/>
          </w:tcPr>
          <w:p>
            <w:r>
              <w:t xml:space="preserve">159,000</w:t>
            </w:r>
          </w:p>
        </w:tc>
        <w:tc>
          <w:tcPr>
            <w:tcW w:w="1337" w:type="dxa"/>
          </w:tcPr>
          <w:p>
            <w:r>
              <w:t xml:space="preserve">24,000</w:t>
            </w:r>
          </w:p>
        </w:tc>
      </w:tr>
      <w:tr>
        <w:tc>
          <w:tcPr>
            <w:tcW w:w="1337" w:type="dxa"/>
          </w:tcPr>
          <w:p>
            <w:r>
              <w:t xml:space="preserve">85+</w:t>
            </w:r>
          </w:p>
        </w:tc>
        <w:tc>
          <w:tcPr>
            <w:tcW w:w="1337" w:type="dxa"/>
          </w:tcPr>
          <w:p>
            <w:r>
              <w:t xml:space="preserve">17,000</w:t>
            </w:r>
          </w:p>
        </w:tc>
        <w:tc>
          <w:tcPr>
            <w:tcW w:w="1337" w:type="dxa"/>
          </w:tcPr>
          <w:p>
            <w:r>
              <w:t xml:space="preserve">17,000</w:t>
            </w:r>
          </w:p>
        </w:tc>
        <w:tc>
          <w:tcPr>
            <w:tcW w:w="1337" w:type="dxa"/>
          </w:tcPr>
          <w:p>
            <w:r>
              <w:t xml:space="preserve">23,000</w:t>
            </w:r>
          </w:p>
        </w:tc>
        <w:tc>
          <w:tcPr>
            <w:tcW w:w="1337" w:type="dxa"/>
          </w:tcPr>
          <w:p>
            <w:r>
              <w:t xml:space="preserve">26,000</w:t>
            </w:r>
          </w:p>
        </w:tc>
        <w:tc>
          <w:tcPr>
            <w:tcW w:w="1337" w:type="dxa"/>
          </w:tcPr>
          <w:p>
            <w:r>
              <w:t xml:space="preserve">25,000</w:t>
            </w:r>
          </w:p>
        </w:tc>
        <w:tc>
          <w:tcPr>
            <w:tcW w:w="1337" w:type="dxa"/>
          </w:tcPr>
          <w:p>
            <w:r>
              <w:t xml:space="preserve">7,000</w:t>
            </w:r>
          </w:p>
        </w:tc>
      </w:tr>
    </w:tbl>
    <w:p>
      <w:r>
        <w:t xml:space="preserve">Layout takeaways:</w:t>
      </w:r>
    </w:p>
    <w:p>
      <w:pPr>
        <w:ind w:left="360" w:hanging="360"/>
      </w:pPr>
      <w:r>
        <w:t xml:space="preserve">• </w:t>
      </w:r>
      <w:r>
        <w:t xml:space="preserve">Working-age residents account for most of the baseline age-group growth.</w:t>
      </w:r>
    </w:p>
    <w:p>
      <w:pPr>
        <w:ind w:left="360" w:hanging="360"/>
      </w:pPr>
      <w:r>
        <w:t xml:space="preserve">• </w:t>
      </w:r>
      <w:r>
        <w:t xml:space="preserve">The 65+ population grows substantially across the horizon.</w:t>
      </w:r>
    </w:p>
    <w:p>
      <w:pPr>
        <w:ind w:left="360" w:hanging="360"/>
      </w:pPr>
      <w:r>
        <w:t xml:space="preserve">• </w:t>
      </w:r>
      <w:r>
        <w:t xml:space="preserve">The under-18 population is comparatively flat in the draft baseline.</w:t>
      </w:r>
    </w:p>
    <w:p>
      <w:pPr>
        <w:pStyle w:val="Heading2"/>
      </w:pPr>
      <w:r>
        <w:t xml:space="preserve">Baseline Sex Ratio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2340" w:type="dxa"/>
          </w:tcPr>
          <w:p>
            <w:r>
              <w:rPr>
                <w:b/>
              </w:rPr>
              <w:t xml:space="preserve">Year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Male population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Female population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Males per 100 females</w:t>
            </w:r>
          </w:p>
        </w:tc>
      </w:tr>
      <w:tr>
        <w:tc>
          <w:tcPr>
            <w:tcW w:w="2340" w:type="dxa"/>
          </w:tcPr>
          <w:p>
            <w:r>
              <w:t xml:space="preserve">2025</w:t>
            </w:r>
          </w:p>
        </w:tc>
        <w:tc>
          <w:tcPr>
            <w:tcW w:w="2340" w:type="dxa"/>
          </w:tcPr>
          <w:p>
            <w:r>
              <w:t xml:space="preserve">410,000</w:t>
            </w:r>
          </w:p>
        </w:tc>
        <w:tc>
          <w:tcPr>
            <w:tcW w:w="2340" w:type="dxa"/>
          </w:tcPr>
          <w:p>
            <w:r>
              <w:t xml:space="preserve">389,000</w:t>
            </w:r>
          </w:p>
        </w:tc>
        <w:tc>
          <w:tcPr>
            <w:tcW w:w="2340" w:type="dxa"/>
          </w:tcPr>
          <w:p>
            <w:r>
              <w:t xml:space="preserve">105</w:t>
            </w:r>
          </w:p>
        </w:tc>
      </w:tr>
      <w:tr>
        <w:tc>
          <w:tcPr>
            <w:tcW w:w="2340" w:type="dxa"/>
          </w:tcPr>
          <w:p>
            <w:r>
              <w:t xml:space="preserve">2055</w:t>
            </w:r>
          </w:p>
        </w:tc>
        <w:tc>
          <w:tcPr>
            <w:tcW w:w="2340" w:type="dxa"/>
          </w:tcPr>
          <w:p>
            <w:r>
              <w:t xml:space="preserve">455,000</w:t>
            </w:r>
          </w:p>
        </w:tc>
        <w:tc>
          <w:tcPr>
            <w:tcW w:w="2340" w:type="dxa"/>
          </w:tcPr>
          <w:p>
            <w:r>
              <w:t xml:space="preserve">427,000</w:t>
            </w:r>
          </w:p>
        </w:tc>
        <w:tc>
          <w:tcPr>
            <w:tcW w:w="2340" w:type="dxa"/>
          </w:tcPr>
          <w:p>
            <w:r>
              <w:t xml:space="preserve">107</w:t>
            </w:r>
          </w:p>
        </w:tc>
      </w:tr>
    </w:tbl>
    <w:p>
      <w:r>
        <w:t xml:space="preserve">Layout takeaways:</w:t>
      </w:r>
    </w:p>
    <w:p>
      <w:pPr>
        <w:ind w:left="360" w:hanging="360"/>
      </w:pPr>
      <w:r>
        <w:t xml:space="preserve">• </w:t>
      </w:r>
      <w:r>
        <w:t xml:space="preserve">The state remains male-heavy in the draft baseline.</w:t>
      </w:r>
    </w:p>
    <w:p>
      <w:pPr>
        <w:ind w:left="360" w:hanging="360"/>
      </w:pPr>
      <w:r>
        <w:t xml:space="preserve">• </w:t>
      </w:r>
      <w:r>
        <w:t xml:space="preserve">Migration assumptions are important for interpreting the sex ratio.</w:t>
      </w: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ptos" w:hAnsi="Aptos"/>
      <w:sz w:val="22"/>
    </w:rPr>
    <w:pPr>
      <w:spacing w:after="160"/>
    </w:pPr>
  </w:style>
  <w:style w:type="paragraph" w:styleId="Heading1">
    <w:name w:val="heading 1"/>
    <w:basedOn w:val="Normal"/>
    <w:next w:val="Normal"/>
    <w:qFormat/>
    <w:pPr>
      <w:spacing w:before="240" w:after="160"/>
    </w:pPr>
    <w:rPr>
      <w:b/>
      <w:sz w:val="32"/>
    </w:rPr>
  </w:style>
  <w:style w:type="paragraph" w:styleId="Heading2">
    <w:name w:val="heading 2"/>
    <w:basedOn w:val="Normal"/>
    <w:next w:val="Normal"/>
    <w:qFormat/>
    <w:pPr>
      <w:spacing w:before="220" w:after="120"/>
    </w:pPr>
    <w:rPr>
      <w:b/>
      <w:sz w:val="26"/>
    </w:rPr>
  </w:style>
  <w:style w:type="paragraph" w:styleId="Heading3">
    <w:name w:val="heading 3"/>
    <w:basedOn w:val="Normal"/>
    <w:next w:val="Normal"/>
    <w:qFormat/>
    <w:pPr>
      <w:spacing w:before="180" w:after="100"/>
    </w:pPr>
    <w:rPr>
      <w:b/>
      <w:sz w:val="23"/>
    </w:rPr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docPropsVTypes">
  <Application>Local DOCX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PUB-2026 Marketing Handoff</dc:title>
  <dc:creator>North Dakota State Data Center</dc:creator>
  <cp:lastModifiedBy>North Dakota State Data Center</cp:lastModifiedBy>
</cp:coreProperties>
</file>