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Draft Public PDF Copy</w:t>
      </w:r>
    </w:p>
    <w:p>
      <w:r>
        <w:t xml:space="preserve">Draft for marketing layout and internal review. Figures are rounded layout</w:t>
      </w:r>
    </w:p>
    <w:p>
      <w:r>
        <w:t xml:space="preserve">values from the March 2026 exports and must be refreshed after CF-001 is</w:t>
      </w:r>
    </w:p>
    <w:p>
      <w:r>
        <w:t xml:space="preserve">resolved and final production outputs are approved.</w:t>
      </w:r>
    </w:p>
    <w:p>
      <w:pPr>
        <w:pStyle w:val="Heading2"/>
      </w:pPr>
      <w:r>
        <w:t xml:space="preserve">Cover</w:t>
      </w:r>
    </w:p>
    <w:p>
      <w:r>
        <w:t xml:space="preserve">North Dakota Population Projections</w:t>
      </w:r>
    </w:p>
    <w:p>
      <w:r>
        <w:t xml:space="preserve">2025 to 2055</w:t>
      </w:r>
    </w:p>
    <w:p>
      <w:r>
        <w:t xml:space="preserve">Prepared by the North Dakota Department of Commerce - State Data Center</w:t>
      </w:r>
    </w:p>
    <w:p>
      <w:pPr>
        <w:pStyle w:val="Heading2"/>
      </w:pPr>
      <w:r>
        <w:t xml:space="preserve">Executive Summary</w:t>
      </w:r>
    </w:p>
    <w:p>
      <w:r>
        <w:t xml:space="preserve">North Dakota's population is projected under three scenarios to help public</w:t>
      </w:r>
    </w:p>
    <w:p>
      <w:r>
        <w:t xml:space="preserve">agencies, communities, and residents plan for a range of demographic futures. In</w:t>
      </w:r>
    </w:p>
    <w:p>
      <w:r>
        <w:t xml:space="preserve">the Baseline (Trend Continuation) scenario, the state grows from about 799,000</w:t>
      </w:r>
    </w:p>
    <w:p>
      <w:r>
        <w:t xml:space="preserve">residents in 2025 to about 882,000 residents in 2055, an increase of about</w:t>
      </w:r>
    </w:p>
    <w:p>
      <w:r>
        <w:t xml:space="preserve">83,000 residents.</w:t>
      </w:r>
    </w:p>
    <w:p>
      <w:r>
        <w:t xml:space="preserve">That baseline should be read alongside the Restricted Growth (CBO</w:t>
      </w:r>
    </w:p>
    <w:p>
      <w:r>
        <w:t xml:space="preserve">Policy-Adjusted) and High Growth (Elevated Immigration) scenarios. In the draft</w:t>
      </w:r>
    </w:p>
    <w:p>
      <w:r>
        <w:t xml:space="preserve">outputs, the 2055 scenario range runs from about 828,000 residents under</w:t>
      </w:r>
    </w:p>
    <w:p>
      <w:r>
        <w:t xml:space="preserve">Restricted Growth to about 1.08 million residents under High Growth. The range</w:t>
      </w:r>
    </w:p>
    <w:p>
      <w:r>
        <w:t xml:space="preserve">shows how strongly long-term population change depends on migration, federal</w:t>
      </w:r>
    </w:p>
    <w:p>
      <w:r>
        <w:t xml:space="preserve">policy, economic conditions, and demographic behavior.</w:t>
      </w:r>
    </w:p>
    <w:p>
      <w:r>
        <w:t xml:space="preserve">Growth is not evenly distributed across the state. In the draft baseline, the</w:t>
      </w:r>
    </w:p>
    <w:p>
      <w:r>
        <w:t xml:space="preserve">largest regional increases occur in the Fargo, Williston, and Bismarck regions.</w:t>
      </w:r>
    </w:p>
    <w:p>
      <w:r>
        <w:t xml:space="preserve">County-level growth is concentrated in a smaller set of counties, led by Cass,</w:t>
      </w:r>
    </w:p>
    <w:p>
      <w:r>
        <w:t xml:space="preserve">Williams, Burleigh, McKenzie, Morton, and Stark. Several regions and counties</w:t>
      </w:r>
    </w:p>
    <w:p>
      <w:r>
        <w:t xml:space="preserve">decline in the same scenario, so statewide growth should not be read as uniform</w:t>
      </w:r>
    </w:p>
    <w:p>
      <w:r>
        <w:t xml:space="preserve">local growth.</w:t>
      </w:r>
    </w:p>
    <w:p>
      <w:r>
        <w:t xml:space="preserve">The age structure also changes. The draft baseline shows growth in working-age</w:t>
      </w:r>
    </w:p>
    <w:p>
      <w:r>
        <w:t xml:space="preserve">residents and residents age 65 and older, while the under-18 population remains</w:t>
      </w:r>
    </w:p>
    <w:p>
      <w:r>
        <w:t xml:space="preserve">comparatively flat. These shifts matter for workforce planning, schools, health</w:t>
      </w:r>
    </w:p>
    <w:p>
      <w:r>
        <w:t xml:space="preserve">care, transportation, housing, and other public services.</w:t>
      </w:r>
    </w:p>
    <w:p>
      <w:r>
        <w:t xml:space="preserve">Suggested exhibit: key-numbers callout with 2025 population, 2055 baseline</w:t>
      </w:r>
    </w:p>
    <w:p>
      <w:r>
        <w:t xml:space="preserve">population, and the 2055 scenario range.</w:t>
      </w:r>
    </w:p>
    <w:p>
      <w:pPr>
        <w:pStyle w:val="Heading2"/>
      </w:pPr>
      <w:r>
        <w:t xml:space="preserve">How To Read These Projections</w:t>
      </w:r>
    </w:p>
    <w:p>
      <w:r>
        <w:t xml:space="preserve">These are scenario projections. Each scenario describes a different set of</w:t>
      </w:r>
    </w:p>
    <w:p>
      <w:r>
        <w:t xml:space="preserve">demographic assumptions and shows how population would change if those</w:t>
      </w:r>
    </w:p>
    <w:p>
      <w:r>
        <w:t xml:space="preserve">assumptions hold over time.</w:t>
      </w:r>
    </w:p>
    <w:p>
      <w:r>
        <w:t xml:space="preserve">Baseline (Trend Continuation) extends recent demographic patterns forward.</w:t>
      </w:r>
    </w:p>
    <w:p>
      <w:r>
        <w:t xml:space="preserve">Restricted Growth (CBO Policy-Adjusted) applies a lower migration and fertility</w:t>
      </w:r>
    </w:p>
    <w:p>
      <w:r>
        <w:t xml:space="preserve">path grounded in Congressional Budget Office assumptions. High Growth (Elevated</w:t>
      </w:r>
    </w:p>
    <w:p>
      <w:r>
        <w:t xml:space="preserve">Immigration) shows a higher migration and fertility path for planning context.</w:t>
      </w:r>
    </w:p>
    <w:p>
      <w:r>
        <w:t xml:space="preserve">Because the scenarios depend on assumptions, the numbers should be used as</w:t>
      </w:r>
    </w:p>
    <w:p>
      <w:r>
        <w:t xml:space="preserve">planning tools rather than as a single guaranteed path. The differences among</w:t>
      </w:r>
    </w:p>
    <w:p>
      <w:r>
        <w:t xml:space="preserve">scenarios are part of the information. They show where the future is more</w:t>
      </w:r>
    </w:p>
    <w:p>
      <w:r>
        <w:t xml:space="preserve">sensitive to migration, age structure, and geographic concentration.</w:t>
      </w:r>
    </w:p>
    <w:p>
      <w:r>
        <w:t xml:space="preserve">Suggested exhibit: three-row scenario label table.</w:t>
      </w:r>
    </w:p>
    <w:p>
      <w:pPr>
        <w:pStyle w:val="Heading2"/>
      </w:pPr>
      <w:r>
        <w:t xml:space="preserve">Statewide Population Outlook</w:t>
      </w:r>
    </w:p>
    <w:p>
      <w:r>
        <w:t xml:space="preserve">In the draft baseline, North Dakota grows from about 799,000 residents in 2025</w:t>
      </w:r>
    </w:p>
    <w:p>
      <w:r>
        <w:t xml:space="preserve">to about 882,000 residents in 2055. That is an increase of about 83,000</w:t>
      </w:r>
    </w:p>
    <w:p>
      <w:r>
        <w:t xml:space="preserve">residents, or about 10%.</w:t>
      </w:r>
    </w:p>
    <w:p>
      <w:r>
        <w:t xml:space="preserve">The Restricted Growth scenario grows more slowly, reaching about 828,000</w:t>
      </w:r>
    </w:p>
    <w:p>
      <w:r>
        <w:t xml:space="preserve">residents in 2055. The High Growth scenario reaches about 1.08 million residents</w:t>
      </w:r>
    </w:p>
    <w:p>
      <w:r>
        <w:t xml:space="preserve">in 2055. The gap among these scenarios is a central finding for public planning:</w:t>
      </w:r>
    </w:p>
    <w:p>
      <w:r>
        <w:t xml:space="preserve">migration assumptions have a large effect on the long-term state total.</w:t>
      </w:r>
    </w:p>
    <w:p>
      <w:r>
        <w:t xml:space="preserve">This is a trend-continuation scenario, not a guaranteed future. It shows what</w:t>
      </w:r>
    </w:p>
    <w:p>
      <w:r>
        <w:t xml:space="preserve">would happen if recent demographic patterns continue. The companion scenarios</w:t>
      </w:r>
    </w:p>
    <w:p>
      <w:r>
        <w:t xml:space="preserve">show how the path changes under different assumptions.</w:t>
      </w:r>
    </w:p>
    <w:p>
      <w:r>
        <w:t xml:space="preserve">Suggested exhibit: 2025-2055 line chart with all three scenarios. Keep the</w:t>
      </w:r>
    </w:p>
    <w:p>
      <w:r>
        <w:t xml:space="preserve">baseline visually primary while keeping Restricted Growth and High Growth</w:t>
      </w:r>
    </w:p>
    <w:p>
      <w:r>
        <w:t xml:space="preserve">clearly visible.</w:t>
      </w:r>
    </w:p>
    <w:p>
      <w:pPr>
        <w:pStyle w:val="Heading2"/>
      </w:pPr>
      <w:r>
        <w:t xml:space="preserve">Regional Population Change</w:t>
      </w:r>
    </w:p>
    <w:p>
      <w:r>
        <w:t xml:space="preserve">Regional patterns differ sharply in the draft baseline. The Fargo region adds</w:t>
      </w:r>
    </w:p>
    <w:p>
      <w:r>
        <w:t xml:space="preserve">about 47,000 residents between 2025 and 2055. The Williston region adds about</w:t>
      </w:r>
    </w:p>
    <w:p>
      <w:r>
        <w:t xml:space="preserve">36,000 residents, and the Bismarck region adds about 28,000 residents.</w:t>
      </w:r>
    </w:p>
    <w:p>
      <w:r>
        <w:t xml:space="preserve">Other regions decline in the same scenario. The Grand Forks region declines by</w:t>
      </w:r>
    </w:p>
    <w:p>
      <w:r>
        <w:t xml:space="preserve">about 13,000 residents, the Minot region by about 12,000 residents, the</w:t>
      </w:r>
    </w:p>
    <w:p>
      <w:r>
        <w:t xml:space="preserve">Jamestown region by about 6,000 residents, and the Devils Lake region by about</w:t>
      </w:r>
    </w:p>
    <w:p>
      <w:r>
        <w:t xml:space="preserve">4,000 residents. The Dickinson region grows by about 7,000 residents.</w:t>
      </w:r>
    </w:p>
    <w:p>
      <w:r>
        <w:t xml:space="preserve">These regional differences show why statewide totals need local context. A</w:t>
      </w:r>
    </w:p>
    <w:p>
      <w:r>
        <w:t xml:space="preserve">statewide increase can occur while some regions experience population decline.</w:t>
      </w:r>
    </w:p>
    <w:p>
      <w:r>
        <w:t xml:space="preserve">Suggested exhibit: region map paired with a baseline regional change bar chart.</w:t>
      </w:r>
    </w:p>
    <w:p>
      <w:pPr>
        <w:pStyle w:val="Heading2"/>
      </w:pPr>
      <w:r>
        <w:t xml:space="preserve">County Growth And Concentration</w:t>
      </w:r>
    </w:p>
    <w:p>
      <w:r>
        <w:t xml:space="preserve">County growth is concentrated in the draft baseline. Cass County adds about</w:t>
      </w:r>
    </w:p>
    <w:p>
      <w:r>
        <w:t xml:space="preserve">51,000 residents between 2025 and 2055. Williams County adds about 24,000,</w:t>
      </w:r>
    </w:p>
    <w:p>
      <w:r>
        <w:t xml:space="preserve">Burleigh County about 19,000, McKenzie County about 12,000, Morton County about</w:t>
      </w:r>
    </w:p>
    <w:p>
      <w:r>
        <w:t xml:space="preserve">11,000, and Stark County about 7,000.</w:t>
      </w:r>
    </w:p>
    <w:p>
      <w:r>
        <w:t xml:space="preserve">These gains are partly offset by declines elsewhere. Ward County declines by</w:t>
      </w:r>
    </w:p>
    <w:p>
      <w:r>
        <w:t xml:space="preserve">about 11,000 residents, Grand Forks County by about 9,000, Walsh County by about</w:t>
      </w:r>
    </w:p>
    <w:p>
      <w:r>
        <w:t xml:space="preserve">3,000, Pembina County by about 2,000, Stutsman County by about 2,000, and</w:t>
      </w:r>
    </w:p>
    <w:p>
      <w:r>
        <w:t xml:space="preserve">Richland County by about 2,000.</w:t>
      </w:r>
    </w:p>
    <w:p>
      <w:r>
        <w:t xml:space="preserve">The county pattern is one of the most important messages for public users: the</w:t>
      </w:r>
    </w:p>
    <w:p>
      <w:r>
        <w:t xml:space="preserve">statewide baseline total does not describe the experience of every county.</w:t>
      </w:r>
    </w:p>
    <w:p>
      <w:r>
        <w:t xml:space="preserve">Suggested exhibit: top-growth and largest-decline county bars, or a county map</w:t>
      </w:r>
    </w:p>
    <w:p>
      <w:r>
        <w:t xml:space="preserve">with a compact ranked table.</w:t>
      </w:r>
    </w:p>
    <w:p>
      <w:pPr>
        <w:pStyle w:val="Heading2"/>
      </w:pPr>
      <w:r>
        <w:t xml:space="preserve">Age Structure</w:t>
      </w:r>
    </w:p>
    <w:p>
      <w:r>
        <w:t xml:space="preserve">The draft baseline shows different patterns by age group. The under-18</w:t>
      </w:r>
    </w:p>
    <w:p>
      <w:r>
        <w:t xml:space="preserve">population changes little across the projection horizon, moving from about</w:t>
      </w:r>
    </w:p>
    <w:p>
      <w:r>
        <w:t xml:space="preserve">189,000 residents in 2025 to about 187,000 in 2055.</w:t>
      </w:r>
    </w:p>
    <w:p>
      <w:r>
        <w:t xml:space="preserve">The working-age population, ages 18 to 64, grows from about 476,000 to about</w:t>
      </w:r>
    </w:p>
    <w:p>
      <w:r>
        <w:t xml:space="preserve">536,000 residents. The population age 65 and older grows from about 135,000 to</w:t>
      </w:r>
    </w:p>
    <w:p>
      <w:r>
        <w:t xml:space="preserve">about 159,000 residents. The population age 85 and older grows from about</w:t>
      </w:r>
    </w:p>
    <w:p>
      <w:r>
        <w:t xml:space="preserve">17,000 to about 25,000 residents.</w:t>
      </w:r>
    </w:p>
    <w:p>
      <w:r>
        <w:t xml:space="preserve">These shifts have practical implications. A larger older population affects</w:t>
      </w:r>
    </w:p>
    <w:p>
      <w:r>
        <w:t xml:space="preserve">health care, long-term care, transportation, housing, and community services.</w:t>
      </w:r>
    </w:p>
    <w:p>
      <w:r>
        <w:t xml:space="preserve">Working-age growth affects labor supply and economic planning. A comparatively</w:t>
      </w:r>
    </w:p>
    <w:p>
      <w:r>
        <w:t xml:space="preserve">flat under-18 population affects school and family-service planning differently</w:t>
      </w:r>
    </w:p>
    <w:p>
      <w:r>
        <w:t xml:space="preserve">across counties.</w:t>
      </w:r>
    </w:p>
    <w:p>
      <w:r>
        <w:t xml:space="preserve">Suggested exhibit: age-group trend chart with under 18, 18-64, 65+, and 85+.</w:t>
      </w:r>
    </w:p>
    <w:p>
      <w:pPr>
        <w:pStyle w:val="Heading2"/>
      </w:pPr>
      <w:r>
        <w:t xml:space="preserve">Methodology Summary</w:t>
      </w:r>
    </w:p>
    <w:p>
      <w:r>
        <w:t xml:space="preserve">The projections use a cohort-component method. The model begins with a base</w:t>
      </w:r>
    </w:p>
    <w:p>
      <w:r>
        <w:t xml:space="preserve">population by age, sex, race and ethnicity, and geography, then advances the</w:t>
      </w:r>
    </w:p>
    <w:p>
      <w:r>
        <w:t xml:space="preserve">population year by year using fertility, mortality, and migration assumptions.</w:t>
      </w:r>
    </w:p>
    <w:p>
      <w:r>
        <w:t xml:space="preserve">The current system uses Census Population Estimates Program data, North Dakota</w:t>
      </w:r>
    </w:p>
    <w:p>
      <w:r>
        <w:t xml:space="preserve">and national fertility inputs, survival assumptions, and migration rates based</w:t>
      </w:r>
    </w:p>
    <w:p>
      <w:r>
        <w:t xml:space="preserve">on Census PEP components of change. State totals are built from county</w:t>
      </w:r>
    </w:p>
    <w:p>
      <w:r>
        <w:t xml:space="preserve">projections so that county, regional, and state outputs remain internally</w:t>
      </w:r>
    </w:p>
    <w:p>
      <w:r>
        <w:t xml:space="preserve">consistent.</w:t>
      </w:r>
    </w:p>
    <w:p>
      <w:r>
        <w:t xml:space="preserve">The public scenarios are designed for planning. Baseline represents recent</w:t>
      </w:r>
    </w:p>
    <w:p>
      <w:r>
        <w:t xml:space="preserve">trend continuation. Restricted Growth uses a CBO-grounded adjustment to reflect</w:t>
      </w:r>
    </w:p>
    <w:p>
      <w:r>
        <w:t xml:space="preserve">lower migration and fertility assumptions. High Growth represents an elevated</w:t>
      </w:r>
    </w:p>
    <w:p>
      <w:r>
        <w:t xml:space="preserve">migration and fertility path for comparison.</w:t>
      </w:r>
    </w:p>
    <w:p>
      <w:pPr>
        <w:pStyle w:val="Heading2"/>
      </w:pPr>
      <w:r>
        <w:t xml:space="preserve">Cautions And Data Availability</w:t>
      </w:r>
    </w:p>
    <w:p>
      <w:r>
        <w:t xml:space="preserve">Long-term population projections are sensitive to migration. North Dakota's</w:t>
      </w:r>
    </w:p>
    <w:p>
      <w:r>
        <w:t xml:space="preserve">recent growth has depended heavily on migration patterns, and those patterns can</w:t>
      </w:r>
    </w:p>
    <w:p>
      <w:r>
        <w:t xml:space="preserve">change with federal policy, global conditions, economic cycles, housing</w:t>
      </w:r>
    </w:p>
    <w:p>
      <w:r>
        <w:t xml:space="preserve">availability, and local labor demand.</w:t>
      </w:r>
    </w:p>
    <w:p>
      <w:r>
        <w:t xml:space="preserve">Growth is also geographically concentrated. In the draft baseline, a small group</w:t>
      </w:r>
    </w:p>
    <w:p>
      <w:r>
        <w:t xml:space="preserve">of counties accounts for most gross growth, while other counties decline. Users</w:t>
      </w:r>
    </w:p>
    <w:p>
      <w:r>
        <w:t xml:space="preserve">should review county and regional detail instead of relying only on statewide</w:t>
      </w:r>
    </w:p>
    <w:p>
      <w:r>
        <w:t xml:space="preserve">totals.</w:t>
      </w:r>
    </w:p>
    <w:p>
      <w:r>
        <w:t xml:space="preserve">The public download package will include one consolidated Excel workbook and</w:t>
      </w:r>
    </w:p>
    <w:p>
      <w:r>
        <w:t xml:space="preserve">one consolidated CSV covering the state, regions, and counties. City and place</w:t>
      </w:r>
    </w:p>
    <w:p>
      <w:r>
        <w:t xml:space="preserve">projections are not included in the public release.</w:t>
      </w:r>
    </w:p>
    <w:p>
      <w:pPr>
        <w:pStyle w:val="Heading2"/>
      </w:pPr>
      <w:r>
        <w:t xml:space="preserve">County Appendix Intro</w:t>
      </w:r>
    </w:p>
    <w:p>
      <w:r>
        <w:t xml:space="preserve">The county appendix provides Baseline (Trend Continuation) values at selected</w:t>
      </w:r>
    </w:p>
    <w:p>
      <w:r>
        <w:t xml:space="preserve">years for all 53 North Dakota counties. Exact annual values and scenario values</w:t>
      </w:r>
    </w:p>
    <w:p>
      <w:r>
        <w:t xml:space="preserve">are available in the public download files.</w:t>
      </w:r>
    </w:p>
    <w:p>
      <w:r>
        <w:t xml:space="preserve">Use key years only in the PDF so the appendix remains readable. The downloads</w:t>
      </w:r>
    </w:p>
    <w:p>
      <w:r>
        <w:t xml:space="preserve">will provide the full annual data.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