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2026 Public Projection Release Handoff</w:t>
      </w:r>
    </w:p>
    <w:p>
      <w:r>
        <w:t xml:space="preserve">This folder is the working handoff for the 2026 North Dakota population</w:t>
      </w:r>
    </w:p>
    <w:p>
      <w:r>
        <w:t xml:space="preserve">projection public release. The marketing-facing materials are meant to give the</w:t>
      </w:r>
    </w:p>
    <w:p>
      <w:r>
        <w:t xml:space="preserve">design team usable content now, before the final projection numbers are locked.</w:t>
      </w:r>
    </w:p>
    <w:p>
      <w:r>
        <w:t xml:space="preserve">The materials are built around the 2024 State Data Center PDF</w:t>
      </w:r>
    </w:p>
    <w:p>
      <w:r>
        <w:t xml:space="preserve">(</w:t>
      </w:r>
      <w:r>
        <w:rPr>
          <w:rFonts w:ascii="Courier New" w:hAnsi="Courier New"/>
          <w:shd w:fill="F2F2F2"/>
        </w:rPr>
        <w:t xml:space="preserve">data/raw/ND Population Projections.pdf</w:t>
      </w:r>
      <w:r>
        <w:t xml:space="preserve">) as the starting visual reference. The</w:t>
      </w:r>
    </w:p>
    <w:p>
      <w:r>
        <w:t xml:space="preserve">2026 report should feel similar in scale and usefulness: a compact public report</w:t>
      </w:r>
    </w:p>
    <w:p>
      <w:r>
        <w:t xml:space="preserve">that can stand on its own, with the downloadable data available for users who</w:t>
      </w:r>
    </w:p>
    <w:p>
      <w:r>
        <w:t xml:space="preserve">need exact values.</w:t>
      </w:r>
    </w:p>
    <w:p>
      <w:pPr>
        <w:pStyle w:val="Heading2"/>
      </w:pPr>
      <w:r>
        <w:t xml:space="preserve">What Marketing Can Start With Now</w:t>
      </w:r>
    </w:p>
    <w:p>
      <w:r>
        <w:t xml:space="preserve">Marketing can begin layout and design using:</w:t>
      </w:r>
    </w:p>
    <w:p>
      <w:pPr>
        <w:ind w:left="360" w:hanging="360"/>
      </w:pPr>
      <w:r>
        <w:t xml:space="preserve">• </w:t>
      </w:r>
      <w:r>
        <w:t xml:space="preserve"/>
      </w:r>
      <w:r>
        <w:rPr>
          <w:rFonts w:ascii="Courier New" w:hAnsi="Courier New"/>
          <w:shd w:fill="F2F2F2"/>
        </w:rPr>
        <w:t xml:space="preserve">draft-public-pdf-copy.md</w:t>
      </w:r>
      <w:r>
        <w:t xml:space="preserve"> for the draft report narrative.</w:t>
      </w:r>
    </w:p>
    <w:p>
      <w:pPr>
        <w:ind w:left="360" w:hanging="360"/>
      </w:pPr>
      <w:r>
        <w:t xml:space="preserve">• </w:t>
      </w:r>
      <w:r>
        <w:t xml:space="preserve"/>
      </w:r>
      <w:r>
        <w:rPr>
          <w:rFonts w:ascii="Courier New" w:hAnsi="Courier New"/>
          <w:shd w:fill="F2F2F2"/>
        </w:rPr>
        <w:t xml:space="preserve">pdf-content-outline.md</w:t>
      </w:r>
      <w:r>
        <w:t xml:space="preserve"> for the page-by-page storyboard.</w:t>
      </w:r>
    </w:p>
    <w:p>
      <w:pPr>
        <w:ind w:left="360" w:hanging="360"/>
      </w:pPr>
      <w:r>
        <w:t xml:space="preserve">• </w:t>
      </w:r>
      <w:r>
        <w:t xml:space="preserve"/>
      </w:r>
      <w:r>
        <w:rPr>
          <w:rFonts w:ascii="Courier New" w:hAnsi="Courier New"/>
          <w:shd w:fill="F2F2F2"/>
        </w:rPr>
        <w:t xml:space="preserve">2024-sdc-pdf-review.md</w:t>
      </w:r>
      <w:r>
        <w:t xml:space="preserve"> for notes on how to use the 2024 PDF as a reference.</w:t>
      </w:r>
    </w:p>
    <w:p>
      <w:pPr>
        <w:ind w:left="360" w:hanging="360"/>
      </w:pPr>
      <w:r>
        <w:t xml:space="preserve">• </w:t>
      </w:r>
      <w:r>
        <w:t xml:space="preserve"/>
      </w:r>
      <w:r>
        <w:rPr>
          <w:rFonts w:ascii="Courier New" w:hAnsi="Courier New"/>
          <w:shd w:fill="F2F2F2"/>
        </w:rPr>
        <w:t xml:space="preserve">provisional-number-snapshot.md</w:t>
      </w:r>
      <w:r>
        <w:t xml:space="preserve"> for rounded draft values that help size</w:t>
      </w:r>
    </w:p>
    <w:p>
      <w:r>
        <w:t xml:space="preserve">charts, tables, and callouts.</w:t>
      </w:r>
    </w:p>
    <w:p>
      <w:r>
        <w:t xml:space="preserve">These files are written for human handoff. They describe what the public report</w:t>
      </w:r>
    </w:p>
    <w:p>
      <w:r>
        <w:t xml:space="preserve">should say, what each section is trying to communicate, and which exhibits are</w:t>
      </w:r>
    </w:p>
    <w:p>
      <w:r>
        <w:t xml:space="preserve">likely needed.</w:t>
      </w:r>
    </w:p>
    <w:p>
      <w:pPr>
        <w:pStyle w:val="Heading2"/>
      </w:pPr>
      <w:r>
        <w:t xml:space="preserve">What Is Still Provisional</w:t>
      </w:r>
    </w:p>
    <w:p>
      <w:r>
        <w:t xml:space="preserve">The numbers in this package are draft layout values from the March 2026 exports.</w:t>
      </w:r>
    </w:p>
    <w:p>
      <w:r>
        <w:t xml:space="preserve">They are close enough for copy development and design planning, but they are not</w:t>
      </w:r>
    </w:p>
    <w:p>
      <w:r>
        <w:t xml:space="preserve">approved public figures.</w:t>
      </w:r>
    </w:p>
    <w:p>
      <w:r>
        <w:t xml:space="preserve">Final public numbers depend on the CF-001 college-fix model decision. If CF-001</w:t>
      </w:r>
    </w:p>
    <w:p>
      <w:r>
        <w:t xml:space="preserve">is promoted, production projections need to be rerun before the final PDF,</w:t>
      </w:r>
    </w:p>
    <w:p>
      <w:r>
        <w:t xml:space="preserve">Excel workbook, and CSV are built.</w:t>
      </w:r>
    </w:p>
    <w:p>
      <w:pPr>
        <w:pStyle w:val="Heading2"/>
      </w:pPr>
      <w:r>
        <w:t xml:space="preserve">What Comes After Final Production</w:t>
      </w:r>
    </w:p>
    <w:p>
      <w:r>
        <w:t xml:space="preserve">After CF-001 is resolved and final production outputs pass QA, the data team</w:t>
      </w:r>
    </w:p>
    <w:p>
      <w:r>
        <w:t xml:space="preserve">will provide:</w:t>
      </w:r>
    </w:p>
    <w:p>
      <w:pPr>
        <w:ind w:left="360" w:hanging="360"/>
      </w:pPr>
      <w:r>
        <w:t xml:space="preserve">• </w:t>
      </w:r>
      <w:r>
        <w:t xml:space="preserve">Final rounded numbers for the PDF.</w:t>
      </w:r>
    </w:p>
    <w:p>
      <w:pPr>
        <w:ind w:left="360" w:hanging="360"/>
      </w:pPr>
      <w:r>
        <w:t xml:space="preserve">• </w:t>
      </w:r>
      <w:r>
        <w:t xml:space="preserve">Chart-ready tables for state, region, county, and age-group exhibits.</w:t>
      </w:r>
    </w:p>
    <w:p>
      <w:pPr>
        <w:ind w:left="360" w:hanging="360"/>
      </w:pPr>
      <w:r>
        <w:t xml:space="preserve">• </w:t>
      </w:r>
      <w:r>
        <w:t xml:space="preserve">One consolidated public Excel workbook.</w:t>
      </w:r>
    </w:p>
    <w:p>
      <w:pPr>
        <w:ind w:left="360" w:hanging="360"/>
      </w:pPr>
      <w:r>
        <w:t xml:space="preserve">• </w:t>
      </w:r>
      <w:r>
        <w:t xml:space="preserve">One consolidated public CSV.</w:t>
      </w:r>
    </w:p>
    <w:p>
      <w:pPr>
        <w:ind w:left="360" w:hanging="360"/>
      </w:pPr>
      <w:r>
        <w:t xml:space="preserve">• </w:t>
      </w:r>
      <w:r>
        <w:t xml:space="preserve">Final download language and source/run metadata.</w:t>
      </w:r>
    </w:p>
    <w:p>
      <w:r>
        <w:t xml:space="preserve">The public release covers the state, 8 economic planning regions, and 53</w:t>
      </w:r>
    </w:p>
    <w:p>
      <w:r>
        <w:t xml:space="preserve">counties. City and place projections are not part of this public release.</w:t>
      </w:r>
    </w:p>
    <w:p>
      <w:pPr>
        <w:pStyle w:val="Heading2"/>
      </w:pPr>
      <w:r>
        <w:t xml:space="preserve">How To Use The 2024 SDC PDF</w:t>
      </w:r>
    </w:p>
    <w:p>
      <w:r>
        <w:t xml:space="preserve">Use the 2024 PDF as a design and pacing reference, not as a language template.</w:t>
      </w:r>
    </w:p>
    <w:p>
      <w:r>
        <w:t xml:space="preserve">It has the right public-report scale: cover, table of contents, executive</w:t>
      </w:r>
    </w:p>
    <w:p>
      <w:r>
        <w:t xml:space="preserve">summary, statewide chart, method page, regional section, demographic section,</w:t>
      </w:r>
    </w:p>
    <w:p>
      <w:r>
        <w:t xml:space="preserve">state/region summary, county appendix, and contact information.</w:t>
      </w:r>
    </w:p>
    <w:p>
      <w:r>
        <w:t xml:space="preserve">The 2026 report needs updated framing. It should lead with the Baseline (Trend</w:t>
      </w:r>
    </w:p>
    <w:p>
      <w:r>
        <w:t xml:space="preserve">Continuation) scenario, but the Restricted Growth (CBO Policy-Adjusted) and High</w:t>
      </w:r>
    </w:p>
    <w:p>
      <w:r>
        <w:t xml:space="preserve">Growth (Elevated Immigration) scenarios need to stay visible so readers</w:t>
      </w:r>
    </w:p>
    <w:p>
      <w:r>
        <w:t xml:space="preserve">understand the range of possible outcomes.</w:t>
      </w:r>
    </w:p>
    <w:p>
      <w:pPr>
        <w:pStyle w:val="Heading2"/>
      </w:pPr>
      <w:r>
        <w:t xml:space="preserve">Sendable Content Files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312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3120" w:type="dxa"/>
          </w:tcPr>
          <w:p>
            <w:r>
              <w:rPr>
                <w:b/>
              </w:rPr>
              <w:t xml:space="preserve">Audience</w:t>
            </w:r>
          </w:p>
        </w:tc>
        <w:tc>
          <w:tcPr>
            <w:tcW w:w="3120" w:type="dxa"/>
          </w:tcPr>
          <w:p>
            <w:r>
              <w:rPr>
                <w:b/>
              </w:rPr>
              <w:t xml:space="preserve">Use</w:t>
            </w:r>
          </w:p>
        </w:tc>
      </w:tr>
      <w:tr>
        <w:tc>
          <w:tcPr>
            <w:tcW w:w="3120" w:type="dxa"/>
          </w:tcPr>
          <w:p>
            <w:r>
              <w:t xml:space="preserve">`draft-public-pdf-copy.md`</w:t>
            </w:r>
          </w:p>
        </w:tc>
        <w:tc>
          <w:tcPr>
            <w:tcW w:w="3120" w:type="dxa"/>
          </w:tcPr>
          <w:p>
            <w:r>
              <w:t xml:space="preserve">Marketing/content review</w:t>
            </w:r>
          </w:p>
        </w:tc>
        <w:tc>
          <w:tcPr>
            <w:tcW w:w="3120" w:type="dxa"/>
          </w:tcPr>
          <w:p>
            <w:r>
              <w:t xml:space="preserve">Draft public report text</w:t>
            </w:r>
          </w:p>
        </w:tc>
      </w:tr>
      <w:tr>
        <w:tc>
          <w:tcPr>
            <w:tcW w:w="3120" w:type="dxa"/>
          </w:tcPr>
          <w:p>
            <w:r>
              <w:t xml:space="preserve">`pdf-content-outline.md`</w:t>
            </w:r>
          </w:p>
        </w:tc>
        <w:tc>
          <w:tcPr>
            <w:tcW w:w="3120" w:type="dxa"/>
          </w:tcPr>
          <w:p>
            <w:r>
              <w:t xml:space="preserve">Marketing/design</w:t>
            </w:r>
          </w:p>
        </w:tc>
        <w:tc>
          <w:tcPr>
            <w:tcW w:w="3120" w:type="dxa"/>
          </w:tcPr>
          <w:p>
            <w:r>
              <w:t xml:space="preserve">Page storyboard and exhibit plan</w:t>
            </w:r>
          </w:p>
        </w:tc>
      </w:tr>
      <w:tr>
        <w:tc>
          <w:tcPr>
            <w:tcW w:w="3120" w:type="dxa"/>
          </w:tcPr>
          <w:p>
            <w:r>
              <w:t xml:space="preserve">`2024-sdc-pdf-review.md`</w:t>
            </w:r>
          </w:p>
        </w:tc>
        <w:tc>
          <w:tcPr>
            <w:tcW w:w="3120" w:type="dxa"/>
          </w:tcPr>
          <w:p>
            <w:r>
              <w:t xml:space="preserve">Marketing/design</w:t>
            </w:r>
          </w:p>
        </w:tc>
        <w:tc>
          <w:tcPr>
            <w:tcW w:w="3120" w:type="dxa"/>
          </w:tcPr>
          <w:p>
            <w:r>
              <w:t xml:space="preserve">Practical guidance for using the 2024 PDF</w:t>
            </w:r>
          </w:p>
        </w:tc>
      </w:tr>
      <w:tr>
        <w:tc>
          <w:tcPr>
            <w:tcW w:w="3120" w:type="dxa"/>
          </w:tcPr>
          <w:p>
            <w:r>
              <w:t xml:space="preserve">`provisional-number-snapshot.md`</w:t>
            </w:r>
          </w:p>
        </w:tc>
        <w:tc>
          <w:tcPr>
            <w:tcW w:w="3120" w:type="dxa"/>
          </w:tcPr>
          <w:p>
            <w:r>
              <w:t xml:space="preserve">Marketing/design</w:t>
            </w:r>
          </w:p>
        </w:tc>
        <w:tc>
          <w:tcPr>
            <w:tcW w:w="3120" w:type="dxa"/>
          </w:tcPr>
          <w:p>
            <w:r>
              <w:t xml:space="preserve">Rounded draft numbers for layout</w:t>
            </w:r>
          </w:p>
        </w:tc>
      </w:tr>
    </w:tbl>
    <w:p>
      <w:r>
        <w:t xml:space="preserve">Internal repo records are kept separately for the data team. Those records cover</w:t>
      </w:r>
    </w:p>
    <w:p>
      <w:r>
        <w:t xml:space="preserve">scope decisions, final Excel/CSV production details, and publication QA controls;</w:t>
      </w:r>
    </w:p>
    <w:p>
      <w:r>
        <w:t xml:space="preserve">they are not part of the marketing packet.</w:t>
      </w:r>
    </w:p>
    <w:p>
      <w:pPr>
        <w:pStyle w:val="Heading2"/>
      </w:pPr>
      <w:r>
        <w:t xml:space="preserve">Marketing-Ready Word Files</w:t>
      </w:r>
    </w:p>
    <w:p>
      <w:r>
        <w:t xml:space="preserve">Word-compatible files live in </w:t>
      </w:r>
      <w:r>
        <w:rPr>
          <w:rFonts w:ascii="Courier New" w:hAnsi="Courier New"/>
          <w:shd w:fill="F2F2F2"/>
        </w:rPr>
        <w:t xml:space="preserve">marketing-ready/</w:t>
      </w:r>
      <w:r>
        <w:t xml:space="preserve">. The recommended sendable</w:t>
      </w:r>
    </w:p>
    <w:p>
      <w:r>
        <w:t xml:space="preserve">packet excludes internal decision logs, QA control files, and technical data</w:t>
      </w:r>
    </w:p>
    <w:p>
      <w:r>
        <w:t xml:space="preserve">specs.</w:t>
      </w: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ptos" w:hAnsi="Aptos"/>
      <w:sz w:val="22"/>
    </w:rPr>
    <w:pPr>
      <w:spacing w:after="160"/>
    </w:pPr>
  </w:style>
  <w:style w:type="paragraph" w:styleId="Heading1">
    <w:name w:val="heading 1"/>
    <w:basedOn w:val="Normal"/>
    <w:next w:val="Normal"/>
    <w:qFormat/>
    <w:pPr>
      <w:spacing w:before="240" w:after="16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20" w:after="120"/>
    </w:pPr>
    <w:rPr>
      <w:b/>
      <w:sz w:val="26"/>
    </w:rPr>
  </w:style>
  <w:style w:type="paragraph" w:styleId="Heading3">
    <w:name w:val="heading 3"/>
    <w:basedOn w:val="Normal"/>
    <w:next w:val="Normal"/>
    <w:qFormat/>
    <w:pPr>
      <w:spacing w:before="180" w:after="100"/>
    </w:pPr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Local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PUB-2026 Marketing Handoff</dc:title>
  <dc:creator>North Dakota State Data Center</dc:creator>
  <cp:lastModifiedBy>North Dakota State Data Center</cp:lastModifiedBy>
</cp:coreProperties>
</file>