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2026 Public Projection Release Handoff</w:t>
      </w:r>
    </w:p>
    <w:p>
      <w:r>
        <w:t xml:space="preserve">This folder is the working handoff for the 2026 North Dakota population</w:t>
      </w:r>
    </w:p>
    <w:p>
      <w:r>
        <w:t xml:space="preserve">projection public release. The marketing-facing materials are meant to give the</w:t>
      </w:r>
    </w:p>
    <w:p>
      <w:r>
        <w:t xml:space="preserve">design team usable content now, before the final projection numbers are locked.</w:t>
      </w:r>
    </w:p>
    <w:p>
      <w:r>
        <w:t xml:space="preserve">The materials are built around the 2024 State Data Center PDF</w:t>
      </w:r>
    </w:p>
    <w:p>
      <w:r>
        <w:t xml:space="preserve">(</w:t>
      </w:r>
      <w:r>
        <w:rPr>
          <w:rFonts w:ascii="Courier New" w:hAnsi="Courier New"/>
          <w:shd w:fill="F2F2F2"/>
        </w:rPr>
        <w:t xml:space="preserve">data/raw/ND Population Projections.pdf</w:t>
      </w:r>
      <w:r>
        <w:t xml:space="preserve">) as the starting visual reference. The</w:t>
      </w:r>
    </w:p>
    <w:p>
      <w:r>
        <w:t xml:space="preserve">2026 report should feel similar in scale and usefulness: a compact public report</w:t>
      </w:r>
    </w:p>
    <w:p>
      <w:r>
        <w:t xml:space="preserve">that can stand on its own, with the downloadable data available for users who</w:t>
      </w:r>
    </w:p>
    <w:p>
      <w:r>
        <w:t xml:space="preserve">need exact values.</w:t>
      </w:r>
    </w:p>
    <w:p>
      <w:pPr>
        <w:pStyle w:val="Heading2"/>
      </w:pPr>
      <w:r>
        <w:t xml:space="preserve">What Marketing Can Start With Now</w:t>
      </w:r>
    </w:p>
    <w:p>
      <w:r>
        <w:t xml:space="preserve">Marketing can begin layout and design using: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draft-public-pdf-copy.md</w:t>
      </w:r>
      <w:r>
        <w:t xml:space="preserve"> for the draft report narrative.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pdf-content-outline.md</w:t>
      </w:r>
      <w:r>
        <w:t xml:space="preserve"> for the page-by-page storyboard.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2024-sdc-pdf-review.md</w:t>
      </w:r>
      <w:r>
        <w:t xml:space="preserve"> for notes on how to use the 2024 PDF as a reference.</w:t>
      </w:r>
    </w:p>
    <w:p>
      <w:pPr>
        <w:ind w:left="360" w:hanging="360"/>
      </w:pPr>
      <w:r>
        <w:t xml:space="preserve">• </w:t>
      </w:r>
      <w:r>
        <w:t xml:space="preserve"/>
      </w:r>
      <w:r>
        <w:rPr>
          <w:rFonts w:ascii="Courier New" w:hAnsi="Courier New"/>
          <w:shd w:fill="F2F2F2"/>
        </w:rPr>
        <w:t xml:space="preserve">provisional-number-snapshot.md</w:t>
      </w:r>
      <w:r>
        <w:t xml:space="preserve"> for rounded draft values that help size</w:t>
      </w:r>
    </w:p>
    <w:p>
      <w:r>
        <w:t xml:space="preserve">charts, tables, and callouts.</w:t>
      </w:r>
    </w:p>
    <w:p>
      <w:r>
        <w:t xml:space="preserve">These files are written for human handoff. They describe what the public report</w:t>
      </w:r>
    </w:p>
    <w:p>
      <w:r>
        <w:t xml:space="preserve">should say, what each section is trying to communicate, and which exhibits are</w:t>
      </w:r>
    </w:p>
    <w:p>
      <w:r>
        <w:t xml:space="preserve">likely needed.</w:t>
      </w:r>
    </w:p>
    <w:p>
      <w:pPr>
        <w:pStyle w:val="Heading2"/>
      </w:pPr>
      <w:r>
        <w:t xml:space="preserve">What Is Still Provisional</w:t>
      </w:r>
    </w:p>
    <w:p>
      <w:r>
        <w:t xml:space="preserve">The numbers in this package are draft layout values from the March 2026 exports.</w:t>
      </w:r>
    </w:p>
    <w:p>
      <w:r>
        <w:t xml:space="preserve">They are close enough for copy development and design planning, but they are not</w:t>
      </w:r>
    </w:p>
    <w:p>
      <w:r>
        <w:t xml:space="preserve">approved public figures.</w:t>
      </w:r>
    </w:p>
    <w:p>
      <w:r>
        <w:t xml:space="preserve">Final public numbers depend on the CF-001 college-fix model decision. If CF-001</w:t>
      </w:r>
    </w:p>
    <w:p>
      <w:r>
        <w:t xml:space="preserve">is promoted, production projections need to be rerun before the final PDF,</w:t>
      </w:r>
    </w:p>
    <w:p>
      <w:r>
        <w:t xml:space="preserve">Excel workbook, and CSV are built.</w:t>
      </w:r>
    </w:p>
    <w:p>
      <w:pPr>
        <w:pStyle w:val="Heading2"/>
      </w:pPr>
      <w:r>
        <w:t xml:space="preserve">What Comes After Final Production</w:t>
      </w:r>
    </w:p>
    <w:p>
      <w:r>
        <w:t xml:space="preserve">After CF-001 is resolved and final production outputs pass QA, the data team</w:t>
      </w:r>
    </w:p>
    <w:p>
      <w:r>
        <w:t xml:space="preserve">will provide:</w:t>
      </w:r>
    </w:p>
    <w:p>
      <w:pPr>
        <w:ind w:left="360" w:hanging="360"/>
      </w:pPr>
      <w:r>
        <w:t xml:space="preserve">• </w:t>
      </w:r>
      <w:r>
        <w:t xml:space="preserve">Final rounded numbers for the PDF.</w:t>
      </w:r>
    </w:p>
    <w:p>
      <w:pPr>
        <w:ind w:left="360" w:hanging="360"/>
      </w:pPr>
      <w:r>
        <w:t xml:space="preserve">• </w:t>
      </w:r>
      <w:r>
        <w:t xml:space="preserve">Chart-ready tables for state, region, county, and age-group exhibits.</w:t>
      </w:r>
    </w:p>
    <w:p>
      <w:pPr>
        <w:ind w:left="360" w:hanging="360"/>
      </w:pPr>
      <w:r>
        <w:t xml:space="preserve">• </w:t>
      </w:r>
      <w:r>
        <w:t xml:space="preserve">One consolidated public Excel workbook.</w:t>
      </w:r>
    </w:p>
    <w:p>
      <w:pPr>
        <w:ind w:left="360" w:hanging="360"/>
      </w:pPr>
      <w:r>
        <w:t xml:space="preserve">• </w:t>
      </w:r>
      <w:r>
        <w:t xml:space="preserve">One consolidated public CSV.</w:t>
      </w:r>
    </w:p>
    <w:p>
      <w:pPr>
        <w:ind w:left="360" w:hanging="360"/>
      </w:pPr>
      <w:r>
        <w:t xml:space="preserve">• </w:t>
      </w:r>
      <w:r>
        <w:t xml:space="preserve">Final download language and source/run metadata.</w:t>
      </w:r>
    </w:p>
    <w:p>
      <w:r>
        <w:t xml:space="preserve">The public release covers the state, 8 economic planning regions, and 53</w:t>
      </w:r>
    </w:p>
    <w:p>
      <w:r>
        <w:t xml:space="preserve">counties. City and place projections are not part of this public release.</w:t>
      </w:r>
    </w:p>
    <w:p>
      <w:pPr>
        <w:pStyle w:val="Heading2"/>
      </w:pPr>
      <w:r>
        <w:t xml:space="preserve">How To Use The 2024 SDC PDF</w:t>
      </w:r>
    </w:p>
    <w:p>
      <w:r>
        <w:t xml:space="preserve">Use the 2024 PDF as a design and pacing reference, not as a language template.</w:t>
      </w:r>
    </w:p>
    <w:p>
      <w:r>
        <w:t xml:space="preserve">It has the right public-report scale: cover, table of contents, executive</w:t>
      </w:r>
    </w:p>
    <w:p>
      <w:r>
        <w:t xml:space="preserve">summary, statewide chart, method page, regional section, demographic section,</w:t>
      </w:r>
    </w:p>
    <w:p>
      <w:r>
        <w:t xml:space="preserve">state/region summary, county appendix, and contact information.</w:t>
      </w:r>
    </w:p>
    <w:p>
      <w:r>
        <w:t xml:space="preserve">The 2026 report needs updated framing. It should lead with the Baseline (Trend</w:t>
      </w:r>
    </w:p>
    <w:p>
      <w:r>
        <w:t xml:space="preserve">Continuation) scenario, but the Restricted Growth (CBO Policy-Adjusted) and High</w:t>
      </w:r>
    </w:p>
    <w:p>
      <w:r>
        <w:t xml:space="preserve">Growth (Elevated Immigration) scenarios need to stay visible so readers</w:t>
      </w:r>
    </w:p>
    <w:p>
      <w:r>
        <w:t xml:space="preserve">understand the range of possible outcomes.</w:t>
      </w:r>
    </w:p>
    <w:p>
      <w:pPr>
        <w:pStyle w:val="Heading2"/>
      </w:pPr>
      <w:r>
        <w:t xml:space="preserve">Sendable Content Files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312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Audience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Use</w:t>
            </w:r>
          </w:p>
        </w:tc>
      </w:tr>
      <w:tr>
        <w:tc>
          <w:tcPr>
            <w:tcW w:w="3120" w:type="dxa"/>
          </w:tcPr>
          <w:p>
            <w:r>
              <w:t xml:space="preserve">`draft-public-pdf-copy.md`</w:t>
            </w:r>
          </w:p>
        </w:tc>
        <w:tc>
          <w:tcPr>
            <w:tcW w:w="3120" w:type="dxa"/>
          </w:tcPr>
          <w:p>
            <w:r>
              <w:t xml:space="preserve">Marketing/content review</w:t>
            </w:r>
          </w:p>
        </w:tc>
        <w:tc>
          <w:tcPr>
            <w:tcW w:w="3120" w:type="dxa"/>
          </w:tcPr>
          <w:p>
            <w:r>
              <w:t xml:space="preserve">Draft public report text</w:t>
            </w:r>
          </w:p>
        </w:tc>
      </w:tr>
      <w:tr>
        <w:tc>
          <w:tcPr>
            <w:tcW w:w="3120" w:type="dxa"/>
          </w:tcPr>
          <w:p>
            <w:r>
              <w:t xml:space="preserve">`pdf-content-outline.md`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Page storyboard and exhibit plan</w:t>
            </w:r>
          </w:p>
        </w:tc>
      </w:tr>
      <w:tr>
        <w:tc>
          <w:tcPr>
            <w:tcW w:w="3120" w:type="dxa"/>
          </w:tcPr>
          <w:p>
            <w:r>
              <w:t xml:space="preserve">`2024-sdc-pdf-review.md`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Practical guidance for using the 2024 PDF</w:t>
            </w:r>
          </w:p>
        </w:tc>
      </w:tr>
      <w:tr>
        <w:tc>
          <w:tcPr>
            <w:tcW w:w="3120" w:type="dxa"/>
          </w:tcPr>
          <w:p>
            <w:r>
              <w:t xml:space="preserve">`provisional-number-snapshot.md`</w:t>
            </w:r>
          </w:p>
        </w:tc>
        <w:tc>
          <w:tcPr>
            <w:tcW w:w="3120" w:type="dxa"/>
          </w:tcPr>
          <w:p>
            <w:r>
              <w:t xml:space="preserve">Marketing/design</w:t>
            </w:r>
          </w:p>
        </w:tc>
        <w:tc>
          <w:tcPr>
            <w:tcW w:w="3120" w:type="dxa"/>
          </w:tcPr>
          <w:p>
            <w:r>
              <w:t xml:space="preserve">Rounded draft numbers for layout</w:t>
            </w:r>
          </w:p>
        </w:tc>
      </w:tr>
    </w:tbl>
    <w:p>
      <w:r>
        <w:t xml:space="preserve">Internal repo records are kept separately for the data team. Those records cover</w:t>
      </w:r>
    </w:p>
    <w:p>
      <w:r>
        <w:t xml:space="preserve">scope decisions, final Excel/CSV production details, and publication QA controls;</w:t>
      </w:r>
    </w:p>
    <w:p>
      <w:r>
        <w:t xml:space="preserve">they are not part of the marketing packet.</w:t>
      </w:r>
    </w:p>
    <w:p>
      <w:pPr>
        <w:pStyle w:val="Heading2"/>
      </w:pPr>
      <w:r>
        <w:t xml:space="preserve">Marketing-Ready Word Files</w:t>
      </w:r>
    </w:p>
    <w:p>
      <w:r>
        <w:t xml:space="preserve">Word-compatible files live in </w:t>
      </w:r>
      <w:r>
        <w:rPr>
          <w:rFonts w:ascii="Courier New" w:hAnsi="Courier New"/>
          <w:shd w:fill="F2F2F2"/>
        </w:rPr>
        <w:t xml:space="preserve">marketing-ready/</w:t>
      </w:r>
      <w:r>
        <w:t xml:space="preserve">. The recommended sendable</w:t>
      </w:r>
    </w:p>
    <w:p>
      <w:r>
        <w:t xml:space="preserve">packet excludes internal decision logs, QA control files, and technical data</w:t>
      </w:r>
    </w:p>
    <w:p>
      <w:r>
        <w:t xml:space="preserve">specs.</w:t>
      </w:r>
    </w:p>
    <w:p>
      <w:r>
        <w:br w:type="page"/>
      </w:r>
    </w:p>
    <w:p>
      <w:pPr>
        <w:pStyle w:val="Heading1"/>
      </w:pPr>
      <w:r>
        <w:t xml:space="preserve">Draft Public PDF Copy</w:t>
      </w:r>
    </w:p>
    <w:p>
      <w:r>
        <w:t xml:space="preserve">Draft for marketing layout and internal review. Figures are rounded layout</w:t>
      </w:r>
    </w:p>
    <w:p>
      <w:r>
        <w:t xml:space="preserve">values from the March 2026 exports and must be refreshed after CF-001 is</w:t>
      </w:r>
    </w:p>
    <w:p>
      <w:r>
        <w:t xml:space="preserve">resolved and final production outputs are approved.</w:t>
      </w:r>
    </w:p>
    <w:p>
      <w:pPr>
        <w:pStyle w:val="Heading2"/>
      </w:pPr>
      <w:r>
        <w:t xml:space="preserve">Cover</w:t>
      </w:r>
    </w:p>
    <w:p>
      <w:r>
        <w:t xml:space="preserve">North Dakota Population Projections</w:t>
      </w:r>
    </w:p>
    <w:p>
      <w:r>
        <w:t xml:space="preserve">2025 to 2055</w:t>
      </w:r>
    </w:p>
    <w:p>
      <w:r>
        <w:t xml:space="preserve">Prepared by the North Dakota Department of Commerce - State Data Center</w:t>
      </w:r>
    </w:p>
    <w:p>
      <w:pPr>
        <w:pStyle w:val="Heading2"/>
      </w:pPr>
      <w:r>
        <w:t xml:space="preserve">Executive Summary</w:t>
      </w:r>
    </w:p>
    <w:p>
      <w:r>
        <w:t xml:space="preserve">North Dakota's population is projected under three scenarios to help public</w:t>
      </w:r>
    </w:p>
    <w:p>
      <w:r>
        <w:t xml:space="preserve">agencies, communities, and residents plan for a range of demographic futures. In</w:t>
      </w:r>
    </w:p>
    <w:p>
      <w:r>
        <w:t xml:space="preserve">the Baseline (Trend Continuation) scenario, the state grows from about 799,000</w:t>
      </w:r>
    </w:p>
    <w:p>
      <w:r>
        <w:t xml:space="preserve">residents in 2025 to about 882,000 residents in 2055, an increase of about</w:t>
      </w:r>
    </w:p>
    <w:p>
      <w:r>
        <w:t xml:space="preserve">83,000 residents.</w:t>
      </w:r>
    </w:p>
    <w:p>
      <w:r>
        <w:t xml:space="preserve">That baseline should be read alongside the Restricted Growth (CBO</w:t>
      </w:r>
    </w:p>
    <w:p>
      <w:r>
        <w:t xml:space="preserve">Policy-Adjusted) and High Growth (Elevated Immigration) scenarios. In the draft</w:t>
      </w:r>
    </w:p>
    <w:p>
      <w:r>
        <w:t xml:space="preserve">outputs, the 2055 scenario range runs from about 828,000 residents under</w:t>
      </w:r>
    </w:p>
    <w:p>
      <w:r>
        <w:t xml:space="preserve">Restricted Growth to about 1.08 million residents under High Growth. The range</w:t>
      </w:r>
    </w:p>
    <w:p>
      <w:r>
        <w:t xml:space="preserve">shows how strongly long-term population change depends on migration, federal</w:t>
      </w:r>
    </w:p>
    <w:p>
      <w:r>
        <w:t xml:space="preserve">policy, economic conditions, and demographic behavior.</w:t>
      </w:r>
    </w:p>
    <w:p>
      <w:r>
        <w:t xml:space="preserve">Growth is not evenly distributed across the state. In the draft baseline, the</w:t>
      </w:r>
    </w:p>
    <w:p>
      <w:r>
        <w:t xml:space="preserve">largest regional increases occur in the Fargo, Williston, and Bismarck regions.</w:t>
      </w:r>
    </w:p>
    <w:p>
      <w:r>
        <w:t xml:space="preserve">County-level growth is concentrated in a smaller set of counties, led by Cass,</w:t>
      </w:r>
    </w:p>
    <w:p>
      <w:r>
        <w:t xml:space="preserve">Williams, Burleigh, McKenzie, Morton, and Stark. Several regions and counties</w:t>
      </w:r>
    </w:p>
    <w:p>
      <w:r>
        <w:t xml:space="preserve">decline in the same scenario, so statewide growth should not be read as uniform</w:t>
      </w:r>
    </w:p>
    <w:p>
      <w:r>
        <w:t xml:space="preserve">local growth.</w:t>
      </w:r>
    </w:p>
    <w:p>
      <w:r>
        <w:t xml:space="preserve">The age structure also changes. The draft baseline shows growth in working-age</w:t>
      </w:r>
    </w:p>
    <w:p>
      <w:r>
        <w:t xml:space="preserve">residents and residents age 65 and older, while the under-18 population remains</w:t>
      </w:r>
    </w:p>
    <w:p>
      <w:r>
        <w:t xml:space="preserve">comparatively flat. These shifts matter for workforce planning, schools, health</w:t>
      </w:r>
    </w:p>
    <w:p>
      <w:r>
        <w:t xml:space="preserve">care, transportation, housing, and other public services.</w:t>
      </w:r>
    </w:p>
    <w:p>
      <w:r>
        <w:t xml:space="preserve">Suggested exhibit: key-numbers callout with 2025 population, 2055 baseline</w:t>
      </w:r>
    </w:p>
    <w:p>
      <w:r>
        <w:t xml:space="preserve">population, and the 2055 scenario range.</w:t>
      </w:r>
    </w:p>
    <w:p>
      <w:pPr>
        <w:pStyle w:val="Heading2"/>
      </w:pPr>
      <w:r>
        <w:t xml:space="preserve">How To Read These Projections</w:t>
      </w:r>
    </w:p>
    <w:p>
      <w:r>
        <w:t xml:space="preserve">These are scenario projections. Each scenario describes a different set of</w:t>
      </w:r>
    </w:p>
    <w:p>
      <w:r>
        <w:t xml:space="preserve">demographic assumptions and shows how population would change if those</w:t>
      </w:r>
    </w:p>
    <w:p>
      <w:r>
        <w:t xml:space="preserve">assumptions hold over time.</w:t>
      </w:r>
    </w:p>
    <w:p>
      <w:r>
        <w:t xml:space="preserve">Baseline (Trend Continuation) extends recent demographic patterns forward.</w:t>
      </w:r>
    </w:p>
    <w:p>
      <w:r>
        <w:t xml:space="preserve">Restricted Growth (CBO Policy-Adjusted) applies a lower migration and fertility</w:t>
      </w:r>
    </w:p>
    <w:p>
      <w:r>
        <w:t xml:space="preserve">path grounded in Congressional Budget Office assumptions. High Growth (Elevated</w:t>
      </w:r>
    </w:p>
    <w:p>
      <w:r>
        <w:t xml:space="preserve">Immigration) shows a higher migration and fertility path for planning context.</w:t>
      </w:r>
    </w:p>
    <w:p>
      <w:r>
        <w:t xml:space="preserve">Because the scenarios depend on assumptions, the numbers should be used as</w:t>
      </w:r>
    </w:p>
    <w:p>
      <w:r>
        <w:t xml:space="preserve">planning tools rather than as a single guaranteed path. The differences among</w:t>
      </w:r>
    </w:p>
    <w:p>
      <w:r>
        <w:t xml:space="preserve">scenarios are part of the information. They show where the future is more</w:t>
      </w:r>
    </w:p>
    <w:p>
      <w:r>
        <w:t xml:space="preserve">sensitive to migration, age structure, and geographic concentration.</w:t>
      </w:r>
    </w:p>
    <w:p>
      <w:r>
        <w:t xml:space="preserve">Suggested exhibit: three-row scenario label table.</w:t>
      </w:r>
    </w:p>
    <w:p>
      <w:pPr>
        <w:pStyle w:val="Heading2"/>
      </w:pPr>
      <w:r>
        <w:t xml:space="preserve">Statewide Population Outlook</w:t>
      </w:r>
    </w:p>
    <w:p>
      <w:r>
        <w:t xml:space="preserve">In the draft baseline, North Dakota grows from about 799,000 residents in 2025</w:t>
      </w:r>
    </w:p>
    <w:p>
      <w:r>
        <w:t xml:space="preserve">to about 882,000 residents in 2055. That is an increase of about 83,000</w:t>
      </w:r>
    </w:p>
    <w:p>
      <w:r>
        <w:t xml:space="preserve">residents, or about 10%.</w:t>
      </w:r>
    </w:p>
    <w:p>
      <w:r>
        <w:t xml:space="preserve">The Restricted Growth scenario grows more slowly, reaching about 828,000</w:t>
      </w:r>
    </w:p>
    <w:p>
      <w:r>
        <w:t xml:space="preserve">residents in 2055. The High Growth scenario reaches about 1.08 million residents</w:t>
      </w:r>
    </w:p>
    <w:p>
      <w:r>
        <w:t xml:space="preserve">in 2055. The gap among these scenarios is a central finding for public planning:</w:t>
      </w:r>
    </w:p>
    <w:p>
      <w:r>
        <w:t xml:space="preserve">migration assumptions have a large effect on the long-term state total.</w:t>
      </w:r>
    </w:p>
    <w:p>
      <w:r>
        <w:t xml:space="preserve">This is a trend-continuation scenario, not a guaranteed future. It shows what</w:t>
      </w:r>
    </w:p>
    <w:p>
      <w:r>
        <w:t xml:space="preserve">would happen if recent demographic patterns continue. The companion scenarios</w:t>
      </w:r>
    </w:p>
    <w:p>
      <w:r>
        <w:t xml:space="preserve">show how the path changes under different assumptions.</w:t>
      </w:r>
    </w:p>
    <w:p>
      <w:r>
        <w:t xml:space="preserve">Suggested exhibit: 2025-2055 line chart with all three scenarios. Keep the</w:t>
      </w:r>
    </w:p>
    <w:p>
      <w:r>
        <w:t xml:space="preserve">baseline visually primary while keeping Restricted Growth and High Growth</w:t>
      </w:r>
    </w:p>
    <w:p>
      <w:r>
        <w:t xml:space="preserve">clearly visible.</w:t>
      </w:r>
    </w:p>
    <w:p>
      <w:pPr>
        <w:pStyle w:val="Heading2"/>
      </w:pPr>
      <w:r>
        <w:t xml:space="preserve">Regional Population Change</w:t>
      </w:r>
    </w:p>
    <w:p>
      <w:r>
        <w:t xml:space="preserve">Regional patterns differ sharply in the draft baseline. The Fargo region adds</w:t>
      </w:r>
    </w:p>
    <w:p>
      <w:r>
        <w:t xml:space="preserve">about 47,000 residents between 2025 and 2055. The Williston region adds about</w:t>
      </w:r>
    </w:p>
    <w:p>
      <w:r>
        <w:t xml:space="preserve">36,000 residents, and the Bismarck region adds about 28,000 residents.</w:t>
      </w:r>
    </w:p>
    <w:p>
      <w:r>
        <w:t xml:space="preserve">Other regions decline in the same scenario. The Grand Forks region declines by</w:t>
      </w:r>
    </w:p>
    <w:p>
      <w:r>
        <w:t xml:space="preserve">about 13,000 residents, the Minot region by about 12,000 residents, the</w:t>
      </w:r>
    </w:p>
    <w:p>
      <w:r>
        <w:t xml:space="preserve">Jamestown region by about 6,000 residents, and the Devils Lake region by about</w:t>
      </w:r>
    </w:p>
    <w:p>
      <w:r>
        <w:t xml:space="preserve">4,000 residents. The Dickinson region grows by about 7,000 residents.</w:t>
      </w:r>
    </w:p>
    <w:p>
      <w:r>
        <w:t xml:space="preserve">These regional differences show why statewide totals need local context. A</w:t>
      </w:r>
    </w:p>
    <w:p>
      <w:r>
        <w:t xml:space="preserve">statewide increase can occur while some regions experience population decline.</w:t>
      </w:r>
    </w:p>
    <w:p>
      <w:r>
        <w:t xml:space="preserve">Suggested exhibit: region map paired with a baseline regional change bar chart.</w:t>
      </w:r>
    </w:p>
    <w:p>
      <w:pPr>
        <w:pStyle w:val="Heading2"/>
      </w:pPr>
      <w:r>
        <w:t xml:space="preserve">County Growth And Concentration</w:t>
      </w:r>
    </w:p>
    <w:p>
      <w:r>
        <w:t xml:space="preserve">County growth is concentrated in the draft baseline. Cass County adds about</w:t>
      </w:r>
    </w:p>
    <w:p>
      <w:r>
        <w:t xml:space="preserve">51,000 residents between 2025 and 2055. Williams County adds about 24,000,</w:t>
      </w:r>
    </w:p>
    <w:p>
      <w:r>
        <w:t xml:space="preserve">Burleigh County about 19,000, McKenzie County about 12,000, Morton County about</w:t>
      </w:r>
    </w:p>
    <w:p>
      <w:r>
        <w:t xml:space="preserve">11,000, and Stark County about 7,000.</w:t>
      </w:r>
    </w:p>
    <w:p>
      <w:r>
        <w:t xml:space="preserve">These gains are partly offset by declines elsewhere. Ward County declines by</w:t>
      </w:r>
    </w:p>
    <w:p>
      <w:r>
        <w:t xml:space="preserve">about 11,000 residents, Grand Forks County by about 9,000, Walsh County by about</w:t>
      </w:r>
    </w:p>
    <w:p>
      <w:r>
        <w:t xml:space="preserve">3,000, Pembina County by about 2,000, Stutsman County by about 2,000, and</w:t>
      </w:r>
    </w:p>
    <w:p>
      <w:r>
        <w:t xml:space="preserve">Richland County by about 2,000.</w:t>
      </w:r>
    </w:p>
    <w:p>
      <w:r>
        <w:t xml:space="preserve">The county pattern is one of the most important messages for public users: the</w:t>
      </w:r>
    </w:p>
    <w:p>
      <w:r>
        <w:t xml:space="preserve">statewide baseline total does not describe the experience of every county.</w:t>
      </w:r>
    </w:p>
    <w:p>
      <w:r>
        <w:t xml:space="preserve">Suggested exhibit: top-growth and largest-decline county bars, or a county map</w:t>
      </w:r>
    </w:p>
    <w:p>
      <w:r>
        <w:t xml:space="preserve">with a compact ranked table.</w:t>
      </w:r>
    </w:p>
    <w:p>
      <w:pPr>
        <w:pStyle w:val="Heading2"/>
      </w:pPr>
      <w:r>
        <w:t xml:space="preserve">Age Structure</w:t>
      </w:r>
    </w:p>
    <w:p>
      <w:r>
        <w:t xml:space="preserve">The draft baseline shows different patterns by age group. The under-18</w:t>
      </w:r>
    </w:p>
    <w:p>
      <w:r>
        <w:t xml:space="preserve">population changes little across the projection horizon, moving from about</w:t>
      </w:r>
    </w:p>
    <w:p>
      <w:r>
        <w:t xml:space="preserve">189,000 residents in 2025 to about 187,000 in 2055.</w:t>
      </w:r>
    </w:p>
    <w:p>
      <w:r>
        <w:t xml:space="preserve">The working-age population, ages 18 to 64, grows from about 476,000 to about</w:t>
      </w:r>
    </w:p>
    <w:p>
      <w:r>
        <w:t xml:space="preserve">536,000 residents. The population age 65 and older grows from about 135,000 to</w:t>
      </w:r>
    </w:p>
    <w:p>
      <w:r>
        <w:t xml:space="preserve">about 159,000 residents. The population age 85 and older grows from about</w:t>
      </w:r>
    </w:p>
    <w:p>
      <w:r>
        <w:t xml:space="preserve">17,000 to about 25,000 residents.</w:t>
      </w:r>
    </w:p>
    <w:p>
      <w:r>
        <w:t xml:space="preserve">These shifts have practical implications. A larger older population affects</w:t>
      </w:r>
    </w:p>
    <w:p>
      <w:r>
        <w:t xml:space="preserve">health care, long-term care, transportation, housing, and community services.</w:t>
      </w:r>
    </w:p>
    <w:p>
      <w:r>
        <w:t xml:space="preserve">Working-age growth affects labor supply and economic planning. A comparatively</w:t>
      </w:r>
    </w:p>
    <w:p>
      <w:r>
        <w:t xml:space="preserve">flat under-18 population affects school and family-service planning differently</w:t>
      </w:r>
    </w:p>
    <w:p>
      <w:r>
        <w:t xml:space="preserve">across counties.</w:t>
      </w:r>
    </w:p>
    <w:p>
      <w:r>
        <w:t xml:space="preserve">Suggested exhibit: age-group trend chart with under 18, 18-64, 65+, and 85+.</w:t>
      </w:r>
    </w:p>
    <w:p>
      <w:pPr>
        <w:pStyle w:val="Heading2"/>
      </w:pPr>
      <w:r>
        <w:t xml:space="preserve">Methodology Summary</w:t>
      </w:r>
    </w:p>
    <w:p>
      <w:r>
        <w:t xml:space="preserve">The projections use a cohort-component method. The model begins with a base</w:t>
      </w:r>
    </w:p>
    <w:p>
      <w:r>
        <w:t xml:space="preserve">population by age, sex, race and ethnicity, and geography, then advances the</w:t>
      </w:r>
    </w:p>
    <w:p>
      <w:r>
        <w:t xml:space="preserve">population year by year using fertility, mortality, and migration assumptions.</w:t>
      </w:r>
    </w:p>
    <w:p>
      <w:r>
        <w:t xml:space="preserve">The current system uses Census Population Estimates Program data, North Dakota</w:t>
      </w:r>
    </w:p>
    <w:p>
      <w:r>
        <w:t xml:space="preserve">and national fertility inputs, survival assumptions, and migration rates based</w:t>
      </w:r>
    </w:p>
    <w:p>
      <w:r>
        <w:t xml:space="preserve">on Census PEP components of change. State totals are built from county</w:t>
      </w:r>
    </w:p>
    <w:p>
      <w:r>
        <w:t xml:space="preserve">projections so that county, regional, and state outputs remain internally</w:t>
      </w:r>
    </w:p>
    <w:p>
      <w:r>
        <w:t xml:space="preserve">consistent.</w:t>
      </w:r>
    </w:p>
    <w:p>
      <w:r>
        <w:t xml:space="preserve">The public scenarios are designed for planning. Baseline represents recent</w:t>
      </w:r>
    </w:p>
    <w:p>
      <w:r>
        <w:t xml:space="preserve">trend continuation. Restricted Growth uses a CBO-grounded adjustment to reflect</w:t>
      </w:r>
    </w:p>
    <w:p>
      <w:r>
        <w:t xml:space="preserve">lower migration and fertility assumptions. High Growth represents an elevated</w:t>
      </w:r>
    </w:p>
    <w:p>
      <w:r>
        <w:t xml:space="preserve">migration and fertility path for comparison.</w:t>
      </w:r>
    </w:p>
    <w:p>
      <w:pPr>
        <w:pStyle w:val="Heading2"/>
      </w:pPr>
      <w:r>
        <w:t xml:space="preserve">Cautions And Data Availability</w:t>
      </w:r>
    </w:p>
    <w:p>
      <w:r>
        <w:t xml:space="preserve">Long-term population projections are sensitive to migration. North Dakota's</w:t>
      </w:r>
    </w:p>
    <w:p>
      <w:r>
        <w:t xml:space="preserve">recent growth has depended heavily on migration patterns, and those patterns can</w:t>
      </w:r>
    </w:p>
    <w:p>
      <w:r>
        <w:t xml:space="preserve">change with federal policy, global conditions, economic cycles, housing</w:t>
      </w:r>
    </w:p>
    <w:p>
      <w:r>
        <w:t xml:space="preserve">availability, and local labor demand.</w:t>
      </w:r>
    </w:p>
    <w:p>
      <w:r>
        <w:t xml:space="preserve">Growth is also geographically concentrated. In the draft baseline, a small group</w:t>
      </w:r>
    </w:p>
    <w:p>
      <w:r>
        <w:t xml:space="preserve">of counties accounts for most gross growth, while other counties decline. Users</w:t>
      </w:r>
    </w:p>
    <w:p>
      <w:r>
        <w:t xml:space="preserve">should review county and regional detail instead of relying only on statewide</w:t>
      </w:r>
    </w:p>
    <w:p>
      <w:r>
        <w:t xml:space="preserve">totals.</w:t>
      </w:r>
    </w:p>
    <w:p>
      <w:r>
        <w:t xml:space="preserve">The public download package will include one consolidated Excel workbook and</w:t>
      </w:r>
    </w:p>
    <w:p>
      <w:r>
        <w:t xml:space="preserve">one consolidated CSV covering the state, regions, and counties. City and place</w:t>
      </w:r>
    </w:p>
    <w:p>
      <w:r>
        <w:t xml:space="preserve">projections are not included in the public release.</w:t>
      </w:r>
    </w:p>
    <w:p>
      <w:pPr>
        <w:pStyle w:val="Heading2"/>
      </w:pPr>
      <w:r>
        <w:t xml:space="preserve">County Appendix Intro</w:t>
      </w:r>
    </w:p>
    <w:p>
      <w:r>
        <w:t xml:space="preserve">The county appendix provides Baseline (Trend Continuation) values at selected</w:t>
      </w:r>
    </w:p>
    <w:p>
      <w:r>
        <w:t xml:space="preserve">years for all 53 North Dakota counties. Exact annual values and scenario values</w:t>
      </w:r>
    </w:p>
    <w:p>
      <w:r>
        <w:t xml:space="preserve">are available in the public download files.</w:t>
      </w:r>
    </w:p>
    <w:p>
      <w:r>
        <w:t xml:space="preserve">Use key years only in the PDF so the appendix remains readable. The downloads</w:t>
      </w:r>
    </w:p>
    <w:p>
      <w:r>
        <w:t xml:space="preserve">will provide the full annual data.</w:t>
      </w:r>
    </w:p>
    <w:p>
      <w:r>
        <w:br w:type="page"/>
      </w:r>
    </w:p>
    <w:p>
      <w:pPr>
        <w:pStyle w:val="Heading1"/>
      </w:pPr>
      <w:r>
        <w:t xml:space="preserve">Public PDF Report Storyboard</w:t>
      </w:r>
    </w:p>
    <w:p>
      <w:r>
        <w:t xml:space="preserve">Target length: 12-16 pages.</w:t>
      </w:r>
    </w:p>
    <w:p>
      <w:r>
        <w:t xml:space="preserve">Audience: public stakeholders, state and local planners, elected officials,</w:t>
      </w:r>
    </w:p>
    <w:p>
      <w:r>
        <w:t xml:space="preserve">agency staff, media, and interested residents.</w:t>
      </w:r>
    </w:p>
    <w:p>
      <w:r>
        <w:t xml:space="preserve">Use the 2024 SDC PDF as the pacing model: a compact public report with a clear</w:t>
      </w:r>
    </w:p>
    <w:p>
      <w:r>
        <w:t xml:space="preserve">statewide story, a short methodology section, regional and county context, and a</w:t>
      </w:r>
    </w:p>
    <w:p>
      <w:r>
        <w:t xml:space="preserve">county appendix. The 2026 report should keep that approachable structure while</w:t>
      </w:r>
    </w:p>
    <w:p>
      <w:r>
        <w:t xml:space="preserve">adding clearer scenario framing.</w:t>
      </w:r>
    </w:p>
    <w:p>
      <w:pPr>
        <w:pStyle w:val="Heading2"/>
      </w:pPr>
      <w:r>
        <w:t xml:space="preserve">Story Arc</w:t>
      </w:r>
    </w:p>
    <w:p>
      <w:r>
        <w:t xml:space="preserve">The report should answer five reader questions:</w:t>
      </w:r>
    </w:p>
    <w:p>
      <w:pPr>
        <w:ind w:left="360" w:hanging="360"/>
      </w:pPr>
      <w:r>
        <w:t xml:space="preserve">• </w:t>
      </w:r>
      <w:r>
        <w:t xml:space="preserve">1. What do the 2026 projections say about North Dakota's statewide population?</w:t>
      </w:r>
    </w:p>
    <w:p>
      <w:pPr>
        <w:ind w:left="360" w:hanging="360"/>
      </w:pPr>
      <w:r>
        <w:t xml:space="preserve">• </w:t>
      </w:r>
      <w:r>
        <w:t xml:space="preserve">2. How much do the results depend on scenario assumptions?</w:t>
      </w:r>
    </w:p>
    <w:p>
      <w:pPr>
        <w:ind w:left="360" w:hanging="360"/>
      </w:pPr>
      <w:r>
        <w:t xml:space="preserve">• </w:t>
      </w:r>
      <w:r>
        <w:t xml:space="preserve">3. Where is growth concentrated, and where is decline projected?</w:t>
      </w:r>
    </w:p>
    <w:p>
      <w:pPr>
        <w:ind w:left="360" w:hanging="360"/>
      </w:pPr>
      <w:r>
        <w:t xml:space="preserve">• </w:t>
      </w:r>
      <w:r>
        <w:t xml:space="preserve">4. How does the age structure change?</w:t>
      </w:r>
    </w:p>
    <w:p>
      <w:pPr>
        <w:ind w:left="360" w:hanging="360"/>
      </w:pPr>
      <w:r>
        <w:t xml:space="preserve">• </w:t>
      </w:r>
      <w:r>
        <w:t xml:space="preserve">5. Where can users find exact values after reading the PDF?</w:t>
      </w:r>
    </w:p>
    <w:p>
      <w:r>
        <w:t xml:space="preserve">The Baseline (Trend Continuation) scenario can carry the main narrative thread,</w:t>
      </w:r>
    </w:p>
    <w:p>
      <w:r>
        <w:t xml:space="preserve">but it should not stand alone. Restricted Growth (CBO Policy-Adjusted) and High</w:t>
      </w:r>
    </w:p>
    <w:p>
      <w:r>
        <w:t xml:space="preserve">Growth (Elevated Immigration) should stay visible near statewide claims and in</w:t>
      </w:r>
    </w:p>
    <w:p>
      <w:r>
        <w:t xml:space="preserve">the scenario table.</w:t>
      </w:r>
    </w:p>
    <w:p>
      <w:pPr>
        <w:pStyle w:val="Heading2"/>
      </w:pPr>
      <w:r>
        <w:t xml:space="preserve">Page-By-Page Storyboard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3120" w:type="dxa"/>
          </w:tcPr>
          <w:p>
            <w:r>
              <w:rPr>
                <w:b/>
              </w:rPr>
              <w:t xml:space="preserve">Page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Reader takeaway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Likely content and exhibit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This is the official public projection report for 2025-2055.</w:t>
            </w:r>
          </w:p>
        </w:tc>
        <w:tc>
          <w:tcPr>
            <w:tcW w:w="3120" w:type="dxa"/>
          </w:tcPr>
          <w:p>
            <w:r>
              <w:t xml:space="preserve">Cover, horizon, agency attribution, North Dakota map or clean population graphic.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The report is short enough to navigate quickly.</w:t>
            </w:r>
          </w:p>
        </w:tc>
        <w:tc>
          <w:tcPr>
            <w:tcW w:w="3120" w:type="dxa"/>
          </w:tcPr>
          <w:p>
            <w:r>
              <w:t xml:space="preserve">Table of contents matching the 2024 report style.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Statewide growth is possible, but the scenario range matters.</w:t>
            </w:r>
          </w:p>
        </w:tc>
        <w:tc>
          <w:tcPr>
            <w:tcW w:w="3120" w:type="dxa"/>
          </w:tcPr>
          <w:p>
            <w:r>
              <w:t xml:space="preserve">Executive summary with key-number callout: 2025 population, 2055 baseline, and 2055 scenario range.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The projections are conditional planning scenarios.</w:t>
            </w:r>
          </w:p>
        </w:tc>
        <w:tc>
          <w:tcPr>
            <w:tcW w:w="3120" w:type="dxa"/>
          </w:tcPr>
          <w:p>
            <w:r>
              <w:t xml:space="preserve">Plain-language scenario descriptions for Baseline, Restricted Growth, and High Growth.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The statewide path varies meaningfully by scenario.</w:t>
            </w:r>
          </w:p>
        </w:tc>
        <w:tc>
          <w:tcPr>
            <w:tcW w:w="3120" w:type="dxa"/>
          </w:tcPr>
          <w:p>
            <w:r>
              <w:t xml:space="preserve">2025-2055 line chart with all three scenarios; short caveat that this is a projection, not a guaranteed future.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Key years make the scenario range easier to compare.</w:t>
            </w:r>
          </w:p>
        </w:tc>
        <w:tc>
          <w:tcPr>
            <w:tcW w:w="3120" w:type="dxa"/>
          </w:tcPr>
          <w:p>
            <w:r>
              <w:t xml:space="preserve">Scenario table for 2025, 2030, 2035, 2040, 2045, 2050, and 2055.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Regional change is uneven.</w:t>
            </w:r>
          </w:p>
        </w:tc>
        <w:tc>
          <w:tcPr>
            <w:tcW w:w="3120" w:type="dxa"/>
          </w:tcPr>
          <w:p>
            <w:r>
              <w:t xml:space="preserve">Eight-region map plus baseline change bars.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County growth is concentrated in a smaller group of counties.</w:t>
            </w:r>
          </w:p>
        </w:tc>
        <w:tc>
          <w:tcPr>
            <w:tcW w:w="3120" w:type="dxa"/>
          </w:tcPr>
          <w:p>
            <w:r>
              <w:t xml:space="preserve">Top-growth and largest-decline county bars, or a county map with a compact ranked table.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Age groups do not move in the same direction.</w:t>
            </w:r>
          </w:p>
        </w:tc>
        <w:tc>
          <w:tcPr>
            <w:tcW w:w="3120" w:type="dxa"/>
          </w:tcPr>
          <w:p>
            <w:r>
              <w:t xml:space="preserve">Trend chart for under 18, 18-64, 65+, and 85+.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The population remains demographically distinctive.</w:t>
            </w:r>
          </w:p>
        </w:tc>
        <w:tc>
          <w:tcPr>
            <w:tcW w:w="3120" w:type="dxa"/>
          </w:tcPr>
          <w:p>
            <w:r>
              <w:t xml:space="preserve">Compact composition page: sex ratio and broad age composition; race/ethnicity only if final review supports a simple public display.</w:t>
            </w:r>
          </w:p>
        </w:tc>
      </w:tr>
      <w:tr>
        <w:tc>
          <w:tcPr>
            <w:tcW w:w="3120" w:type="dxa"/>
          </w:tcPr>
          <w:p>
            <w:r>
              <w:t xml:space="preserve">11</w:t>
            </w:r>
          </w:p>
        </w:tc>
        <w:tc>
          <w:tcPr>
            <w:tcW w:w="3120" w:type="dxa"/>
          </w:tcPr>
          <w:p>
            <w:r>
              <w:t xml:space="preserve">The method is standard and understandable.</w:t>
            </w:r>
          </w:p>
        </w:tc>
        <w:tc>
          <w:tcPr>
            <w:tcW w:w="3120" w:type="dxa"/>
          </w:tcPr>
          <w:p>
            <w:r>
              <w:t xml:space="preserve">Plain-language cohort-component method box covering base data, fertility, mortality, migration, and scenarios.</w:t>
            </w:r>
          </w:p>
        </w:tc>
      </w:tr>
      <w:tr>
        <w:tc>
          <w:tcPr>
            <w:tcW w:w="3120" w:type="dxa"/>
          </w:tcPr>
          <w:p>
            <w:r>
              <w:t xml:space="preserve">12</w:t>
            </w:r>
          </w:p>
        </w:tc>
        <w:tc>
          <w:tcPr>
            <w:tcW w:w="3120" w:type="dxa"/>
          </w:tcPr>
          <w:p>
            <w:r>
              <w:t xml:space="preserve">Readers need cautions and download guidance before using the numbers.</w:t>
            </w:r>
          </w:p>
        </w:tc>
        <w:tc>
          <w:tcPr>
            <w:tcW w:w="3120" w:type="dxa"/>
          </w:tcPr>
          <w:p>
            <w:r>
              <w:t xml:space="preserve">Migration sensitivity, geographic concentration, city/place exclusion, and public Excel/CSV description.</w:t>
            </w:r>
          </w:p>
        </w:tc>
      </w:tr>
      <w:tr>
        <w:tc>
          <w:tcPr>
            <w:tcW w:w="3120" w:type="dxa"/>
          </w:tcPr>
          <w:p>
            <w:r>
              <w:t xml:space="preserve">13-16</w:t>
            </w:r>
          </w:p>
        </w:tc>
        <w:tc>
          <w:tcPr>
            <w:tcW w:w="3120" w:type="dxa"/>
          </w:tcPr>
          <w:p>
            <w:r>
              <w:t xml:space="preserve">County users can find their county without opening the workbook.</w:t>
            </w:r>
          </w:p>
        </w:tc>
        <w:tc>
          <w:tcPr>
            <w:tcW w:w="3120" w:type="dxa"/>
          </w:tcPr>
          <w:p>
            <w:r>
              <w:t xml:space="preserve">Baseline key-year county appendix; exact annual and scenario values live in downloads.</w:t>
            </w:r>
          </w:p>
        </w:tc>
      </w:tr>
    </w:tbl>
    <w:p>
      <w:pPr>
        <w:pStyle w:val="Heading2"/>
      </w:pPr>
      <w:r>
        <w:t xml:space="preserve">Exhibits To Prepare</w:t>
      </w:r>
    </w:p>
    <w:p>
      <w:pPr>
        <w:ind w:left="360" w:hanging="360"/>
      </w:pPr>
      <w:r>
        <w:t xml:space="preserve">• </w:t>
      </w:r>
      <w:r>
        <w:t xml:space="preserve">State population by year, 2025-2055, all three scenarios.</w:t>
      </w:r>
    </w:p>
    <w:p>
      <w:pPr>
        <w:ind w:left="360" w:hanging="360"/>
      </w:pPr>
      <w:r>
        <w:t xml:space="preserve">• </w:t>
      </w:r>
      <w:r>
        <w:t xml:space="preserve">Scenario key-year table for 2025, 2030, 2035, 2040, 2045, 2050, and 2055.</w:t>
      </w:r>
    </w:p>
    <w:p>
      <w:pPr>
        <w:ind w:left="360" w:hanging="360"/>
      </w:pPr>
      <w:r>
        <w:t xml:space="preserve">• </w:t>
      </w:r>
      <w:r>
        <w:t xml:space="preserve">Region map and baseline regional change chart.</w:t>
      </w:r>
    </w:p>
    <w:p>
      <w:pPr>
        <w:ind w:left="360" w:hanging="360"/>
      </w:pPr>
      <w:r>
        <w:t xml:space="preserve">• </w:t>
      </w:r>
      <w:r>
        <w:t xml:space="preserve">Top-growth and largest-decline county exhibit.</w:t>
      </w:r>
    </w:p>
    <w:p>
      <w:pPr>
        <w:ind w:left="360" w:hanging="360"/>
      </w:pPr>
      <w:r>
        <w:t xml:space="preserve">• </w:t>
      </w:r>
      <w:r>
        <w:t xml:space="preserve">Age-group trend chart for under 18, 18-64, 65+, and 85+.</w:t>
      </w:r>
    </w:p>
    <w:p>
      <w:pPr>
        <w:ind w:left="360" w:hanging="360"/>
      </w:pPr>
      <w:r>
        <w:t xml:space="preserve">• </w:t>
      </w:r>
      <w:r>
        <w:t xml:space="preserve">County appendix table with selected baseline years.</w:t>
      </w:r>
    </w:p>
    <w:p>
      <w:r>
        <w:t xml:space="preserve">If space allows, add a small callout showing the share of statewide growth</w:t>
      </w:r>
    </w:p>
    <w:p>
      <w:r>
        <w:t xml:space="preserve">concentrated in the largest growth counties. Avoid full annual county tables,</w:t>
      </w:r>
    </w:p>
    <w:p>
      <w:r>
        <w:t xml:space="preserve">city/place tables, and detailed age-sex tables in the PDF.</w:t>
      </w:r>
    </w:p>
    <w:p>
      <w:pPr>
        <w:pStyle w:val="Heading2"/>
      </w:pPr>
      <w:r>
        <w:t xml:space="preserve">Relationship To The 2024 PDF</w:t>
      </w:r>
    </w:p>
    <w:p>
      <w:r>
        <w:t xml:space="preserve">Keep:</w:t>
      </w:r>
    </w:p>
    <w:p>
      <w:pPr>
        <w:ind w:left="360" w:hanging="360"/>
      </w:pPr>
      <w:r>
        <w:t xml:space="preserve">• </w:t>
      </w:r>
      <w:r>
        <w:t xml:space="preserve">Sixteen-page public-report scale.</w:t>
      </w:r>
    </w:p>
    <w:p>
      <w:pPr>
        <w:ind w:left="360" w:hanging="360"/>
      </w:pPr>
      <w:r>
        <w:t xml:space="preserve">• </w:t>
      </w:r>
      <w:r>
        <w:t xml:space="preserve">Cover, table of contents, executive summary, statewide chart, methodology,</w:t>
      </w:r>
    </w:p>
    <w:p>
      <w:r>
        <w:t xml:space="preserve">regional section, demographic section, county appendix, and contact page.</w:t>
      </w:r>
    </w:p>
    <w:p>
      <w:pPr>
        <w:ind w:left="360" w:hanging="360"/>
      </w:pPr>
      <w:r>
        <w:t xml:space="preserve">• </w:t>
      </w:r>
      <w:r>
        <w:t xml:space="preserve">Plain-language interpretation beside charts and tables.</w:t>
      </w:r>
    </w:p>
    <w:p>
      <w:r>
        <w:t xml:space="preserve">Update:</w:t>
      </w:r>
    </w:p>
    <w:p>
      <w:pPr>
        <w:ind w:left="360" w:hanging="360"/>
      </w:pPr>
      <w:r>
        <w:t xml:space="preserve">• </w:t>
      </w:r>
      <w:r>
        <w:t xml:space="preserve">Replace single-path language with scenario language.</w:t>
      </w:r>
    </w:p>
    <w:p>
      <w:pPr>
        <w:ind w:left="360" w:hanging="360"/>
      </w:pPr>
      <w:r>
        <w:t xml:space="preserve">• </w:t>
      </w:r>
      <w:r>
        <w:t xml:space="preserve">Extend the horizon to 2025-2055.</w:t>
      </w:r>
    </w:p>
    <w:p>
      <w:pPr>
        <w:ind w:left="360" w:hanging="360"/>
      </w:pPr>
      <w:r>
        <w:t xml:space="preserve">• </w:t>
      </w:r>
      <w:r>
        <w:t xml:space="preserve">Use current cohort-component method language.</w:t>
      </w:r>
    </w:p>
    <w:p>
      <w:pPr>
        <w:ind w:left="360" w:hanging="360"/>
      </w:pPr>
      <w:r>
        <w:t xml:space="preserve">• </w:t>
      </w:r>
      <w:r>
        <w:t xml:space="preserve">Add clear public download language for one Excel workbook and one CSV.</w:t>
      </w:r>
    </w:p>
    <w:p>
      <w:r>
        <w:t xml:space="preserve">Move out of the PDF:</w:t>
      </w:r>
    </w:p>
    <w:p>
      <w:pPr>
        <w:ind w:left="360" w:hanging="360"/>
      </w:pPr>
      <w:r>
        <w:t xml:space="preserve">• </w:t>
      </w:r>
      <w:r>
        <w:t xml:space="preserve">Detailed age-sex tables.</w:t>
      </w:r>
    </w:p>
    <w:p>
      <w:pPr>
        <w:ind w:left="360" w:hanging="360"/>
      </w:pPr>
      <w:r>
        <w:t xml:space="preserve">• </w:t>
      </w:r>
      <w:r>
        <w:t xml:space="preserve">Technical package inventories.</w:t>
      </w:r>
    </w:p>
    <w:p>
      <w:pPr>
        <w:ind w:left="360" w:hanging="360"/>
      </w:pPr>
      <w:r>
        <w:t xml:space="preserve">• </w:t>
      </w:r>
      <w:r>
        <w:t xml:space="preserve">City/place projections.</w:t>
      </w:r>
    </w:p>
    <w:p>
      <w:pPr>
        <w:ind w:left="360" w:hanging="360"/>
      </w:pPr>
      <w:r>
        <w:t xml:space="preserve">• </w:t>
      </w:r>
      <w:r>
        <w:t xml:space="preserve">Internal QA or production notes.</w:t>
      </w:r>
    </w:p>
    <w:p>
      <w:r>
        <w:br w:type="page"/>
      </w:r>
    </w:p>
    <w:p>
      <w:pPr>
        <w:pStyle w:val="Heading1"/>
      </w:pPr>
      <w:r>
        <w:t xml:space="preserve">How To Use The 2024 SDC PDF</w:t>
      </w:r>
    </w:p>
    <w:p>
      <w:r>
        <w:t xml:space="preserve">Reference file: </w:t>
      </w:r>
      <w:r>
        <w:rPr>
          <w:rFonts w:ascii="Courier New" w:hAnsi="Courier New"/>
          <w:shd w:fill="F2F2F2"/>
        </w:rPr>
        <w:t xml:space="preserve">data/raw/ND Population Projections.pdf</w:t>
      </w:r>
    </w:p>
    <w:p>
      <w:r>
        <w:t xml:space="preserve">The 2024 State Data Center PDF is the best starting point for the 2026 public</w:t>
      </w:r>
    </w:p>
    <w:p>
      <w:r>
        <w:t xml:space="preserve">release because it has the right scale and public orientation. It is a compact</w:t>
      </w:r>
    </w:p>
    <w:p>
      <w:r>
        <w:t xml:space="preserve">16-page report for the state, regions, and counties, with enough narrative to</w:t>
      </w:r>
    </w:p>
    <w:p>
      <w:r>
        <w:t xml:space="preserve">stand alone and enough tables to be useful.</w:t>
      </w:r>
    </w:p>
    <w:p>
      <w:r>
        <w:t xml:space="preserve">Use it as a design and pacing reference. Do not use it as a language template.</w:t>
      </w:r>
    </w:p>
    <w:p>
      <w:r>
        <w:t xml:space="preserve">The 2026 release has a different model, a longer horizon, and a stronger</w:t>
      </w:r>
    </w:p>
    <w:p>
      <w:r>
        <w:t xml:space="preserve">scenario frame.</w:t>
      </w:r>
    </w:p>
    <w:p>
      <w:pPr>
        <w:pStyle w:val="Heading2"/>
      </w:pPr>
      <w:r>
        <w:t xml:space="preserve">What To Keep</w:t>
      </w:r>
    </w:p>
    <w:p>
      <w:r>
        <w:t xml:space="preserve">Keep the basic public-report shape:</w:t>
      </w:r>
    </w:p>
    <w:p>
      <w:pPr>
        <w:ind w:left="360" w:hanging="360"/>
      </w:pPr>
      <w:r>
        <w:t xml:space="preserve">• </w:t>
      </w:r>
      <w:r>
        <w:t xml:space="preserve">Cover and agency attribution.</w:t>
      </w:r>
    </w:p>
    <w:p>
      <w:pPr>
        <w:ind w:left="360" w:hanging="360"/>
      </w:pPr>
      <w:r>
        <w:t xml:space="preserve">• </w:t>
      </w:r>
      <w:r>
        <w:t xml:space="preserve">Table of contents.</w:t>
      </w:r>
    </w:p>
    <w:p>
      <w:pPr>
        <w:ind w:left="360" w:hanging="360"/>
      </w:pPr>
      <w:r>
        <w:t xml:space="preserve">• </w:t>
      </w:r>
      <w:r>
        <w:t xml:space="preserve">Executive summary.</w:t>
      </w:r>
    </w:p>
    <w:p>
      <w:pPr>
        <w:ind w:left="360" w:hanging="360"/>
      </w:pPr>
      <w:r>
        <w:t xml:space="preserve">• </w:t>
      </w:r>
      <w:r>
        <w:t xml:space="preserve">Statewide population chart.</w:t>
      </w:r>
    </w:p>
    <w:p>
      <w:pPr>
        <w:ind w:left="360" w:hanging="360"/>
      </w:pPr>
      <w:r>
        <w:t xml:space="preserve">• </w:t>
      </w:r>
      <w:r>
        <w:t xml:space="preserve">Short methodology section.</w:t>
      </w:r>
    </w:p>
    <w:p>
      <w:pPr>
        <w:ind w:left="360" w:hanging="360"/>
      </w:pPr>
      <w:r>
        <w:t xml:space="preserve">• </w:t>
      </w:r>
      <w:r>
        <w:t xml:space="preserve">Regional change section.</w:t>
      </w:r>
    </w:p>
    <w:p>
      <w:pPr>
        <w:ind w:left="360" w:hanging="360"/>
      </w:pPr>
      <w:r>
        <w:t xml:space="preserve">• </w:t>
      </w:r>
      <w:r>
        <w:t xml:space="preserve">Demographic change section.</w:t>
      </w:r>
    </w:p>
    <w:p>
      <w:pPr>
        <w:ind w:left="360" w:hanging="360"/>
      </w:pPr>
      <w:r>
        <w:t xml:space="preserve">• </w:t>
      </w:r>
      <w:r>
        <w:t xml:space="preserve">State and region summary.</w:t>
      </w:r>
    </w:p>
    <w:p>
      <w:pPr>
        <w:ind w:left="360" w:hanging="360"/>
      </w:pPr>
      <w:r>
        <w:t xml:space="preserve">• </w:t>
      </w:r>
      <w:r>
        <w:t xml:space="preserve">County appendix.</w:t>
      </w:r>
    </w:p>
    <w:p>
      <w:pPr>
        <w:ind w:left="360" w:hanging="360"/>
      </w:pPr>
      <w:r>
        <w:t xml:space="preserve">• </w:t>
      </w:r>
      <w:r>
        <w:t xml:space="preserve">Contact and download information.</w:t>
      </w:r>
    </w:p>
    <w:p>
      <w:r>
        <w:t xml:space="preserve">The prior report works because it does not ask public readers to navigate a</w:t>
      </w:r>
    </w:p>
    <w:p>
      <w:r>
        <w:t xml:space="preserve">technical package. The 2026 PDF should do the same: tell the story in the PDF,</w:t>
      </w:r>
    </w:p>
    <w:p>
      <w:r>
        <w:t xml:space="preserve">then point users to the workbook and CSV for exact values.</w:t>
      </w:r>
    </w:p>
    <w:p>
      <w:pPr>
        <w:pStyle w:val="Heading2"/>
      </w:pPr>
      <w:r>
        <w:t xml:space="preserve">What To Update For 2026</w:t>
      </w:r>
    </w:p>
    <w:p>
      <w:r>
        <w:t xml:space="preserve">The 2026 report should use scenario language throughout. Baseline (Trend</w:t>
      </w:r>
    </w:p>
    <w:p>
      <w:r>
        <w:t xml:space="preserve">Continuation) can be the main narrative path, but Restricted Growth (CBO</w:t>
      </w:r>
    </w:p>
    <w:p>
      <w:r>
        <w:t xml:space="preserve">Policy-Adjusted) and High Growth (Elevated Immigration) should be visible near</w:t>
      </w:r>
    </w:p>
    <w:p>
      <w:r>
        <w:t xml:space="preserve">statewide claims and in the scenario comparison table.</w:t>
      </w:r>
    </w:p>
    <w:p>
      <w:r>
        <w:t xml:space="preserve">The horizon changes to 2025-2055. The report should print key years for</w:t>
      </w:r>
    </w:p>
    <w:p>
      <w:r>
        <w:t xml:space="preserve">readability and leave exact annual values to the public downloads.</w:t>
      </w:r>
    </w:p>
    <w:p>
      <w:r>
        <w:t xml:space="preserve">The methodology page should be plain-language and current. It should describe</w:t>
      </w:r>
    </w:p>
    <w:p>
      <w:r>
        <w:t xml:space="preserve">the cohort-component method, Census Population Estimates Program inputs,</w:t>
      </w:r>
    </w:p>
    <w:p>
      <w:r>
        <w:t xml:space="preserve">fertility, mortality, migration, and scenario construction. It should not read</w:t>
      </w:r>
    </w:p>
    <w:p>
      <w:r>
        <w:t xml:space="preserve">like a technical appendix.</w:t>
      </w:r>
    </w:p>
    <w:p>
      <w:r>
        <w:t xml:space="preserve">The download language should be simpler than the internal export structure. For</w:t>
      </w:r>
    </w:p>
    <w:p>
      <w:r>
        <w:t xml:space="preserve">public release, users should see one consolidated Excel workbook and one</w:t>
      </w:r>
    </w:p>
    <w:p>
      <w:r>
        <w:t xml:space="preserve">consolidated CSV covering the state, regions, and counties.</w:t>
      </w:r>
    </w:p>
    <w:p>
      <w:pPr>
        <w:pStyle w:val="Heading2"/>
      </w:pPr>
      <w:r>
        <w:t xml:space="preserve">What To Avoid</w:t>
      </w:r>
    </w:p>
    <w:p>
      <w:r>
        <w:t xml:space="preserve">Avoid anything that makes the public PDF feel like a production worksheet:</w:t>
      </w:r>
    </w:p>
    <w:p>
      <w:pPr>
        <w:ind w:left="360" w:hanging="360"/>
      </w:pPr>
      <w:r>
        <w:t xml:space="preserve">• </w:t>
      </w:r>
      <w:r>
        <w:t xml:space="preserve">Internal file inventories.</w:t>
      </w:r>
    </w:p>
    <w:p>
      <w:pPr>
        <w:ind w:left="360" w:hanging="360"/>
      </w:pPr>
      <w:r>
        <w:t xml:space="preserve">• </w:t>
      </w:r>
      <w:r>
        <w:t xml:space="preserve">Internal QA controls.</w:t>
      </w:r>
    </w:p>
    <w:p>
      <w:pPr>
        <w:ind w:left="360" w:hanging="360"/>
      </w:pPr>
      <w:r>
        <w:t xml:space="preserve">• </w:t>
      </w:r>
      <w:r>
        <w:t xml:space="preserve">Methodology decision logs.</w:t>
      </w:r>
    </w:p>
    <w:p>
      <w:pPr>
        <w:ind w:left="360" w:hanging="360"/>
      </w:pPr>
      <w:r>
        <w:t xml:space="preserve">• </w:t>
      </w:r>
      <w:r>
        <w:t xml:space="preserve">Full annual county tables.</w:t>
      </w:r>
    </w:p>
    <w:p>
      <w:pPr>
        <w:ind w:left="360" w:hanging="360"/>
      </w:pPr>
      <w:r>
        <w:t xml:space="preserve">• </w:t>
      </w:r>
      <w:r>
        <w:t xml:space="preserve">Full county age-sex tables.</w:t>
      </w:r>
    </w:p>
    <w:p>
      <w:pPr>
        <w:ind w:left="360" w:hanging="360"/>
      </w:pPr>
      <w:r>
        <w:t xml:space="preserve">• </w:t>
      </w:r>
      <w:r>
        <w:t xml:space="preserve">City/place projections.</w:t>
      </w:r>
    </w:p>
    <w:p>
      <w:r>
        <w:t xml:space="preserve">The PDF should give a complete public summary, not every available cut of the</w:t>
      </w:r>
    </w:p>
    <w:p>
      <w:r>
        <w:t xml:space="preserve">data.</w:t>
      </w:r>
    </w:p>
    <w:p>
      <w:pPr>
        <w:pStyle w:val="Heading2"/>
      </w:pPr>
      <w:r>
        <w:t xml:space="preserve">Practical Design Notes</w:t>
      </w:r>
    </w:p>
    <w:p>
      <w:r>
        <w:t xml:space="preserve">The 2024 report's strongest design lesson is that each section has a clear job.</w:t>
      </w:r>
    </w:p>
    <w:p>
      <w:r>
        <w:t xml:space="preserve">The statewide page establishes the main trajectory. The caution text explains</w:t>
      </w:r>
    </w:p>
    <w:p>
      <w:r>
        <w:t xml:space="preserve">why projections should be read carefully. The methodology page gives enough</w:t>
      </w:r>
    </w:p>
    <w:p>
      <w:r>
        <w:t xml:space="preserve">trust without overwhelming the reader. The regional and county sections make the</w:t>
      </w:r>
    </w:p>
    <w:p>
      <w:r>
        <w:t xml:space="preserve">statewide number local.</w:t>
      </w:r>
    </w:p>
    <w:p>
      <w:r>
        <w:t xml:space="preserve">For 2026, keep that rhythm but make the caveats more integrated. Place scenario</w:t>
      </w:r>
    </w:p>
    <w:p>
      <w:r>
        <w:t xml:space="preserve">and migration caveats near the first statewide chart, not only on the method</w:t>
      </w:r>
    </w:p>
    <w:p>
      <w:r>
        <w:t xml:space="preserve">page. Keep the county appendix readable by using selected years in the PDF and</w:t>
      </w:r>
    </w:p>
    <w:p>
      <w:r>
        <w:t xml:space="preserve">sending users to the downloads for annual values.</w:t>
      </w:r>
    </w:p>
    <w:p>
      <w:r>
        <w:t xml:space="preserve">Marketing will receive the 2024 PDF separately as the visual reference.</w:t>
      </w:r>
    </w:p>
    <w:p>
      <w:r>
        <w:br w:type="page"/>
      </w:r>
    </w:p>
    <w:p>
      <w:pPr>
        <w:pStyle w:val="Heading1"/>
      </w:pPr>
      <w:r>
        <w:t xml:space="preserve">Draft Numbers For Layout</w:t>
      </w:r>
    </w:p>
    <w:p>
      <w:r>
        <w:t xml:space="preserve">These are rounded draft values from the March 2026 exports. They are for copy</w:t>
      </w:r>
    </w:p>
    <w:p>
      <w:r>
        <w:t xml:space="preserve">development, chart sizing, and table layout only.</w:t>
      </w:r>
    </w:p>
    <w:p>
      <w:r>
        <w:t xml:space="preserve">Refresh every number after CF-001 is resolved and final production outputs are</w:t>
      </w:r>
    </w:p>
    <w:p>
      <w:r>
        <w:t xml:space="preserve">approved.</w:t>
      </w:r>
    </w:p>
    <w:p>
      <w:pPr>
        <w:pStyle w:val="Heading2"/>
      </w:pPr>
      <w:r>
        <w:t xml:space="preserve">Statewide Scenario Range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1337" w:type="dxa"/>
          </w:tcPr>
          <w:p>
            <w:r>
              <w:rPr>
                <w:b/>
              </w:rPr>
              <w:t xml:space="preserve">Scenario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2030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2040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2025-2055 change</w:t>
            </w:r>
          </w:p>
        </w:tc>
      </w:tr>
      <w:tr>
        <w:tc>
          <w:tcPr>
            <w:tcW w:w="1337" w:type="dxa"/>
          </w:tcPr>
          <w:p>
            <w:r>
              <w:t xml:space="preserve">Restricted Growth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784,000</w:t>
            </w:r>
          </w:p>
        </w:tc>
        <w:tc>
          <w:tcPr>
            <w:tcW w:w="1337" w:type="dxa"/>
          </w:tcPr>
          <w:p>
            <w:r>
              <w:t xml:space="preserve">812,000</w:t>
            </w:r>
          </w:p>
        </w:tc>
        <w:tc>
          <w:tcPr>
            <w:tcW w:w="1337" w:type="dxa"/>
          </w:tcPr>
          <w:p>
            <w:r>
              <w:t xml:space="preserve">827,000</w:t>
            </w:r>
          </w:p>
        </w:tc>
        <w:tc>
          <w:tcPr>
            <w:tcW w:w="1337" w:type="dxa"/>
          </w:tcPr>
          <w:p>
            <w:r>
              <w:t xml:space="preserve">828,000</w:t>
            </w:r>
          </w:p>
        </w:tc>
        <w:tc>
          <w:tcPr>
            <w:tcW w:w="1337" w:type="dxa"/>
          </w:tcPr>
          <w:p>
            <w:r>
              <w:t xml:space="preserve">29,000</w:t>
            </w:r>
          </w:p>
        </w:tc>
      </w:tr>
      <w:tr>
        <w:tc>
          <w:tcPr>
            <w:tcW w:w="1337" w:type="dxa"/>
          </w:tcPr>
          <w:p>
            <w:r>
              <w:t xml:space="preserve">Baseline (Trend Continuation)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810,000</w:t>
            </w:r>
          </w:p>
        </w:tc>
        <w:tc>
          <w:tcPr>
            <w:tcW w:w="1337" w:type="dxa"/>
          </w:tcPr>
          <w:p>
            <w:r>
              <w:t xml:space="preserve">848,000</w:t>
            </w:r>
          </w:p>
        </w:tc>
        <w:tc>
          <w:tcPr>
            <w:tcW w:w="1337" w:type="dxa"/>
          </w:tcPr>
          <w:p>
            <w:r>
              <w:t xml:space="preserve">874,000</w:t>
            </w:r>
          </w:p>
        </w:tc>
        <w:tc>
          <w:tcPr>
            <w:tcW w:w="1337" w:type="dxa"/>
          </w:tcPr>
          <w:p>
            <w:r>
              <w:t xml:space="preserve">882,000</w:t>
            </w:r>
          </w:p>
        </w:tc>
        <w:tc>
          <w:tcPr>
            <w:tcW w:w="1337" w:type="dxa"/>
          </w:tcPr>
          <w:p>
            <w:r>
              <w:t xml:space="preserve">83,000</w:t>
            </w:r>
          </w:p>
        </w:tc>
      </w:tr>
      <w:tr>
        <w:tc>
          <w:tcPr>
            <w:tcW w:w="1337" w:type="dxa"/>
          </w:tcPr>
          <w:p>
            <w:r>
              <w:t xml:space="preserve">High Growth</w:t>
            </w:r>
          </w:p>
        </w:tc>
        <w:tc>
          <w:tcPr>
            <w:tcW w:w="1337" w:type="dxa"/>
          </w:tcPr>
          <w:p>
            <w:r>
              <w:t xml:space="preserve">799,000</w:t>
            </w:r>
          </w:p>
        </w:tc>
        <w:tc>
          <w:tcPr>
            <w:tcW w:w="1337" w:type="dxa"/>
          </w:tcPr>
          <w:p>
            <w:r>
              <w:t xml:space="preserve">847,000</w:t>
            </w:r>
          </w:p>
        </w:tc>
        <w:tc>
          <w:tcPr>
            <w:tcW w:w="1337" w:type="dxa"/>
          </w:tcPr>
          <w:p>
            <w:r>
              <w:t xml:space="preserve">941,000</w:t>
            </w:r>
          </w:p>
        </w:tc>
        <w:tc>
          <w:tcPr>
            <w:tcW w:w="1337" w:type="dxa"/>
          </w:tcPr>
          <w:p>
            <w:r>
              <w:t xml:space="preserve">1,035,000</w:t>
            </w:r>
          </w:p>
        </w:tc>
        <w:tc>
          <w:tcPr>
            <w:tcW w:w="1337" w:type="dxa"/>
          </w:tcPr>
          <w:p>
            <w:r>
              <w:t xml:space="preserve">1,078,000</w:t>
            </w:r>
          </w:p>
        </w:tc>
        <w:tc>
          <w:tcPr>
            <w:tcW w:w="1337" w:type="dxa"/>
          </w:tcPr>
          <w:p>
            <w:r>
              <w:t xml:space="preserve">279,000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baseline reaches about 882,000 residents by 2055.</w:t>
      </w:r>
    </w:p>
    <w:p>
      <w:pPr>
        <w:ind w:left="360" w:hanging="360"/>
      </w:pPr>
      <w:r>
        <w:t xml:space="preserve">• </w:t>
      </w:r>
      <w:r>
        <w:t xml:space="preserve">The 2055 scenario range runs from about 828,000 to 1.08 million residents.</w:t>
      </w:r>
    </w:p>
    <w:p>
      <w:pPr>
        <w:ind w:left="360" w:hanging="360"/>
      </w:pPr>
      <w:r>
        <w:t xml:space="preserve">• </w:t>
      </w:r>
      <w:r>
        <w:t xml:space="preserve">The spread is mainly a migration story, so scenario assumptions need to</w:t>
      </w:r>
    </w:p>
    <w:p>
      <w:r>
        <w:t xml:space="preserve">appear early in the PDF.</w:t>
      </w:r>
    </w:p>
    <w:p>
      <w:pPr>
        <w:pStyle w:val="Heading2"/>
      </w:pPr>
      <w:r>
        <w:t xml:space="preserve">Baseline Regional Change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Region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Williston</w:t>
            </w:r>
          </w:p>
        </w:tc>
        <w:tc>
          <w:tcPr>
            <w:tcW w:w="2340" w:type="dxa"/>
          </w:tcPr>
          <w:p>
            <w:r>
              <w:t xml:space="preserve">59,000</w:t>
            </w:r>
          </w:p>
        </w:tc>
        <w:tc>
          <w:tcPr>
            <w:tcW w:w="2340" w:type="dxa"/>
          </w:tcPr>
          <w:p>
            <w:r>
              <w:t xml:space="preserve">95,000</w:t>
            </w:r>
          </w:p>
        </w:tc>
        <w:tc>
          <w:tcPr>
            <w:tcW w:w="2340" w:type="dxa"/>
          </w:tcPr>
          <w:p>
            <w:r>
              <w:t xml:space="preserve">36,000</w:t>
            </w:r>
          </w:p>
        </w:tc>
      </w:tr>
      <w:tr>
        <w:tc>
          <w:tcPr>
            <w:tcW w:w="2340" w:type="dxa"/>
          </w:tcPr>
          <w:p>
            <w:r>
              <w:t xml:space="preserve">Minot</w:t>
            </w:r>
          </w:p>
        </w:tc>
        <w:tc>
          <w:tcPr>
            <w:tcW w:w="2340" w:type="dxa"/>
          </w:tcPr>
          <w:p>
            <w:r>
              <w:t xml:space="preserve">97,000</w:t>
            </w:r>
          </w:p>
        </w:tc>
        <w:tc>
          <w:tcPr>
            <w:tcW w:w="2340" w:type="dxa"/>
          </w:tcPr>
          <w:p>
            <w:r>
              <w:t xml:space="preserve">85,000</w:t>
            </w:r>
          </w:p>
        </w:tc>
        <w:tc>
          <w:tcPr>
            <w:tcW w:w="2340" w:type="dxa"/>
          </w:tcPr>
          <w:p>
            <w:r>
              <w:t xml:space="preserve">-12,000</w:t>
            </w:r>
          </w:p>
        </w:tc>
      </w:tr>
      <w:tr>
        <w:tc>
          <w:tcPr>
            <w:tcW w:w="2340" w:type="dxa"/>
          </w:tcPr>
          <w:p>
            <w:r>
              <w:t xml:space="preserve">Devils Lake</w:t>
            </w:r>
          </w:p>
        </w:tc>
        <w:tc>
          <w:tcPr>
            <w:tcW w:w="2340" w:type="dxa"/>
          </w:tcPr>
          <w:p>
            <w:r>
              <w:t xml:space="preserve">37,000</w:t>
            </w:r>
          </w:p>
        </w:tc>
        <w:tc>
          <w:tcPr>
            <w:tcW w:w="2340" w:type="dxa"/>
          </w:tcPr>
          <w:p>
            <w:r>
              <w:t xml:space="preserve">33,000</w:t>
            </w:r>
          </w:p>
        </w:tc>
        <w:tc>
          <w:tcPr>
            <w:tcW w:w="2340" w:type="dxa"/>
          </w:tcPr>
          <w:p>
            <w:r>
              <w:t xml:space="preserve">-4,000</w:t>
            </w:r>
          </w:p>
        </w:tc>
      </w:tr>
      <w:tr>
        <w:tc>
          <w:tcPr>
            <w:tcW w:w="2340" w:type="dxa"/>
          </w:tcPr>
          <w:p>
            <w:r>
              <w:t xml:space="preserve">Grand Forks</w:t>
            </w:r>
          </w:p>
        </w:tc>
        <w:tc>
          <w:tcPr>
            <w:tcW w:w="2340" w:type="dxa"/>
          </w:tcPr>
          <w:p>
            <w:r>
              <w:t xml:space="preserve">94,000</w:t>
            </w:r>
          </w:p>
        </w:tc>
        <w:tc>
          <w:tcPr>
            <w:tcW w:w="2340" w:type="dxa"/>
          </w:tcPr>
          <w:p>
            <w:r>
              <w:t xml:space="preserve">81,000</w:t>
            </w:r>
          </w:p>
        </w:tc>
        <w:tc>
          <w:tcPr>
            <w:tcW w:w="2340" w:type="dxa"/>
          </w:tcPr>
          <w:p>
            <w:r>
              <w:t xml:space="preserve">-13,000</w:t>
            </w:r>
          </w:p>
        </w:tc>
      </w:tr>
      <w:tr>
        <w:tc>
          <w:tcPr>
            <w:tcW w:w="2340" w:type="dxa"/>
          </w:tcPr>
          <w:p>
            <w:r>
              <w:t xml:space="preserve">Fargo</w:t>
            </w:r>
          </w:p>
        </w:tc>
        <w:tc>
          <w:tcPr>
            <w:tcW w:w="2340" w:type="dxa"/>
          </w:tcPr>
          <w:p>
            <w:r>
              <w:t xml:space="preserve">238,000</w:t>
            </w:r>
          </w:p>
        </w:tc>
        <w:tc>
          <w:tcPr>
            <w:tcW w:w="2340" w:type="dxa"/>
          </w:tcPr>
          <w:p>
            <w:r>
              <w:t xml:space="preserve">284,000</w:t>
            </w:r>
          </w:p>
        </w:tc>
        <w:tc>
          <w:tcPr>
            <w:tcW w:w="2340" w:type="dxa"/>
          </w:tcPr>
          <w:p>
            <w:r>
              <w:t xml:space="preserve">47,000</w:t>
            </w:r>
          </w:p>
        </w:tc>
      </w:tr>
      <w:tr>
        <w:tc>
          <w:tcPr>
            <w:tcW w:w="2340" w:type="dxa"/>
          </w:tcPr>
          <w:p>
            <w:r>
              <w:t xml:space="preserve">Jamestown</w:t>
            </w:r>
          </w:p>
        </w:tc>
        <w:tc>
          <w:tcPr>
            <w:tcW w:w="2340" w:type="dxa"/>
          </w:tcPr>
          <w:p>
            <w:r>
              <w:t xml:space="preserve">55,000</w:t>
            </w:r>
          </w:p>
        </w:tc>
        <w:tc>
          <w:tcPr>
            <w:tcW w:w="2340" w:type="dxa"/>
          </w:tcPr>
          <w:p>
            <w:r>
              <w:t xml:space="preserve">49,000</w:t>
            </w:r>
          </w:p>
        </w:tc>
        <w:tc>
          <w:tcPr>
            <w:tcW w:w="2340" w:type="dxa"/>
          </w:tcPr>
          <w:p>
            <w:r>
              <w:t xml:space="preserve">-6,000</w:t>
            </w:r>
          </w:p>
        </w:tc>
      </w:tr>
      <w:tr>
        <w:tc>
          <w:tcPr>
            <w:tcW w:w="2340" w:type="dxa"/>
          </w:tcPr>
          <w:p>
            <w:r>
              <w:t xml:space="preserve">Bismarck</w:t>
            </w:r>
          </w:p>
        </w:tc>
        <w:tc>
          <w:tcPr>
            <w:tcW w:w="2340" w:type="dxa"/>
          </w:tcPr>
          <w:p>
            <w:r>
              <w:t xml:space="preserve">170,000</w:t>
            </w:r>
          </w:p>
        </w:tc>
        <w:tc>
          <w:tcPr>
            <w:tcW w:w="2340" w:type="dxa"/>
          </w:tcPr>
          <w:p>
            <w:r>
              <w:t xml:space="preserve">198,000</w:t>
            </w:r>
          </w:p>
        </w:tc>
        <w:tc>
          <w:tcPr>
            <w:tcW w:w="2340" w:type="dxa"/>
          </w:tcPr>
          <w:p>
            <w:r>
              <w:t xml:space="preserve">28,000</w:t>
            </w:r>
          </w:p>
        </w:tc>
      </w:tr>
      <w:tr>
        <w:tc>
          <w:tcPr>
            <w:tcW w:w="2340" w:type="dxa"/>
          </w:tcPr>
          <w:p>
            <w:r>
              <w:t xml:space="preserve">Dickinson</w:t>
            </w:r>
          </w:p>
        </w:tc>
        <w:tc>
          <w:tcPr>
            <w:tcW w:w="2340" w:type="dxa"/>
          </w:tcPr>
          <w:p>
            <w:r>
              <w:t xml:space="preserve">50,000</w:t>
            </w:r>
          </w:p>
        </w:tc>
        <w:tc>
          <w:tcPr>
            <w:tcW w:w="2340" w:type="dxa"/>
          </w:tcPr>
          <w:p>
            <w:r>
              <w:t xml:space="preserve">57,000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largest baseline regional gains are in Fargo, Williston, and Bismarck.</w:t>
      </w:r>
    </w:p>
    <w:p>
      <w:pPr>
        <w:ind w:left="360" w:hanging="360"/>
      </w:pPr>
      <w:r>
        <w:t xml:space="preserve">• </w:t>
      </w:r>
      <w:r>
        <w:t xml:space="preserve">Grand Forks, Minot, Jamestown, and Devils Lake decline in the draft baseline.</w:t>
      </w:r>
    </w:p>
    <w:p>
      <w:pPr>
        <w:ind w:left="360" w:hanging="360"/>
      </w:pPr>
      <w:r>
        <w:t xml:space="preserve">• </w:t>
      </w:r>
      <w:r>
        <w:t xml:space="preserve">Dickinson grows more modestly.</w:t>
      </w:r>
    </w:p>
    <w:p>
      <w:pPr>
        <w:pStyle w:val="Heading2"/>
      </w:pPr>
      <w:r>
        <w:t xml:space="preserve">Baseline County Growth Highlights</w:t>
      </w:r>
    </w:p>
    <w:p>
      <w:r>
        <w:t xml:space="preserve">Largest absolute increases: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County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Cass County</w:t>
            </w:r>
          </w:p>
        </w:tc>
        <w:tc>
          <w:tcPr>
            <w:tcW w:w="2340" w:type="dxa"/>
          </w:tcPr>
          <w:p>
            <w:r>
              <w:t xml:space="preserve">202,000</w:t>
            </w:r>
          </w:p>
        </w:tc>
        <w:tc>
          <w:tcPr>
            <w:tcW w:w="2340" w:type="dxa"/>
          </w:tcPr>
          <w:p>
            <w:r>
              <w:t xml:space="preserve">253,000</w:t>
            </w:r>
          </w:p>
        </w:tc>
        <w:tc>
          <w:tcPr>
            <w:tcW w:w="2340" w:type="dxa"/>
          </w:tcPr>
          <w:p>
            <w:r>
              <w:t xml:space="preserve">51,000</w:t>
            </w:r>
          </w:p>
        </w:tc>
      </w:tr>
      <w:tr>
        <w:tc>
          <w:tcPr>
            <w:tcW w:w="2340" w:type="dxa"/>
          </w:tcPr>
          <w:p>
            <w:r>
              <w:t xml:space="preserve">Williams County</w:t>
            </w:r>
          </w:p>
        </w:tc>
        <w:tc>
          <w:tcPr>
            <w:tcW w:w="2340" w:type="dxa"/>
          </w:tcPr>
          <w:p>
            <w:r>
              <w:t xml:space="preserve">42,000</w:t>
            </w:r>
          </w:p>
        </w:tc>
        <w:tc>
          <w:tcPr>
            <w:tcW w:w="2340" w:type="dxa"/>
          </w:tcPr>
          <w:p>
            <w:r>
              <w:t xml:space="preserve">65,000</w:t>
            </w:r>
          </w:p>
        </w:tc>
        <w:tc>
          <w:tcPr>
            <w:tcW w:w="2340" w:type="dxa"/>
          </w:tcPr>
          <w:p>
            <w:r>
              <w:t xml:space="preserve">24,000</w:t>
            </w:r>
          </w:p>
        </w:tc>
      </w:tr>
      <w:tr>
        <w:tc>
          <w:tcPr>
            <w:tcW w:w="2340" w:type="dxa"/>
          </w:tcPr>
          <w:p>
            <w:r>
              <w:t xml:space="preserve">Burleigh County</w:t>
            </w:r>
          </w:p>
        </w:tc>
        <w:tc>
          <w:tcPr>
            <w:tcW w:w="2340" w:type="dxa"/>
          </w:tcPr>
          <w:p>
            <w:r>
              <w:t xml:space="preserve">103,000</w:t>
            </w:r>
          </w:p>
        </w:tc>
        <w:tc>
          <w:tcPr>
            <w:tcW w:w="2340" w:type="dxa"/>
          </w:tcPr>
          <w:p>
            <w:r>
              <w:t xml:space="preserve">122,000</w:t>
            </w:r>
          </w:p>
        </w:tc>
        <w:tc>
          <w:tcPr>
            <w:tcW w:w="2340" w:type="dxa"/>
          </w:tcPr>
          <w:p>
            <w:r>
              <w:t xml:space="preserve">19,000</w:t>
            </w:r>
          </w:p>
        </w:tc>
      </w:tr>
      <w:tr>
        <w:tc>
          <w:tcPr>
            <w:tcW w:w="2340" w:type="dxa"/>
          </w:tcPr>
          <w:p>
            <w:r>
              <w:t xml:space="preserve">McKenzie County</w:t>
            </w:r>
          </w:p>
        </w:tc>
        <w:tc>
          <w:tcPr>
            <w:tcW w:w="2340" w:type="dxa"/>
          </w:tcPr>
          <w:p>
            <w:r>
              <w:t xml:space="preserve">15,000</w:t>
            </w:r>
          </w:p>
        </w:tc>
        <w:tc>
          <w:tcPr>
            <w:tcW w:w="2340" w:type="dxa"/>
          </w:tcPr>
          <w:p>
            <w:r>
              <w:t xml:space="preserve">28,000</w:t>
            </w:r>
          </w:p>
        </w:tc>
        <w:tc>
          <w:tcPr>
            <w:tcW w:w="2340" w:type="dxa"/>
          </w:tcPr>
          <w:p>
            <w:r>
              <w:t xml:space="preserve">12,000</w:t>
            </w:r>
          </w:p>
        </w:tc>
      </w:tr>
      <w:tr>
        <w:tc>
          <w:tcPr>
            <w:tcW w:w="2340" w:type="dxa"/>
          </w:tcPr>
          <w:p>
            <w:r>
              <w:t xml:space="preserve">Morton County</w:t>
            </w:r>
          </w:p>
        </w:tc>
        <w:tc>
          <w:tcPr>
            <w:tcW w:w="2340" w:type="dxa"/>
          </w:tcPr>
          <w:p>
            <w:r>
              <w:t xml:space="preserve">35,000</w:t>
            </w:r>
          </w:p>
        </w:tc>
        <w:tc>
          <w:tcPr>
            <w:tcW w:w="2340" w:type="dxa"/>
          </w:tcPr>
          <w:p>
            <w:r>
              <w:t xml:space="preserve">46,000</w:t>
            </w:r>
          </w:p>
        </w:tc>
        <w:tc>
          <w:tcPr>
            <w:tcW w:w="2340" w:type="dxa"/>
          </w:tcPr>
          <w:p>
            <w:r>
              <w:t xml:space="preserve">11,000</w:t>
            </w:r>
          </w:p>
        </w:tc>
      </w:tr>
      <w:tr>
        <w:tc>
          <w:tcPr>
            <w:tcW w:w="2340" w:type="dxa"/>
          </w:tcPr>
          <w:p>
            <w:r>
              <w:t xml:space="preserve">Stark County</w:t>
            </w:r>
          </w:p>
        </w:tc>
        <w:tc>
          <w:tcPr>
            <w:tcW w:w="2340" w:type="dxa"/>
          </w:tcPr>
          <w:p>
            <w:r>
              <w:t xml:space="preserve">34,000</w:t>
            </w:r>
          </w:p>
        </w:tc>
        <w:tc>
          <w:tcPr>
            <w:tcW w:w="2340" w:type="dxa"/>
          </w:tcPr>
          <w:p>
            <w:r>
              <w:t xml:space="preserve">41,000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</w:tr>
    </w:tbl>
    <w:p>
      <w:r>
        <w:t xml:space="preserve">Largest absolute decreases: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County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Change</w:t>
            </w:r>
          </w:p>
        </w:tc>
      </w:tr>
      <w:tr>
        <w:tc>
          <w:tcPr>
            <w:tcW w:w="2340" w:type="dxa"/>
          </w:tcPr>
          <w:p>
            <w:r>
              <w:t xml:space="preserve">Ward County</w:t>
            </w:r>
          </w:p>
        </w:tc>
        <w:tc>
          <w:tcPr>
            <w:tcW w:w="2340" w:type="dxa"/>
          </w:tcPr>
          <w:p>
            <w:r>
              <w:t xml:space="preserve">68,000</w:t>
            </w:r>
          </w:p>
        </w:tc>
        <w:tc>
          <w:tcPr>
            <w:tcW w:w="2340" w:type="dxa"/>
          </w:tcPr>
          <w:p>
            <w:r>
              <w:t xml:space="preserve">58,000</w:t>
            </w:r>
          </w:p>
        </w:tc>
        <w:tc>
          <w:tcPr>
            <w:tcW w:w="2340" w:type="dxa"/>
          </w:tcPr>
          <w:p>
            <w:r>
              <w:t xml:space="preserve">-11,000</w:t>
            </w:r>
          </w:p>
        </w:tc>
      </w:tr>
      <w:tr>
        <w:tc>
          <w:tcPr>
            <w:tcW w:w="2340" w:type="dxa"/>
          </w:tcPr>
          <w:p>
            <w:r>
              <w:t xml:space="preserve">Grand Forks County</w:t>
            </w:r>
          </w:p>
        </w:tc>
        <w:tc>
          <w:tcPr>
            <w:tcW w:w="2340" w:type="dxa"/>
          </w:tcPr>
          <w:p>
            <w:r>
              <w:t xml:space="preserve">75,000</w:t>
            </w:r>
          </w:p>
        </w:tc>
        <w:tc>
          <w:tcPr>
            <w:tcW w:w="2340" w:type="dxa"/>
          </w:tcPr>
          <w:p>
            <w:r>
              <w:t xml:space="preserve">66,000</w:t>
            </w:r>
          </w:p>
        </w:tc>
        <w:tc>
          <w:tcPr>
            <w:tcW w:w="2340" w:type="dxa"/>
          </w:tcPr>
          <w:p>
            <w:r>
              <w:t xml:space="preserve">-9,000</w:t>
            </w:r>
          </w:p>
        </w:tc>
      </w:tr>
      <w:tr>
        <w:tc>
          <w:tcPr>
            <w:tcW w:w="2340" w:type="dxa"/>
          </w:tcPr>
          <w:p>
            <w:r>
              <w:t xml:space="preserve">Walsh County</w:t>
            </w:r>
          </w:p>
        </w:tc>
        <w:tc>
          <w:tcPr>
            <w:tcW w:w="2340" w:type="dxa"/>
          </w:tcPr>
          <w:p>
            <w:r>
              <w:t xml:space="preserve">10,000</w:t>
            </w:r>
          </w:p>
        </w:tc>
        <w:tc>
          <w:tcPr>
            <w:tcW w:w="2340" w:type="dxa"/>
          </w:tcPr>
          <w:p>
            <w:r>
              <w:t xml:space="preserve">8,000</w:t>
            </w:r>
          </w:p>
        </w:tc>
        <w:tc>
          <w:tcPr>
            <w:tcW w:w="2340" w:type="dxa"/>
          </w:tcPr>
          <w:p>
            <w:r>
              <w:t xml:space="preserve">-3,000</w:t>
            </w:r>
          </w:p>
        </w:tc>
      </w:tr>
      <w:tr>
        <w:tc>
          <w:tcPr>
            <w:tcW w:w="2340" w:type="dxa"/>
          </w:tcPr>
          <w:p>
            <w:r>
              <w:t xml:space="preserve">Pembina County</w:t>
            </w:r>
          </w:p>
        </w:tc>
        <w:tc>
          <w:tcPr>
            <w:tcW w:w="2340" w:type="dxa"/>
          </w:tcPr>
          <w:p>
            <w:r>
              <w:t xml:space="preserve">7,000</w:t>
            </w:r>
          </w:p>
        </w:tc>
        <w:tc>
          <w:tcPr>
            <w:tcW w:w="2340" w:type="dxa"/>
          </w:tcPr>
          <w:p>
            <w:r>
              <w:t xml:space="preserve">4,000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  <w:tr>
        <w:tc>
          <w:tcPr>
            <w:tcW w:w="2340" w:type="dxa"/>
          </w:tcPr>
          <w:p>
            <w:r>
              <w:t xml:space="preserve">Stutsman County</w:t>
            </w:r>
          </w:p>
        </w:tc>
        <w:tc>
          <w:tcPr>
            <w:tcW w:w="2340" w:type="dxa"/>
          </w:tcPr>
          <w:p>
            <w:r>
              <w:t xml:space="preserve">21,000</w:t>
            </w:r>
          </w:p>
        </w:tc>
        <w:tc>
          <w:tcPr>
            <w:tcW w:w="2340" w:type="dxa"/>
          </w:tcPr>
          <w:p>
            <w:r>
              <w:t xml:space="preserve">19,000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  <w:tr>
        <w:tc>
          <w:tcPr>
            <w:tcW w:w="2340" w:type="dxa"/>
          </w:tcPr>
          <w:p>
            <w:r>
              <w:t xml:space="preserve">Richland County</w:t>
            </w:r>
          </w:p>
        </w:tc>
        <w:tc>
          <w:tcPr>
            <w:tcW w:w="2340" w:type="dxa"/>
          </w:tcPr>
          <w:p>
            <w:r>
              <w:t xml:space="preserve">17,000</w:t>
            </w:r>
          </w:p>
        </w:tc>
        <w:tc>
          <w:tcPr>
            <w:tcW w:w="2340" w:type="dxa"/>
          </w:tcPr>
          <w:p>
            <w:r>
              <w:t xml:space="preserve">15,000</w:t>
            </w:r>
          </w:p>
        </w:tc>
        <w:tc>
          <w:tcPr>
            <w:tcW w:w="2340" w:type="dxa"/>
          </w:tcPr>
          <w:p>
            <w:r>
              <w:t xml:space="preserve">-2,000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Baseline growth is geographically concentrated.</w:t>
      </w:r>
    </w:p>
    <w:p>
      <w:pPr>
        <w:ind w:left="360" w:hanging="360"/>
      </w:pPr>
      <w:r>
        <w:t xml:space="preserve">• </w:t>
      </w:r>
      <w:r>
        <w:t xml:space="preserve">The largest-growth counties add more residents than the net statewide</w:t>
      </w:r>
    </w:p>
    <w:p>
      <w:r>
        <w:t xml:space="preserve">increase because declines elsewhere offset part of that growth.</w:t>
      </w:r>
    </w:p>
    <w:p>
      <w:pPr>
        <w:ind w:left="360" w:hanging="360"/>
      </w:pPr>
      <w:r>
        <w:t xml:space="preserve">• </w:t>
      </w:r>
      <w:r>
        <w:t xml:space="preserve">The PDF should make clear that statewide growth does not mean uniform growth</w:t>
      </w:r>
    </w:p>
    <w:p>
      <w:r>
        <w:t xml:space="preserve">across counties.</w:t>
      </w:r>
    </w:p>
    <w:p>
      <w:pPr>
        <w:pStyle w:val="Heading2"/>
      </w:pPr>
      <w:r>
        <w:t xml:space="preserve">Baseline Age Structure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1337" w:type="dxa"/>
          </w:tcPr>
          <w:p>
            <w:r>
              <w:rPr>
                <w:b/>
              </w:rPr>
              <w:t xml:space="preserve">Group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2030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2040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2050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2055</w:t>
            </w:r>
          </w:p>
        </w:tc>
        <w:tc>
          <w:tcPr>
            <w:tcW w:w="1337" w:type="dxa"/>
          </w:tcPr>
          <w:p>
            <w:r>
              <w:rPr>
                <w:b/>
              </w:rPr>
              <w:t xml:space="preserve">2025-2055 change</w:t>
            </w:r>
          </w:p>
        </w:tc>
      </w:tr>
      <w:tr>
        <w:tc>
          <w:tcPr>
            <w:tcW w:w="1337" w:type="dxa"/>
          </w:tcPr>
          <w:p>
            <w:r>
              <w:t xml:space="preserve">Under 18</w:t>
            </w:r>
          </w:p>
        </w:tc>
        <w:tc>
          <w:tcPr>
            <w:tcW w:w="1337" w:type="dxa"/>
          </w:tcPr>
          <w:p>
            <w:r>
              <w:t xml:space="preserve">189,000</w:t>
            </w:r>
          </w:p>
        </w:tc>
        <w:tc>
          <w:tcPr>
            <w:tcW w:w="1337" w:type="dxa"/>
          </w:tcPr>
          <w:p>
            <w:r>
              <w:t xml:space="preserve">187,000</w:t>
            </w:r>
          </w:p>
        </w:tc>
        <w:tc>
          <w:tcPr>
            <w:tcW w:w="1337" w:type="dxa"/>
          </w:tcPr>
          <w:p>
            <w:r>
              <w:t xml:space="preserve">185,000</w:t>
            </w:r>
          </w:p>
        </w:tc>
        <w:tc>
          <w:tcPr>
            <w:tcW w:w="1337" w:type="dxa"/>
          </w:tcPr>
          <w:p>
            <w:r>
              <w:t xml:space="preserve">188,000</w:t>
            </w:r>
          </w:p>
        </w:tc>
        <w:tc>
          <w:tcPr>
            <w:tcW w:w="1337" w:type="dxa"/>
          </w:tcPr>
          <w:p>
            <w:r>
              <w:t xml:space="preserve">187,000</w:t>
            </w:r>
          </w:p>
        </w:tc>
        <w:tc>
          <w:tcPr>
            <w:tcW w:w="1337" w:type="dxa"/>
          </w:tcPr>
          <w:p>
            <w:r>
              <w:t xml:space="preserve">-2,000</w:t>
            </w:r>
          </w:p>
        </w:tc>
      </w:tr>
      <w:tr>
        <w:tc>
          <w:tcPr>
            <w:tcW w:w="1337" w:type="dxa"/>
          </w:tcPr>
          <w:p>
            <w:r>
              <w:t xml:space="preserve">18-64</w:t>
            </w:r>
          </w:p>
        </w:tc>
        <w:tc>
          <w:tcPr>
            <w:tcW w:w="1337" w:type="dxa"/>
          </w:tcPr>
          <w:p>
            <w:r>
              <w:t xml:space="preserve">476,000</w:t>
            </w:r>
          </w:p>
        </w:tc>
        <w:tc>
          <w:tcPr>
            <w:tcW w:w="1337" w:type="dxa"/>
          </w:tcPr>
          <w:p>
            <w:r>
              <w:t xml:space="preserve">480,000</w:t>
            </w:r>
          </w:p>
        </w:tc>
        <w:tc>
          <w:tcPr>
            <w:tcW w:w="1337" w:type="dxa"/>
          </w:tcPr>
          <w:p>
            <w:r>
              <w:t xml:space="preserve">520,000</w:t>
            </w:r>
          </w:p>
        </w:tc>
        <w:tc>
          <w:tcPr>
            <w:tcW w:w="1337" w:type="dxa"/>
          </w:tcPr>
          <w:p>
            <w:r>
              <w:t xml:space="preserve">536,000</w:t>
            </w:r>
          </w:p>
        </w:tc>
        <w:tc>
          <w:tcPr>
            <w:tcW w:w="1337" w:type="dxa"/>
          </w:tcPr>
          <w:p>
            <w:r>
              <w:t xml:space="preserve">536,000</w:t>
            </w:r>
          </w:p>
        </w:tc>
        <w:tc>
          <w:tcPr>
            <w:tcW w:w="1337" w:type="dxa"/>
          </w:tcPr>
          <w:p>
            <w:r>
              <w:t xml:space="preserve">60,000</w:t>
            </w:r>
          </w:p>
        </w:tc>
      </w:tr>
      <w:tr>
        <w:tc>
          <w:tcPr>
            <w:tcW w:w="1337" w:type="dxa"/>
          </w:tcPr>
          <w:p>
            <w:r>
              <w:t xml:space="preserve">65+</w:t>
            </w:r>
          </w:p>
        </w:tc>
        <w:tc>
          <w:tcPr>
            <w:tcW w:w="1337" w:type="dxa"/>
          </w:tcPr>
          <w:p>
            <w:r>
              <w:t xml:space="preserve">135,000</w:t>
            </w:r>
          </w:p>
        </w:tc>
        <w:tc>
          <w:tcPr>
            <w:tcW w:w="1337" w:type="dxa"/>
          </w:tcPr>
          <w:p>
            <w:r>
              <w:t xml:space="preserve">142,000</w:t>
            </w:r>
          </w:p>
        </w:tc>
        <w:tc>
          <w:tcPr>
            <w:tcW w:w="1337" w:type="dxa"/>
          </w:tcPr>
          <w:p>
            <w:r>
              <w:t xml:space="preserve">143,000</w:t>
            </w:r>
          </w:p>
        </w:tc>
        <w:tc>
          <w:tcPr>
            <w:tcW w:w="1337" w:type="dxa"/>
          </w:tcPr>
          <w:p>
            <w:r>
              <w:t xml:space="preserve">150,000</w:t>
            </w:r>
          </w:p>
        </w:tc>
        <w:tc>
          <w:tcPr>
            <w:tcW w:w="1337" w:type="dxa"/>
          </w:tcPr>
          <w:p>
            <w:r>
              <w:t xml:space="preserve">159,000</w:t>
            </w:r>
          </w:p>
        </w:tc>
        <w:tc>
          <w:tcPr>
            <w:tcW w:w="1337" w:type="dxa"/>
          </w:tcPr>
          <w:p>
            <w:r>
              <w:t xml:space="preserve">24,000</w:t>
            </w:r>
          </w:p>
        </w:tc>
      </w:tr>
      <w:tr>
        <w:tc>
          <w:tcPr>
            <w:tcW w:w="1337" w:type="dxa"/>
          </w:tcPr>
          <w:p>
            <w:r>
              <w:t xml:space="preserve">85+</w:t>
            </w:r>
          </w:p>
        </w:tc>
        <w:tc>
          <w:tcPr>
            <w:tcW w:w="1337" w:type="dxa"/>
          </w:tcPr>
          <w:p>
            <w:r>
              <w:t xml:space="preserve">17,000</w:t>
            </w:r>
          </w:p>
        </w:tc>
        <w:tc>
          <w:tcPr>
            <w:tcW w:w="1337" w:type="dxa"/>
          </w:tcPr>
          <w:p>
            <w:r>
              <w:t xml:space="preserve">17,000</w:t>
            </w:r>
          </w:p>
        </w:tc>
        <w:tc>
          <w:tcPr>
            <w:tcW w:w="1337" w:type="dxa"/>
          </w:tcPr>
          <w:p>
            <w:r>
              <w:t xml:space="preserve">23,000</w:t>
            </w:r>
          </w:p>
        </w:tc>
        <w:tc>
          <w:tcPr>
            <w:tcW w:w="1337" w:type="dxa"/>
          </w:tcPr>
          <w:p>
            <w:r>
              <w:t xml:space="preserve">26,000</w:t>
            </w:r>
          </w:p>
        </w:tc>
        <w:tc>
          <w:tcPr>
            <w:tcW w:w="1337" w:type="dxa"/>
          </w:tcPr>
          <w:p>
            <w:r>
              <w:t xml:space="preserve">25,000</w:t>
            </w:r>
          </w:p>
        </w:tc>
        <w:tc>
          <w:tcPr>
            <w:tcW w:w="1337" w:type="dxa"/>
          </w:tcPr>
          <w:p>
            <w:r>
              <w:t xml:space="preserve">7,000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Working-age residents account for most of the baseline age-group growth.</w:t>
      </w:r>
    </w:p>
    <w:p>
      <w:pPr>
        <w:ind w:left="360" w:hanging="360"/>
      </w:pPr>
      <w:r>
        <w:t xml:space="preserve">• </w:t>
      </w:r>
      <w:r>
        <w:t xml:space="preserve">The 65+ population grows substantially across the horizon.</w:t>
      </w:r>
    </w:p>
    <w:p>
      <w:pPr>
        <w:ind w:left="360" w:hanging="360"/>
      </w:pPr>
      <w:r>
        <w:t xml:space="preserve">• </w:t>
      </w:r>
      <w:r>
        <w:t xml:space="preserve">The under-18 population is comparatively flat in the draft baseline.</w:t>
      </w:r>
    </w:p>
    <w:p>
      <w:pPr>
        <w:pStyle w:val="Heading2"/>
      </w:pPr>
      <w:r>
        <w:t xml:space="preserve">Baseline Sex Ratio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2340" w:type="dxa"/>
          </w:tcPr>
          <w:p>
            <w:r>
              <w:rPr>
                <w:b/>
              </w:rPr>
              <w:t xml:space="preserve">Year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Male population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Female population</w:t>
            </w:r>
          </w:p>
        </w:tc>
        <w:tc>
          <w:tcPr>
            <w:tcW w:w="2340" w:type="dxa"/>
          </w:tcPr>
          <w:p>
            <w:r>
              <w:rPr>
                <w:b/>
              </w:rPr>
              <w:t xml:space="preserve">Males per 100 females</w:t>
            </w:r>
          </w:p>
        </w:tc>
      </w:tr>
      <w:tr>
        <w:tc>
          <w:tcPr>
            <w:tcW w:w="2340" w:type="dxa"/>
          </w:tcPr>
          <w:p>
            <w:r>
              <w:t xml:space="preserve">2025</w:t>
            </w:r>
          </w:p>
        </w:tc>
        <w:tc>
          <w:tcPr>
            <w:tcW w:w="2340" w:type="dxa"/>
          </w:tcPr>
          <w:p>
            <w:r>
              <w:t xml:space="preserve">410,000</w:t>
            </w:r>
          </w:p>
        </w:tc>
        <w:tc>
          <w:tcPr>
            <w:tcW w:w="2340" w:type="dxa"/>
          </w:tcPr>
          <w:p>
            <w:r>
              <w:t xml:space="preserve">389,000</w:t>
            </w:r>
          </w:p>
        </w:tc>
        <w:tc>
          <w:tcPr>
            <w:tcW w:w="2340" w:type="dxa"/>
          </w:tcPr>
          <w:p>
            <w:r>
              <w:t xml:space="preserve">105</w:t>
            </w:r>
          </w:p>
        </w:tc>
      </w:tr>
      <w:tr>
        <w:tc>
          <w:tcPr>
            <w:tcW w:w="2340" w:type="dxa"/>
          </w:tcPr>
          <w:p>
            <w:r>
              <w:t xml:space="preserve">2055</w:t>
            </w:r>
          </w:p>
        </w:tc>
        <w:tc>
          <w:tcPr>
            <w:tcW w:w="2340" w:type="dxa"/>
          </w:tcPr>
          <w:p>
            <w:r>
              <w:t xml:space="preserve">455,000</w:t>
            </w:r>
          </w:p>
        </w:tc>
        <w:tc>
          <w:tcPr>
            <w:tcW w:w="2340" w:type="dxa"/>
          </w:tcPr>
          <w:p>
            <w:r>
              <w:t xml:space="preserve">427,000</w:t>
            </w:r>
          </w:p>
        </w:tc>
        <w:tc>
          <w:tcPr>
            <w:tcW w:w="2340" w:type="dxa"/>
          </w:tcPr>
          <w:p>
            <w:r>
              <w:t xml:space="preserve">107</w:t>
            </w:r>
          </w:p>
        </w:tc>
      </w:tr>
    </w:tbl>
    <w:p>
      <w:r>
        <w:t xml:space="preserve">Layout takeaways:</w:t>
      </w:r>
    </w:p>
    <w:p>
      <w:pPr>
        <w:ind w:left="360" w:hanging="360"/>
      </w:pPr>
      <w:r>
        <w:t xml:space="preserve">• </w:t>
      </w:r>
      <w:r>
        <w:t xml:space="preserve">The state remains male-heavy in the draft baseline.</w:t>
      </w:r>
    </w:p>
    <w:p>
      <w:pPr>
        <w:ind w:left="360" w:hanging="360"/>
      </w:pPr>
      <w:r>
        <w:t xml:space="preserve">• </w:t>
      </w:r>
      <w:r>
        <w:t xml:space="preserve">Migration assumptions are important for interpreting the sex ratio.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