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Draft Numbers For Layout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>
      <w:r>
        <w:rPr>
          <w:b/>
        </w:rPr>
        <w:t>Rounded layout values from the locked Baseline (CBO-Adjusted) public run. Exact annual values live in the public CSV/workbook; the downloads are authoritative.</w:t>
      </w:r>
    </w:p>
    <w:p/>
    <w:p>
      <w:pPr>
        <w:pStyle w:val="Heading2"/>
      </w:pPr>
      <w:r>
        <w:t>Statewide baseline, key years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vs 2025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799,000</w:t>
            </w:r>
          </w:p>
        </w:tc>
        <w:tc>
          <w:tcPr>
            <w:tcW w:type="dxa" w:w="2880"/>
          </w:tcPr>
          <w:p>
            <w:r>
              <w:t>+0.0%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805,000</w:t>
            </w:r>
          </w:p>
        </w:tc>
        <w:tc>
          <w:tcPr>
            <w:tcW w:type="dxa" w:w="2880"/>
          </w:tcPr>
          <w:p>
            <w:r>
              <w:t>+0.7%</w:t>
            </w:r>
          </w:p>
        </w:tc>
      </w:tr>
      <w:tr>
        <w:tc>
          <w:tcPr>
            <w:tcW w:type="dxa" w:w="2880"/>
          </w:tcPr>
          <w:p>
            <w:r>
              <w:t>2035</w:t>
            </w:r>
          </w:p>
        </w:tc>
        <w:tc>
          <w:tcPr>
            <w:tcW w:type="dxa" w:w="2880"/>
          </w:tcPr>
          <w:p>
            <w:r>
              <w:t>826,000</w:t>
            </w:r>
          </w:p>
        </w:tc>
        <w:tc>
          <w:tcPr>
            <w:tcW w:type="dxa" w:w="2880"/>
          </w:tcPr>
          <w:p>
            <w:r>
              <w:t>+3.3%</w:t>
            </w:r>
          </w:p>
        </w:tc>
      </w:tr>
      <w:tr>
        <w:tc>
          <w:tcPr>
            <w:tcW w:type="dxa" w:w="2880"/>
          </w:tcPr>
          <w:p>
            <w:r>
              <w:t>2040</w:t>
            </w:r>
          </w:p>
        </w:tc>
        <w:tc>
          <w:tcPr>
            <w:tcW w:type="dxa" w:w="2880"/>
          </w:tcPr>
          <w:p>
            <w:r>
              <w:t>848,000</w:t>
            </w:r>
          </w:p>
        </w:tc>
        <w:tc>
          <w:tcPr>
            <w:tcW w:type="dxa" w:w="2880"/>
          </w:tcPr>
          <w:p>
            <w:r>
              <w:t>+6.1%</w:t>
            </w:r>
          </w:p>
        </w:tc>
      </w:tr>
      <w:tr>
        <w:tc>
          <w:tcPr>
            <w:tcW w:type="dxa" w:w="2880"/>
          </w:tcPr>
          <w:p>
            <w:r>
              <w:t>2045</w:t>
            </w:r>
          </w:p>
        </w:tc>
        <w:tc>
          <w:tcPr>
            <w:tcW w:type="dxa" w:w="2880"/>
          </w:tcPr>
          <w:p>
            <w:r>
              <w:t>867,000</w:t>
            </w:r>
          </w:p>
        </w:tc>
        <w:tc>
          <w:tcPr>
            <w:tcW w:type="dxa" w:w="2880"/>
          </w:tcPr>
          <w:p>
            <w:r>
              <w:t>+8.4%</w:t>
            </w:r>
          </w:p>
        </w:tc>
      </w:tr>
      <w:tr>
        <w:tc>
          <w:tcPr>
            <w:tcW w:type="dxa" w:w="2880"/>
          </w:tcPr>
          <w:p>
            <w:r>
              <w:t>2050</w:t>
            </w:r>
          </w:p>
        </w:tc>
        <w:tc>
          <w:tcPr>
            <w:tcW w:type="dxa" w:w="2880"/>
          </w:tcPr>
          <w:p>
            <w:r>
              <w:t>883,000</w:t>
            </w:r>
          </w:p>
        </w:tc>
        <w:tc>
          <w:tcPr>
            <w:tcW w:type="dxa" w:w="2880"/>
          </w:tcPr>
          <w:p>
            <w:r>
              <w:t>+10.5%</w:t>
            </w:r>
          </w:p>
        </w:tc>
      </w:tr>
      <w:tr>
        <w:tc>
          <w:tcPr>
            <w:tcW w:type="dxa" w:w="2880"/>
          </w:tcPr>
          <w:p>
            <w:r>
              <w:t>2055</w:t>
            </w:r>
          </w:p>
        </w:tc>
        <w:tc>
          <w:tcPr>
            <w:tcW w:type="dxa" w:w="2880"/>
          </w:tcPr>
          <w:p>
            <w:r>
              <w:t>899,000</w:t>
            </w:r>
          </w:p>
        </w:tc>
        <w:tc>
          <w:tcPr>
            <w:tcW w:type="dxa" w:w="2880"/>
          </w:tcPr>
          <w:p>
            <w:r>
              <w:t>+12.5%</w:t>
            </w:r>
          </w:p>
        </w:tc>
      </w:tr>
    </w:tbl>
    <w:p/>
    <w:p>
      <w:r>
        <w:rPr>
          <w:b/>
        </w:rPr>
        <w:t>Trough:</w:t>
      </w:r>
      <w:r>
        <w:t xml:space="preserve"> about 797,000 around 2027 (the intended CBO front-loaded migration ramp), before steady recovery to 2055.</w:t>
      </w:r>
    </w:p>
    <w:p>
      <w:pPr>
        <w:pStyle w:val="Heading2"/>
      </w:pPr>
      <w:r>
        <w:t>Regional change, 2025 to 2055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Fargo</w:t>
            </w:r>
          </w:p>
        </w:tc>
        <w:tc>
          <w:tcPr>
            <w:tcW w:type="dxa" w:w="2160"/>
          </w:tcPr>
          <w:p>
            <w:r>
              <w:t>238,000</w:t>
            </w:r>
          </w:p>
        </w:tc>
        <w:tc>
          <w:tcPr>
            <w:tcW w:type="dxa" w:w="2160"/>
          </w:tcPr>
          <w:p>
            <w:r>
              <w:t>301,000</w:t>
            </w:r>
          </w:p>
        </w:tc>
        <w:tc>
          <w:tcPr>
            <w:tcW w:type="dxa" w:w="2160"/>
          </w:tcPr>
          <w:p>
            <w:r>
              <w:t>+26.5%</w:t>
            </w:r>
          </w:p>
        </w:tc>
      </w:tr>
      <w:tr>
        <w:tc>
          <w:tcPr>
            <w:tcW w:type="dxa" w:w="2160"/>
          </w:tcPr>
          <w:p>
            <w:r>
              <w:t>Bismarck</w:t>
            </w:r>
          </w:p>
        </w:tc>
        <w:tc>
          <w:tcPr>
            <w:tcW w:type="dxa" w:w="2160"/>
          </w:tcPr>
          <w:p>
            <w:r>
              <w:t>171,000</w:t>
            </w:r>
          </w:p>
        </w:tc>
        <w:tc>
          <w:tcPr>
            <w:tcW w:type="dxa" w:w="2160"/>
          </w:tcPr>
          <w:p>
            <w:r>
              <w:t>196,000</w:t>
            </w:r>
          </w:p>
        </w:tc>
        <w:tc>
          <w:tcPr>
            <w:tcW w:type="dxa" w:w="2160"/>
          </w:tcPr>
          <w:p>
            <w:r>
              <w:t>+14.5%</w:t>
            </w:r>
          </w:p>
        </w:tc>
      </w:tr>
      <w:tr>
        <w:tc>
          <w:tcPr>
            <w:tcW w:type="dxa" w:w="2160"/>
          </w:tcPr>
          <w:p>
            <w:r>
              <w:t>Williston</w:t>
            </w:r>
          </w:p>
        </w:tc>
        <w:tc>
          <w:tcPr>
            <w:tcW w:type="dxa" w:w="2160"/>
          </w:tcPr>
          <w:p>
            <w:r>
              <w:t>59,000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+58.7%</w:t>
            </w:r>
          </w:p>
        </w:tc>
      </w:tr>
      <w:tr>
        <w:tc>
          <w:tcPr>
            <w:tcW w:type="dxa" w:w="2160"/>
          </w:tcPr>
          <w:p>
            <w:r>
              <w:t>Minot</w:t>
            </w:r>
          </w:p>
        </w:tc>
        <w:tc>
          <w:tcPr>
            <w:tcW w:type="dxa" w:w="2160"/>
          </w:tcPr>
          <w:p>
            <w:r>
              <w:t>97,000</w:t>
            </w:r>
          </w:p>
        </w:tc>
        <w:tc>
          <w:tcPr>
            <w:tcW w:type="dxa" w:w="2160"/>
          </w:tcPr>
          <w:p>
            <w:r>
              <w:t>88,000</w:t>
            </w:r>
          </w:p>
        </w:tc>
        <w:tc>
          <w:tcPr>
            <w:tcW w:type="dxa" w:w="2160"/>
          </w:tcPr>
          <w:p>
            <w:r>
              <w:t>-9.7%</w:t>
            </w:r>
          </w:p>
        </w:tc>
      </w:tr>
      <w:tr>
        <w:tc>
          <w:tcPr>
            <w:tcW w:type="dxa" w:w="2160"/>
          </w:tcPr>
          <w:p>
            <w:r>
              <w:t>Grand Forks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87,000</w:t>
            </w:r>
          </w:p>
        </w:tc>
        <w:tc>
          <w:tcPr>
            <w:tcW w:type="dxa" w:w="2160"/>
          </w:tcPr>
          <w:p>
            <w:r>
              <w:t>-7.3%</w:t>
            </w:r>
          </w:p>
        </w:tc>
      </w:tr>
      <w:tr>
        <w:tc>
          <w:tcPr>
            <w:tcW w:type="dxa" w:w="2160"/>
          </w:tcPr>
          <w:p>
            <w:r>
              <w:t>Dickinson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52,000</w:t>
            </w:r>
          </w:p>
        </w:tc>
        <w:tc>
          <w:tcPr>
            <w:tcW w:type="dxa" w:w="2160"/>
          </w:tcPr>
          <w:p>
            <w:r>
              <w:t>+6.4%</w:t>
            </w:r>
          </w:p>
        </w:tc>
      </w:tr>
      <w:tr>
        <w:tc>
          <w:tcPr>
            <w:tcW w:type="dxa" w:w="2160"/>
          </w:tcPr>
          <w:p>
            <w:r>
              <w:t>Jamestown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-10.6%</w:t>
            </w:r>
          </w:p>
        </w:tc>
      </w:tr>
      <w:tr>
        <w:tc>
          <w:tcPr>
            <w:tcW w:type="dxa" w:w="2160"/>
          </w:tcPr>
          <w:p>
            <w:r>
              <w:t>Devils Lake</w:t>
            </w:r>
          </w:p>
        </w:tc>
        <w:tc>
          <w:tcPr>
            <w:tcW w:type="dxa" w:w="2160"/>
          </w:tcPr>
          <w:p>
            <w:r>
              <w:t>37,000</w:t>
            </w:r>
          </w:p>
        </w:tc>
        <w:tc>
          <w:tcPr>
            <w:tcW w:type="dxa" w:w="2160"/>
          </w:tcPr>
          <w:p>
            <w:r>
              <w:t>33,000</w:t>
            </w:r>
          </w:p>
        </w:tc>
        <w:tc>
          <w:tcPr>
            <w:tcW w:type="dxa" w:w="2160"/>
          </w:tcPr>
          <w:p>
            <w:r>
              <w:t>-10.4%</w:t>
            </w:r>
          </w:p>
        </w:tc>
      </w:tr>
    </w:tbl>
    <w:p/>
    <w:p>
      <w:pPr>
        <w:pStyle w:val="Heading2"/>
      </w:pPr>
      <w:r>
        <w:t>County concentration, 2025 to 2055</w:t>
      </w:r>
    </w:p>
    <w:p>
      <w:r>
        <w:rPr>
          <w:b/>
        </w:rPr>
        <w:t>36 of 53 counties</w:t>
      </w:r>
      <w:r>
        <w:t xml:space="preserve"> are projected to decline. Most statewide growth is concentrated in Cass (Fargo), Williams (Williston), and Burleigh (Bismarck).</w:t>
      </w:r>
    </w:p>
    <w:p>
      <w:pPr>
        <w:pStyle w:val="Heading3"/>
      </w:pPr>
      <w:r>
        <w:t>Largest projected growth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McKenzie County</w:t>
            </w:r>
          </w:p>
        </w:tc>
        <w:tc>
          <w:tcPr>
            <w:tcW w:type="dxa" w:w="2160"/>
          </w:tcPr>
          <w:p>
            <w:r>
              <w:t>15,000</w:t>
            </w:r>
          </w:p>
        </w:tc>
        <w:tc>
          <w:tcPr>
            <w:tcW w:type="dxa" w:w="2160"/>
          </w:tcPr>
          <w:p>
            <w:r>
              <w:t>27,000</w:t>
            </w:r>
          </w:p>
        </w:tc>
        <w:tc>
          <w:tcPr>
            <w:tcW w:type="dxa" w:w="2160"/>
          </w:tcPr>
          <w:p>
            <w:r>
              <w:t>+78.6%</w:t>
            </w:r>
          </w:p>
        </w:tc>
      </w:tr>
      <w:tr>
        <w:tc>
          <w:tcPr>
            <w:tcW w:type="dxa" w:w="2160"/>
          </w:tcPr>
          <w:p>
            <w:r>
              <w:t>Williams County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  <w:tc>
          <w:tcPr>
            <w:tcW w:type="dxa" w:w="2160"/>
          </w:tcPr>
          <w:p>
            <w:r>
              <w:t>64,000</w:t>
            </w:r>
          </w:p>
        </w:tc>
        <w:tc>
          <w:tcPr>
            <w:tcW w:type="dxa" w:w="2160"/>
          </w:tcPr>
          <w:p>
            <w:r>
              <w:t>+53.8%</w:t>
            </w:r>
          </w:p>
        </w:tc>
      </w:tr>
      <w:tr>
        <w:tc>
          <w:tcPr>
            <w:tcW w:type="dxa" w:w="2160"/>
          </w:tcPr>
          <w:p>
            <w:r>
              <w:t>Billings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+50.4%</w:t>
            </w:r>
          </w:p>
        </w:tc>
      </w:tr>
      <w:tr>
        <w:tc>
          <w:tcPr>
            <w:tcW w:type="dxa" w:w="2160"/>
          </w:tcPr>
          <w:p>
            <w:r>
              <w:t>Cass County</w:t>
            </w:r>
          </w:p>
        </w:tc>
        <w:tc>
          <w:tcPr>
            <w:tcW w:type="dxa" w:w="2160"/>
          </w:tcPr>
          <w:p>
            <w:r>
              <w:t>202,000</w:t>
            </w:r>
          </w:p>
        </w:tc>
        <w:tc>
          <w:tcPr>
            <w:tcW w:type="dxa" w:w="2160"/>
          </w:tcPr>
          <w:p>
            <w:r>
              <w:t>269,000</w:t>
            </w:r>
          </w:p>
        </w:tc>
        <w:tc>
          <w:tcPr>
            <w:tcW w:type="dxa" w:w="2160"/>
          </w:tcPr>
          <w:p>
            <w:r>
              <w:t>+33.2%</w:t>
            </w:r>
          </w:p>
        </w:tc>
      </w:tr>
      <w:tr>
        <w:tc>
          <w:tcPr>
            <w:tcW w:type="dxa" w:w="2160"/>
          </w:tcPr>
          <w:p>
            <w:r>
              <w:t>Morton County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45,000</w:t>
            </w:r>
          </w:p>
        </w:tc>
        <w:tc>
          <w:tcPr>
            <w:tcW w:type="dxa" w:w="2160"/>
          </w:tcPr>
          <w:p>
            <w:r>
              <w:t>+31.1%</w:t>
            </w:r>
          </w:p>
        </w:tc>
      </w:tr>
      <w:tr>
        <w:tc>
          <w:tcPr>
            <w:tcW w:type="dxa" w:w="2160"/>
          </w:tcPr>
          <w:p>
            <w:r>
              <w:t>Hettinger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+30.3%</w:t>
            </w:r>
          </w:p>
        </w:tc>
      </w:tr>
    </w:tbl>
    <w:p/>
    <w:p>
      <w:pPr>
        <w:pStyle w:val="Heading3"/>
      </w:pPr>
      <w:r>
        <w:t>Largest projected decline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Pembina County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-35.9%</w:t>
            </w:r>
          </w:p>
        </w:tc>
      </w:tr>
      <w:tr>
        <w:tc>
          <w:tcPr>
            <w:tcW w:type="dxa" w:w="2160"/>
          </w:tcPr>
          <w:p>
            <w:r>
              <w:t>Slope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-34.5%</w:t>
            </w:r>
          </w:p>
        </w:tc>
      </w:tr>
      <w:tr>
        <w:tc>
          <w:tcPr>
            <w:tcW w:type="dxa" w:w="2160"/>
          </w:tcPr>
          <w:p>
            <w:r>
              <w:t>Walsh County</w:t>
            </w:r>
          </w:p>
        </w:tc>
        <w:tc>
          <w:tcPr>
            <w:tcW w:type="dxa" w:w="2160"/>
          </w:tcPr>
          <w:p>
            <w:r>
              <w:t>10,000</w:t>
            </w:r>
          </w:p>
        </w:tc>
        <w:tc>
          <w:tcPr>
            <w:tcW w:type="dxa" w:w="2160"/>
          </w:tcPr>
          <w:p>
            <w:r>
              <w:t>8,000</w:t>
            </w:r>
          </w:p>
        </w:tc>
        <w:tc>
          <w:tcPr>
            <w:tcW w:type="dxa" w:w="2160"/>
          </w:tcPr>
          <w:p>
            <w:r>
              <w:t>-25.9%</w:t>
            </w:r>
          </w:p>
        </w:tc>
      </w:tr>
      <w:tr>
        <w:tc>
          <w:tcPr>
            <w:tcW w:type="dxa" w:w="2160"/>
          </w:tcPr>
          <w:p>
            <w:r>
              <w:t>Cavalier County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-22.4%</w:t>
            </w:r>
          </w:p>
        </w:tc>
      </w:tr>
      <w:tr>
        <w:tc>
          <w:tcPr>
            <w:tcW w:type="dxa" w:w="2160"/>
          </w:tcPr>
          <w:p>
            <w:r>
              <w:t>Kidder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-19.8%</w:t>
            </w:r>
          </w:p>
        </w:tc>
      </w:tr>
      <w:tr>
        <w:tc>
          <w:tcPr>
            <w:tcW w:type="dxa" w:w="2160"/>
          </w:tcPr>
          <w:p>
            <w:r>
              <w:t>McHenry County</w:t>
            </w:r>
          </w:p>
        </w:tc>
        <w:tc>
          <w:tcPr>
            <w:tcW w:type="dxa" w:w="2160"/>
          </w:tcPr>
          <w:p>
            <w:r>
              <w:t>5,000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-19.4%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