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Marketing Handoff Packet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>
      <w:r>
        <w:rPr>
          <w:b/>
        </w:rPr>
        <w:t>Combined packet: handoff overview, public PDF copy, report storyboard, numbers for layout, and 2024 SDC reference notes.</w:t>
      </w:r>
    </w:p>
    <w:p/>
    <w:p>
      <w:pPr>
        <w:pStyle w:val="Heading1"/>
      </w:pPr>
      <w:r>
        <w:t>1. Handoff Overview</w:t>
      </w:r>
    </w:p>
    <w:p>
      <w:r>
        <w:t>Generated: 2026-06-13 (locked-config production run)</w:t>
      </w:r>
    </w:p>
    <w:p>
      <w:r>
        <w:t>This folder is the PUB-2026 marketing handoff drop. It contains draft narrative</w:t>
      </w:r>
    </w:p>
    <w:p>
      <w:r>
        <w:t>and storyboard files plus generated data/visual artifacts. The data/visual</w:t>
      </w:r>
    </w:p>
    <w:p>
      <w:r>
        <w:t>artifacts in `drafts/` were regenerated on 2026-06-13 from the **locked-config</w:t>
      </w:r>
    </w:p>
    <w:p>
      <w:r>
        <w:t>production run** (`m2026r1` / `cfg-20260611-production-lock`, commit `12fa6f9`;</w:t>
      </w:r>
    </w:p>
    <w:p>
      <w:r>
        <w:t xml:space="preserve">ADR-065/066 baseline, ADR-061/067 applied). These are the </w:t>
      </w:r>
      <w:r>
        <w:rPr>
          <w:b/>
        </w:rPr>
        <w:t>final, locked</w:t>
      </w:r>
    </w:p>
    <w:p>
      <w:r>
        <w:t>public numbers; the "draft" framing reflects pending public layout and release,</w:t>
      </w:r>
    </w:p>
    <w:p>
      <w:r>
        <w:t>not provisional data.</w:t>
      </w:r>
    </w:p>
    <w:p>
      <w:pPr>
        <w:pStyle w:val="Heading2"/>
      </w:pPr>
      <w:r>
        <w:t>What To Send To Marketing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4320"/>
          </w:tcPr>
          <w:p>
            <w:r>
              <w:t>`drafts/PUB-2026 Draft Public Workbook.xlsx`</w:t>
            </w:r>
          </w:p>
        </w:tc>
        <w:tc>
          <w:tcPr>
            <w:tcW w:type="dxa" w:w="4320"/>
          </w:tcPr>
          <w:p>
            <w:r>
              <w:t xml:space="preserve">Consolidated public workbook (baseline-only: README incl. run provenance, State Key Years, state/region/county annual tables, county key years, age groups, </w:t>
            </w:r>
            <w:r>
              <w:rPr>
                <w:b/>
              </w:rPr>
              <w:t>State Age-Sex Detail</w:t>
            </w:r>
            <w:r>
              <w:t>, chart-ready sheets, pyramid data, data dictionary)</w:t>
            </w:r>
          </w:p>
        </w:tc>
      </w:tr>
      <w:tr>
        <w:tc>
          <w:tcPr>
            <w:tcW w:type="dxa" w:w="4320"/>
          </w:tcPr>
          <w:p>
            <w:r>
              <w:t>`drafts/PUB-2026 Draft Public Dataset.csv`</w:t>
            </w:r>
          </w:p>
        </w:tc>
        <w:tc>
          <w:tcPr>
            <w:tcW w:type="dxa" w:w="4320"/>
          </w:tcPr>
          <w:p>
            <w:r>
              <w:t>Tidy consolidated public CSV: 1,922 rows for 1 scenario × 62 geographies × 31 years</w:t>
            </w:r>
          </w:p>
        </w:tc>
      </w:tr>
      <w:tr>
        <w:tc>
          <w:tcPr>
            <w:tcW w:type="dxa" w:w="4320"/>
          </w:tcPr>
          <w:p>
            <w:r>
              <w:t>`drafts/pyramid_state_2025.png` and `drafts/pyramid_state_2055_baseline.png`</w:t>
            </w:r>
          </w:p>
        </w:tc>
        <w:tc>
          <w:tcPr>
            <w:tcW w:type="dxa" w:w="4320"/>
          </w:tcPr>
          <w:p>
            <w:r>
              <w:t>Statewide pyramid pair at 300 DPI for the public baseline</w:t>
            </w:r>
          </w:p>
        </w:tc>
      </w:tr>
      <w:tr>
        <w:tc>
          <w:tcPr>
            <w:tcW w:type="dxa" w:w="4320"/>
          </w:tcPr>
          <w:p>
            <w:r>
              <w:t>`drafts/pyramid_cass_*.png` and `drafts/pyramid_ward_*.png`</w:t>
            </w:r>
          </w:p>
        </w:tc>
        <w:tc>
          <w:tcPr>
            <w:tcW w:type="dxa" w:w="4320"/>
          </w:tcPr>
          <w:p>
            <w:r>
              <w:t>County pyramids at 300 DPI for baseline reference</w:t>
            </w:r>
          </w:p>
        </w:tc>
      </w:tr>
      <w:tr>
        <w:tc>
          <w:tcPr>
            <w:tcW w:type="dxa" w:w="4320"/>
          </w:tcPr>
          <w:p>
            <w:r>
              <w:t>`drafts/chart_state_baseline_line.png`</w:t>
            </w:r>
          </w:p>
        </w:tc>
        <w:tc>
          <w:tcPr>
            <w:tcW w:type="dxa" w:w="4320"/>
          </w:tcPr>
          <w:p>
            <w:r>
              <w:t>Baseline line chart (shows the 2025–2028 dip and recovery to 2055)</w:t>
            </w:r>
          </w:p>
        </w:tc>
      </w:tr>
      <w:tr>
        <w:tc>
          <w:tcPr>
            <w:tcW w:type="dxa" w:w="4320"/>
          </w:tcPr>
          <w:p>
            <w:r>
              <w:t>`drafts/chart_region_baseline_bars.png`</w:t>
            </w:r>
          </w:p>
        </w:tc>
        <w:tc>
          <w:tcPr>
            <w:tcW w:type="dxa" w:w="4320"/>
          </w:tcPr>
          <w:p>
            <w:r>
              <w:t>Regional baseline change bars</w:t>
            </w:r>
          </w:p>
        </w:tc>
      </w:tr>
      <w:tr>
        <w:tc>
          <w:tcPr>
            <w:tcW w:type="dxa" w:w="4320"/>
          </w:tcPr>
          <w:p>
            <w:r>
              <w:t>`drafts/chart_county_top_bottom.png`</w:t>
            </w:r>
          </w:p>
        </w:tc>
        <w:tc>
          <w:tcPr>
            <w:tcW w:type="dxa" w:w="4320"/>
          </w:tcPr>
          <w:p>
            <w:r>
              <w:t>Top-6/bottom-6 county bars</w:t>
            </w:r>
          </w:p>
        </w:tc>
      </w:tr>
      <w:tr>
        <w:tc>
          <w:tcPr>
            <w:tcW w:type="dxa" w:w="4320"/>
          </w:tcPr>
          <w:p>
            <w:r>
              <w:t>`drafts/chart_age_group_trend.png`</w:t>
            </w:r>
          </w:p>
        </w:tc>
        <w:tc>
          <w:tcPr>
            <w:tcW w:type="dxa" w:w="4320"/>
          </w:tcPr>
          <w:p>
            <w:r>
              <w:t>Age-group trend</w:t>
            </w:r>
          </w:p>
        </w:tc>
      </w:tr>
      <w:tr>
        <w:tc>
          <w:tcPr>
            <w:tcW w:type="dxa" w:w="4320"/>
          </w:tcPr>
          <w:p>
            <w:r>
              <w:t>`PUB-2026 Reference - 2024 SDC PDF.pdf`</w:t>
            </w:r>
          </w:p>
        </w:tc>
        <w:tc>
          <w:tcPr>
            <w:tcW w:type="dxa" w:w="4320"/>
          </w:tcPr>
          <w:p>
            <w:r>
              <w:t>The 2024 State Data Center projection PDF — the visual and pacing starting point for the 2026 layout</w:t>
            </w:r>
          </w:p>
        </w:tc>
      </w:tr>
      <w:tr>
        <w:tc>
          <w:tcPr>
            <w:tcW w:type="dxa" w:w="4320"/>
          </w:tcPr>
          <w:p>
            <w:r>
              <w:t>`PUB-2026 Marketing Handoff Packet.docx`</w:t>
            </w:r>
          </w:p>
        </w:tc>
        <w:tc>
          <w:tcPr>
            <w:tcW w:type="dxa" w:w="4320"/>
          </w:tcPr>
          <w:p>
            <w:r>
              <w:t>Combined narrative packet (overview, draft report copy, storyboard, 2024 PDF notes, draft numbers)</w:t>
            </w:r>
          </w:p>
        </w:tc>
      </w:tr>
      <w:tr>
        <w:tc>
          <w:tcPr>
            <w:tcW w:type="dxa" w:w="4320"/>
          </w:tcPr>
          <w:p>
            <w:r>
              <w:t>`PUB-2026 Draft Public PDF Copy.docx`</w:t>
            </w:r>
          </w:p>
        </w:tc>
        <w:tc>
          <w:tcPr>
            <w:tcW w:type="dxa" w:w="4320"/>
          </w:tcPr>
          <w:p>
            <w:r>
              <w:t>Draft narrative copy for PDF layout</w:t>
            </w:r>
          </w:p>
        </w:tc>
      </w:tr>
      <w:tr>
        <w:tc>
          <w:tcPr>
            <w:tcW w:type="dxa" w:w="4320"/>
          </w:tcPr>
          <w:p>
            <w:r>
              <w:t>`PUB-2026 PDF Report Storyboard.docx`</w:t>
            </w:r>
          </w:p>
        </w:tc>
        <w:tc>
          <w:tcPr>
            <w:tcW w:type="dxa" w:w="4320"/>
          </w:tcPr>
          <w:p>
            <w:r>
              <w:t>Page-by-page report flow and exhibit plan</w:t>
            </w:r>
          </w:p>
        </w:tc>
      </w:tr>
      <w:tr>
        <w:tc>
          <w:tcPr>
            <w:tcW w:type="dxa" w:w="4320"/>
          </w:tcPr>
          <w:p>
            <w:r>
              <w:t>`PUB-2026 2024 SDC Reference Notes.docx`</w:t>
            </w:r>
          </w:p>
        </w:tc>
        <w:tc>
          <w:tcPr>
            <w:tcW w:type="dxa" w:w="4320"/>
          </w:tcPr>
          <w:p>
            <w:r>
              <w:t>Guidance on using the 2024 SDC PDF</w:t>
            </w:r>
          </w:p>
        </w:tc>
      </w:tr>
      <w:tr>
        <w:tc>
          <w:tcPr>
            <w:tcW w:type="dxa" w:w="4320"/>
          </w:tcPr>
          <w:p>
            <w:r>
              <w:t>`PUB-2026 Draft Numbers For Layout.docx`</w:t>
            </w:r>
          </w:p>
        </w:tc>
        <w:tc>
          <w:tcPr>
            <w:tcW w:type="dxa" w:w="4320"/>
          </w:tcPr>
          <w:p>
            <w:r>
              <w:t>Rounded figures for chart and table planning</w:t>
            </w:r>
          </w:p>
        </w:tc>
      </w:tr>
    </w:tbl>
    <w:p/>
    <w:p>
      <w:pPr>
        <w:pStyle w:val="Heading2"/>
      </w:pPr>
      <w:r>
        <w:t>Locked numbers (for quick reference)</w:t>
      </w:r>
    </w:p>
    <w:p>
      <w:pPr>
        <w:pStyle w:val="ListBullet"/>
      </w:pPr>
      <w:r>
        <w:t>State: 799,358 (2025) → shallow trough 797,298 (2027, −0.26%, the intended CBO migration ramp) → 898,907 (2055, +12.45%).</w:t>
      </w:r>
    </w:p>
    <w:p>
      <w:pPr>
        <w:pStyle w:val="ListBullet"/>
      </w:pPr>
      <w:r>
        <w:t>Growth concentrated: Cass, Williams, Burleigh; most counties projected to decline.</w:t>
      </w:r>
    </w:p>
    <w:p>
      <w:r>
        <w:t xml:space="preserve">&gt; Corrected per </w:t>
      </w:r>
      <w:r>
        <w:rPr>
          <w:b/>
        </w:rPr>
        <w:t>ADR-068</w:t>
      </w:r>
      <w:r>
        <w:t xml:space="preserve"> (2026-06-15) and its </w:t>
      </w:r>
      <w:r>
        <w:rPr>
          <w:b/>
        </w:rPr>
        <w:t>2026-06-16 amendment</w:t>
      </w:r>
      <w:r>
        <w:t xml:space="preserve"> (operative survival-horizon fix). The earlier "787,382 (2028) → 889,017 (2055, +11.2%)" framing was the superseded 2026-06-13 locked run; the intermediate 2026-06-15 figures (886,585 @2055 / 90+ 9,971) were biased by a survival-table truncation. These full-horizon numbers (898,907 @2055, 90+ 8,172) are final.</w:t>
      </w:r>
    </w:p>
    <w:p>
      <w:pPr>
        <w:pStyle w:val="Heading2"/>
      </w:pPr>
      <w:r>
        <w:t>Notes</w:t>
      </w:r>
    </w:p>
    <w:p>
      <w:pPr>
        <w:pStyle w:val="ListBullet"/>
      </w:pPr>
      <w:r>
        <w:t>Every data-driven file in `drafts/` is generated from the **corrected</w:t>
      </w:r>
      <w:r>
        <w:t xml:space="preserve"> </w:t>
      </w:r>
      <w:r>
        <w:t>full-horizon production baseline (ADR-068, 2026-06-15 + 2026-06-16 amendment)**,</w:t>
      </w:r>
      <w:r>
        <w:t xml:space="preserve"> </w:t>
      </w:r>
      <w:r>
        <w:t xml:space="preserve">which superseded the 2026-06-13 locked run. Numbers are </w:t>
      </w:r>
      <w:r>
        <w:rPr>
          <w:b/>
        </w:rPr>
        <w:t>final</w:t>
      </w:r>
      <w:r>
        <w:t>; chart PNGs and</w:t>
      </w:r>
      <w:r>
        <w:t xml:space="preserve"> </w:t>
      </w:r>
      <w:r>
        <w:t>workbook headers carry a pre-publication mark because public layout and release</w:t>
      </w:r>
      <w:r>
        <w:t xml:space="preserve"> </w:t>
      </w:r>
      <w:r>
        <w:t>are still pending, not because the data is provisional.</w:t>
      </w:r>
    </w:p>
    <w:p>
      <w:pPr>
        <w:pStyle w:val="ListBullet"/>
      </w:pPr>
      <w:r>
        <w:t>CF-001 was disposed on 2026-06-11 (ADR-061 Accepted as modified; ADR-067</w:t>
      </w:r>
      <w:r>
        <w:t xml:space="preserve"> </w:t>
      </w:r>
      <w:r>
        <w:t>applied). The earlier "refresh after CF-001 / week of 2026-06-01" trigger is</w:t>
      </w:r>
      <w:r>
        <w:t xml:space="preserve"> </w:t>
      </w:r>
      <w:r>
        <w:t>satisfied; the data package (`drafts/`) is regenerated by rerunning</w:t>
      </w:r>
      <w:r>
        <w:t xml:space="preserve"> </w:t>
      </w:r>
      <w:r>
        <w:t>[`scripts/exports/build_public_draft_package.py`](../../../../scripts/exports/build_public_draft_package.py).</w:t>
      </w:r>
    </w:p>
    <w:p>
      <w:pPr>
        <w:pStyle w:val="ListBullet"/>
      </w:pPr>
      <w:r>
        <w:t>The narrative Word documents (`PUB-2026 *.docx`) are **generated, not</w:t>
      </w:r>
      <w:r>
        <w:t xml:space="preserve"> </w:t>
      </w:r>
      <w:r>
        <w:t>hand-edited** — they are built from the locked markdown sources</w:t>
      </w:r>
      <w:r>
        <w:t xml:space="preserve"> </w:t>
      </w:r>
      <w:r>
        <w:t>(`draft-public-pdf-copy.md`, `pdf-content-outline.md`, `2024-sdc-pdf-review.md`,</w:t>
      </w:r>
      <w:r>
        <w:t xml:space="preserve"> </w:t>
      </w:r>
      <w:r>
        <w:t>this README) and the locked CSV by</w:t>
      </w:r>
      <w:r>
        <w:t xml:space="preserve"> </w:t>
      </w:r>
      <w:r>
        <w:t>[`scripts/exports/build_marketing_docx.py`](../../../../scripts/exports/build_marketing_docx.py).</w:t>
      </w:r>
      <w:r>
        <w:t xml:space="preserve"> </w:t>
      </w:r>
      <w:r>
        <w:t>Edit the markdown source and rerun the generator rather than editing the</w:t>
      </w:r>
      <w:r>
        <w:t xml:space="preserve"> </w:t>
      </w:r>
      <w:r>
        <w:t>`.docx` directly, so the Word files cannot drift from the locked numbers again.</w:t>
      </w:r>
    </w:p>
    <w:p>
      <w:pPr>
        <w:pStyle w:val="ListBullet"/>
      </w:pPr>
      <w:r>
        <w:t>Older three-scenario outputs were removed from `drafts/` under ADR-065 and are</w:t>
      </w:r>
      <w:r>
        <w:t xml:space="preserve"> </w:t>
      </w:r>
      <w:r>
        <w:t>not part of the public package.</w:t>
      </w:r>
    </w:p>
    <w:p>
      <w:pPr>
        <w:pStyle w:val="ListBullet"/>
      </w:pPr>
      <w:r>
        <w:t>The chart-ready PNGs are reference cuts for layout; marketing should produce</w:t>
      </w:r>
      <w:r>
        <w:t xml:space="preserve"> </w:t>
      </w:r>
      <w:r>
        <w:t>final accessible figures (non-color-dependent encodings, legible map labels,</w:t>
      </w:r>
      <w:r>
        <w:t xml:space="preserve"> </w:t>
      </w:r>
      <w:r>
        <w:t>logical reading order) and replace the contact/download PLACEHOLDERs in the</w:t>
      </w:r>
      <w:r>
        <w:t xml:space="preserve"> </w:t>
      </w:r>
      <w:r>
        <w:t>PDF copy before publication.</w:t>
      </w:r>
    </w:p>
    <w:p>
      <w:pPr>
        <w:pStyle w:val="ListBullet"/>
      </w:pPr>
      <w:r>
        <w:t>City and place projections are intentionally excluded from the public release.</w:t>
      </w:r>
      <w:r>
        <w:t xml:space="preserve"> </w:t>
      </w:r>
      <w:r>
        <w:t>Geographies covered: 1 state, 8 economic planning regions (R1–R8), 53 counties.</w:t>
      </w:r>
    </w:p>
    <w:p>
      <w:pPr>
        <w:pStyle w:val="ListBullet"/>
      </w:pPr>
      <w:r>
        <w:t>The bundled 2024 SDC PDF is the visual reference for marketing — do not use it</w:t>
      </w:r>
      <w:r>
        <w:t xml:space="preserve"> </w:t>
      </w:r>
      <w:r>
        <w:t>as a language template; the 2026 report uses baseline-only language and a</w:t>
      </w:r>
      <w:r>
        <w:t xml:space="preserve"> </w:t>
      </w:r>
      <w:r>
        <w:t>longer 2025–2055 horizon, and presents Baseline (CBO-Adjusted) only.</w:t>
      </w:r>
    </w:p>
    <w:p>
      <w:pPr>
        <w:pStyle w:val="ListBullet"/>
      </w:pPr>
      <w:r>
        <w:t>Internal records (decision log, QA control checklist, technical download</w:t>
      </w:r>
      <w:r>
        <w:t xml:space="preserve"> </w:t>
      </w:r>
      <w:r>
        <w:t>specification, run metadata) live one level up in the handoff folder and are</w:t>
      </w:r>
      <w:r>
        <w:t xml:space="preserve"> </w:t>
      </w:r>
      <w:r>
        <w:t>not part of the marketing packet.</w:t>
      </w:r>
    </w:p>
    <w:p>
      <w:r>
        <w:br w:type="page"/>
      </w:r>
    </w:p>
    <w:p>
      <w:pPr>
        <w:pStyle w:val="Heading1"/>
      </w:pPr>
      <w:r>
        <w:t>2. Draft Public PDF Copy</w:t>
      </w:r>
    </w:p>
    <w:p>
      <w:r>
        <w:t>Draft for marketing layout and internal review. Numeric callouts are refreshed against the</w:t>
      </w:r>
    </w:p>
    <w:p>
      <w:r>
        <w:rPr>
          <w:b/>
        </w:rPr>
        <w:t>locked-config production run</w:t>
      </w:r>
      <w:r>
        <w:t xml:space="preserve"> (`m2026r1` / `cfg-20260611-production-lock`, commit `12fa6f9`,</w:t>
      </w:r>
    </w:p>
    <w:p>
      <w:r>
        <w:t xml:space="preserve">2026-06-13). The public path is </w:t>
      </w:r>
      <w:r>
        <w:rPr>
          <w:b/>
        </w:rPr>
        <w:t>Baseline (CBO-Adjusted)</w:t>
      </w:r>
      <w:r>
        <w:t xml:space="preserve"> only (ADR-065). Exact values live in</w:t>
      </w:r>
    </w:p>
    <w:p>
      <w:r>
        <w:t>the public download files; PDF figures are rounded for readability and should reconcile to the</w:t>
      </w:r>
    </w:p>
    <w:p>
      <w:r>
        <w:t xml:space="preserve">downloads. Language follows ADR-042: this is a </w:t>
      </w:r>
      <w:r>
        <w:rPr>
          <w:b/>
        </w:rPr>
        <w:t>projection</w:t>
      </w:r>
      <w:r>
        <w:t>, never a "forecast," "prediction,"</w:t>
      </w:r>
    </w:p>
    <w:p>
      <w:r>
        <w:t>"expected outcome," or "most likely" path.</w:t>
      </w:r>
    </w:p>
    <w:p>
      <w:pPr>
        <w:pStyle w:val="Heading2"/>
      </w:pPr>
      <w:r>
        <w:t>Cover</w:t>
      </w:r>
    </w:p>
    <w:p>
      <w:r>
        <w:t>North Dakota Population Projections</w:t>
      </w:r>
    </w:p>
    <w:p>
      <w:r>
        <w:t>2025 to 2055</w:t>
      </w:r>
    </w:p>
    <w:p>
      <w:r>
        <w:t>Prepared by the North Dakota Department of Commerce - State Data Center</w:t>
      </w:r>
    </w:p>
    <w:p>
      <w:pPr>
        <w:pStyle w:val="Heading2"/>
      </w:pPr>
      <w:r>
        <w:t>Executive Summary</w:t>
      </w:r>
    </w:p>
    <w:p>
      <w:r>
        <w:t>North Dakota's population is projected under a single public baseline path to help public</w:t>
      </w:r>
    </w:p>
    <w:p>
      <w:r>
        <w:t>agencies, communities, and residents plan for future needs. The Baseline (CBO-Adjusted) scenario</w:t>
      </w:r>
    </w:p>
    <w:p>
      <w:r>
        <w:t>applies the U.S. Congressional Budget Office (CBO) January 2026 current-policy outlook: a</w:t>
      </w:r>
    </w:p>
    <w:p>
      <w:r>
        <w:t>front-loaded reduction in net migration and a 5% reduction in fertility, layered onto a standard</w:t>
      </w:r>
    </w:p>
    <w:p>
      <w:r>
        <w:t>cohort-component projection.</w:t>
      </w:r>
    </w:p>
    <w:p>
      <w:r>
        <w:t xml:space="preserve">Under this baseline, the state's population is projected to move from about </w:t>
      </w:r>
      <w:r>
        <w:rPr>
          <w:b/>
        </w:rPr>
        <w:t>799,400 in 2025</w:t>
      </w:r>
      <w:r>
        <w:t xml:space="preserve"> to</w:t>
      </w:r>
    </w:p>
    <w:p>
      <w:r>
        <w:t xml:space="preserve">about </w:t>
      </w:r>
      <w:r>
        <w:rPr>
          <w:b/>
        </w:rPr>
        <w:t>889,000 in 2055</w:t>
      </w:r>
      <w:r>
        <w:t xml:space="preserve"> — an increase of roughly </w:t>
      </w:r>
      <w:r>
        <w:rPr>
          <w:b/>
        </w:rPr>
        <w:t>11%</w:t>
      </w:r>
      <w:r>
        <w:t xml:space="preserve"> over thirty years. The path is not a</w:t>
      </w:r>
    </w:p>
    <w:p>
      <w:r>
        <w:t>straight line: it dips slightly in the first few years, reaching a low of about **787,000 around</w:t>
      </w:r>
    </w:p>
    <w:p>
      <w:r>
        <w:t>2028**, before returning to steady growth. That early dip reflects the CBO assumption that the</w:t>
      </w:r>
    </w:p>
    <w:p>
      <w:r>
        <w:t>recent surge in migration softens under current federal policy; it is an intended feature of the</w:t>
      </w:r>
    </w:p>
    <w:p>
      <w:r>
        <w:t>assumption, not a downturn the model discovered on its own.</w:t>
      </w:r>
    </w:p>
    <w:p>
      <w:r>
        <w:t>Growth is concentrated in a small number of counties. **Thirty-seven of North Dakota's 53 counties</w:t>
      </w:r>
    </w:p>
    <w:p>
      <w:r>
        <w:t>are projected to lose population** over the horizon, while most of the statewide gain occurs in and</w:t>
      </w:r>
    </w:p>
    <w:p>
      <w:r>
        <w:t>around Fargo, Bismarck, and the Bakken/Williston area. The population also shifts toward older age</w:t>
      </w:r>
    </w:p>
    <w:p>
      <w:r>
        <w:t>groups statewide.</w:t>
      </w:r>
    </w:p>
    <w:p>
      <w:r>
        <w:t>Suggested exhibit: key-number callout with the 2025 population and the 2055 baseline population,</w:t>
      </w:r>
    </w:p>
    <w:p>
      <w:r>
        <w:t>with the 2028 low noted.</w:t>
      </w:r>
    </w:p>
    <w:p>
      <w:pPr>
        <w:pStyle w:val="Heading3"/>
      </w:pPr>
      <w:r>
        <w:t>Required baseline caveats (place near the first statewide exhibit)</w:t>
      </w:r>
    </w:p>
    <w:p>
      <w:r>
        <w:t>These four caveats must travel with the statewide numbers (ADR-042):</w:t>
      </w:r>
    </w:p>
    <w:p>
      <w:pPr>
        <w:pStyle w:val="ListBullet"/>
      </w:pPr>
      <w:r>
        <w:rPr>
          <w:b/>
        </w:rPr>
        <w:t>Migration dependency.</w:t>
      </w:r>
      <w:r>
        <w:t xml:space="preserve"> About 91% of North Dakota's recent net migration (2023-2025) is</w:t>
      </w:r>
      <w:r>
        <w:t xml:space="preserve"> </w:t>
      </w:r>
      <w:r>
        <w:t>international. The baseline assumes the CBO current-policy immigration path; actual migration</w:t>
      </w:r>
      <w:r>
        <w:t xml:space="preserve"> </w:t>
      </w:r>
      <w:r>
        <w:t>will depend on federal policy, global conditions, and economic factors.</w:t>
      </w:r>
    </w:p>
    <w:p>
      <w:pPr>
        <w:pStyle w:val="ListBullet"/>
      </w:pPr>
      <w:r>
        <w:rPr>
          <w:b/>
        </w:rPr>
        <w:t>Geographic concentration.</w:t>
      </w:r>
      <w:r>
        <w:t xml:space="preserve"> More than three-quarters of all projected population gains occur</w:t>
      </w:r>
      <w:r>
        <w:t xml:space="preserve"> </w:t>
      </w:r>
      <w:r>
        <w:t>in just three counties — Cass, Williams, and Burleigh — and 37 of 53 counties are projected to</w:t>
      </w:r>
      <w:r>
        <w:t xml:space="preserve"> </w:t>
      </w:r>
      <w:r>
        <w:t>decline. Statewide totals do not reflect uniform growth across the state.</w:t>
      </w:r>
    </w:p>
    <w:p>
      <w:pPr>
        <w:pStyle w:val="ListBullet"/>
      </w:pPr>
      <w:r>
        <w:rPr>
          <w:b/>
        </w:rPr>
        <w:t>A deliberately moderated path.</w:t>
      </w:r>
      <w:r>
        <w:t xml:space="preserve"> The public baseline grows at roughly 0.36% per year — well</w:t>
      </w:r>
      <w:r>
        <w:t xml:space="preserve"> </w:t>
      </w:r>
      <w:r>
        <w:t>below the recent migration-driven pace — because it assumes the recent surge softens under</w:t>
      </w:r>
      <w:r>
        <w:t xml:space="preserve"> </w:t>
      </w:r>
      <w:r>
        <w:t>current federal policy. Long-range population paths are uncertain and depend heavily on</w:t>
      </w:r>
      <w:r>
        <w:t xml:space="preserve"> </w:t>
      </w:r>
      <w:r>
        <w:t>assumptions that can change.</w:t>
      </w:r>
    </w:p>
    <w:p>
      <w:pPr>
        <w:pStyle w:val="ListBullet"/>
      </w:pPr>
      <w:r>
        <w:rPr>
          <w:b/>
        </w:rPr>
        <w:t>Projection, not forecast.</w:t>
      </w:r>
      <w:r>
        <w:t xml:space="preserve"> This is a projection conditioned on stated assumptions, not a</w:t>
      </w:r>
      <w:r>
        <w:t xml:space="preserve"> </w:t>
      </w:r>
      <w:r>
        <w:t>forecast. It shows one modeled outcome, not a guarantee.</w:t>
      </w:r>
    </w:p>
    <w:p>
      <w:pPr>
        <w:pStyle w:val="Heading2"/>
      </w:pPr>
      <w:r>
        <w:t>How To Read These Projections</w:t>
      </w:r>
    </w:p>
    <w:p>
      <w:r>
        <w:t>These are scenario projections. The public package presents one path: the Baseline (CBO-Adjusted).</w:t>
      </w:r>
    </w:p>
    <w:p>
      <w:r>
        <w:t>Use it as a planning path, not as a guaranteed future.</w:t>
      </w:r>
    </w:p>
    <w:p>
      <w:r>
        <w:t>The baseline reflects the CBO additive migration adjustment and the 5% fertility reduction. Other</w:t>
      </w:r>
    </w:p>
    <w:p>
      <w:r>
        <w:t>sensitivity paths exist for internal model testing, but they are not maintained for this release</w:t>
      </w:r>
    </w:p>
    <w:p>
      <w:r>
        <w:t>and are not part of the public package.</w:t>
      </w:r>
    </w:p>
    <w:p>
      <w:r>
        <w:t>Because the baseline is an assumption-based projection, the numbers should be used as planning</w:t>
      </w:r>
    </w:p>
    <w:p>
      <w:r>
        <w:t>tools rather than as a single fixed outcome. The point is not certainty; the point is to show how</w:t>
      </w:r>
    </w:p>
    <w:p>
      <w:r>
        <w:t>the population path behaves under the public baseline assumptions.</w:t>
      </w:r>
    </w:p>
    <w:p>
      <w:r>
        <w:t>Suggested exhibit: one-row baseline assumptions box (base year, fertility, migration, mortality).</w:t>
      </w:r>
    </w:p>
    <w:p>
      <w:pPr>
        <w:pStyle w:val="Heading2"/>
      </w:pPr>
      <w:r>
        <w:t>Statewide Population Outlook</w:t>
      </w:r>
    </w:p>
    <w:p>
      <w:r>
        <w:t>In the public baseline, North Dakota's population declines slightly for the first few years, reaches</w:t>
      </w:r>
    </w:p>
    <w:p>
      <w:r>
        <w:t>a low of about 787,000 around 2028, and then grows steadily to about 889,000 by 2055. The early dip</w:t>
      </w:r>
    </w:p>
    <w:p>
      <w:r>
        <w:t>is the most aggressive part of the CBO migration assumption (the reduction is largest in 2025-2026</w:t>
      </w:r>
    </w:p>
    <w:p>
      <w:r>
        <w:t>and eases through 2029); after that, projected migration recovers to a moderate, gradually</w:t>
      </w:r>
    </w:p>
    <w:p>
      <w:r>
        <w:t>declining positive level and natural increase (births exceeding deaths) carries the long-run trend.</w:t>
      </w:r>
    </w:p>
    <w:p>
      <w:r>
        <w:t>This is a projection path, not a guaranteed future. It shows what is projected to happen if the</w:t>
      </w:r>
    </w:p>
    <w:p>
      <w:r>
        <w:t>Baseline (CBO-Adjusted) assumptions hold over time.</w:t>
      </w:r>
    </w:p>
    <w:p>
      <w:r>
        <w:t>Suggested exhibit: 2025-2055 baseline line chart, with the 2028 low labeled.</w:t>
      </w:r>
    </w:p>
    <w:p>
      <w:pPr>
        <w:pStyle w:val="Heading3"/>
      </w:pPr>
      <w:r>
        <w:t>How accurate have past projections been?</w:t>
      </w:r>
    </w:p>
    <w:p>
      <w:r>
        <w:t>No projection is a guarantee, but the track record offers useful context. The State Data Center's</w:t>
      </w:r>
    </w:p>
    <w:p>
      <w:r>
        <w:t xml:space="preserve">previous (2018) projection came within about </w:t>
      </w:r>
      <w:r>
        <w:rPr>
          <w:b/>
        </w:rPr>
        <w:t>0.7%</w:t>
      </w:r>
      <w:r>
        <w:t xml:space="preserve"> of the 2020 census count for the state — close,</w:t>
      </w:r>
    </w:p>
    <w:p>
      <w:r>
        <w:t>because two years is a short horizon. In our own back-testing, when the current model is launched</w:t>
      </w:r>
    </w:p>
    <w:p>
      <w:r>
        <w:t xml:space="preserve">from recent years it tracks the statewide total to within roughly </w:t>
      </w:r>
      <w:r>
        <w:rPr>
          <w:b/>
        </w:rPr>
        <w:t>1% over one year</w:t>
      </w:r>
      <w:r>
        <w:t xml:space="preserve"> and a few</w:t>
      </w:r>
    </w:p>
    <w:p>
      <w:r>
        <w:t>percent over about a decade. Accuracy decreases at longer horizons and for the smallest counties,</w:t>
      </w:r>
    </w:p>
    <w:p>
      <w:r>
        <w:t xml:space="preserve">and </w:t>
      </w:r>
      <w:r>
        <w:rPr>
          <w:b/>
        </w:rPr>
        <w:t>no method can anticipate structural breaks</w:t>
      </w:r>
      <w:r>
        <w:t xml:space="preserve"> such as an oil boom or a pandemic. The honest</w:t>
      </w:r>
    </w:p>
    <w:p>
      <w:r>
        <w:t>summary: near-term statewide figures are reliable; long-range and small-county figures carry real</w:t>
      </w:r>
    </w:p>
    <w:p>
      <w:r>
        <w:t>uncertainty and should be read as planning ranges, not point predictions.</w:t>
      </w:r>
    </w:p>
    <w:p>
      <w:pPr>
        <w:pStyle w:val="Heading2"/>
      </w:pPr>
      <w:r>
        <w:t>Regional Population Change</w:t>
      </w:r>
    </w:p>
    <w:p>
      <w:r>
        <w:t>Regional patterns differ sharply in the baseline. Growth is concentrated in the Fargo, Bismarck,</w:t>
      </w:r>
    </w:p>
    <w:p>
      <w:r>
        <w:t>and Williston/Bakken areas, while many regions in the eastern and central-rural parts of the state</w:t>
      </w:r>
    </w:p>
    <w:p>
      <w:r>
        <w:t>are projected to decline or stay roughly flat.</w:t>
      </w:r>
    </w:p>
    <w:p>
      <w:r>
        <w:t>These regional differences are why statewide totals need local context. A statewide increase can</w:t>
      </w:r>
    </w:p>
    <w:p>
      <w:r>
        <w:t>occur while most counties — and several regions — experience population decline.</w:t>
      </w:r>
    </w:p>
    <w:p>
      <w:r>
        <w:t>Suggested exhibit: region map paired with a baseline regional change bar chart.</w:t>
      </w:r>
    </w:p>
    <w:p>
      <w:pPr>
        <w:pStyle w:val="Heading2"/>
      </w:pPr>
      <w:r>
        <w:t>County Growth And Concentration</w:t>
      </w:r>
    </w:p>
    <w:p>
      <w:r>
        <w:t>County growth is highly concentrated. A small group of counties accounts for nearly all projected</w:t>
      </w:r>
    </w:p>
    <w:p>
      <w:r>
        <w:t>gains, while the majority of counties decline:</w:t>
      </w:r>
    </w:p>
    <w:p>
      <w:pPr>
        <w:pStyle w:val="ListBullet"/>
      </w:pPr>
      <w:r>
        <w:rPr>
          <w:b/>
        </w:rPr>
        <w:t>Cass County (Fargo)</w:t>
      </w:r>
      <w:r>
        <w:t xml:space="preserve"> is projected to grow about 32%, to roughly 266,000 by 2055 — the single</w:t>
      </w:r>
      <w:r>
        <w:t xml:space="preserve"> </w:t>
      </w:r>
      <w:r>
        <w:t>largest source of statewide growth.</w:t>
      </w:r>
    </w:p>
    <w:p>
      <w:pPr>
        <w:pStyle w:val="ListBullet"/>
      </w:pPr>
      <w:r>
        <w:rPr>
          <w:b/>
        </w:rPr>
        <w:t>Williams County (Williston)</w:t>
      </w:r>
      <w:r>
        <w:t xml:space="preserve"> is projected to grow about 52%, to roughly 63,000. This continues</w:t>
      </w:r>
      <w:r>
        <w:t xml:space="preserve"> </w:t>
      </w:r>
      <w:r>
        <w:t>— at a *moderated* pace — the energy-era growth of the 2010s. The projection assumes Williams'</w:t>
      </w:r>
      <w:r>
        <w:t xml:space="preserve"> </w:t>
      </w:r>
      <w:r>
        <w:t xml:space="preserve">net in-migration runs at roughly </w:t>
      </w:r>
      <w:r>
        <w:rPr>
          <w:b/>
        </w:rPr>
        <w:t>half</w:t>
      </w:r>
      <w:r>
        <w:t xml:space="preserve"> its recent observed rate; most of the projected growth</w:t>
      </w:r>
      <w:r>
        <w:t xml:space="preserve"> </w:t>
      </w:r>
      <w:r>
        <w:t>is births exceeding deaths in an unusually young population, not new arrivals. Williams is one of</w:t>
      </w:r>
      <w:r>
        <w:t xml:space="preserve"> </w:t>
      </w:r>
      <w:r>
        <w:t>a group of young Bakken oil counties (with McKenzie and Billings) showing similar patterns.</w:t>
      </w:r>
    </w:p>
    <w:p>
      <w:pPr>
        <w:pStyle w:val="ListBullet"/>
      </w:pPr>
      <w:r>
        <w:rPr>
          <w:b/>
        </w:rPr>
        <w:t>Burleigh County (Bismarck)</w:t>
      </w:r>
      <w:r>
        <w:t xml:space="preserve"> is projected to grow about 15%, to roughly 119,000.</w:t>
      </w:r>
    </w:p>
    <w:p>
      <w:r>
        <w:t>Two large counties are projected to decline, and both are worth explaining plainly:</w:t>
      </w:r>
    </w:p>
    <w:p>
      <w:pPr>
        <w:pStyle w:val="ListBullet"/>
      </w:pPr>
      <w:r>
        <w:rPr>
          <w:b/>
        </w:rPr>
        <w:t>Ward County (Minot)</w:t>
      </w:r>
      <w:r>
        <w:t xml:space="preserve"> is projected to decline about 13%, to roughly 59,000. This follows the</w:t>
      </w:r>
      <w:r>
        <w:t xml:space="preserve"> </w:t>
      </w:r>
      <w:r>
        <w:t>data: Ward has seen net out-migration in every year since 2020. The institutional anchors (Minot</w:t>
      </w:r>
      <w:r>
        <w:t xml:space="preserve"> </w:t>
      </w:r>
      <w:r>
        <w:t>Air Force Base, Minot State University) are held steady in the model, so the decline is in the</w:t>
      </w:r>
      <w:r>
        <w:t xml:space="preserve"> </w:t>
      </w:r>
      <w:r>
        <w:t>household and working-age population.</w:t>
      </w:r>
    </w:p>
    <w:p>
      <w:pPr>
        <w:pStyle w:val="ListBullet"/>
      </w:pPr>
      <w:r>
        <w:rPr>
          <w:b/>
        </w:rPr>
        <w:t>Grand Forks County</w:t>
      </w:r>
      <w:r>
        <w:t xml:space="preserve"> is projected to be roughly flat to slightly down (about -4%, to roughly</w:t>
      </w:r>
      <w:r>
        <w:t xml:space="preserve"> </w:t>
      </w:r>
      <w:r>
        <w:t>71,000). Grand Forks' recent growth came largely from international migration — exactly the</w:t>
      </w:r>
      <w:r>
        <w:t xml:space="preserve"> </w:t>
      </w:r>
      <w:r>
        <w:t>component the CBO current-policy assumption reduces — so the shallow decline mostly reflects that</w:t>
      </w:r>
      <w:r>
        <w:t xml:space="preserve"> </w:t>
      </w:r>
      <w:r>
        <w:t>stated assumption rather than a county-specific judgment.</w:t>
      </w:r>
    </w:p>
    <w:p>
      <w:r>
        <w:t>The county pattern is one of the most important messages for public users: the statewide baseline</w:t>
      </w:r>
    </w:p>
    <w:p>
      <w:r>
        <w:t>total does not describe the experience of every county.</w:t>
      </w:r>
    </w:p>
    <w:p>
      <w:r>
        <w:t>Suggested exhibit: top-growth and largest-decline county bars, or a county map with a compact</w:t>
      </w:r>
    </w:p>
    <w:p>
      <w:r>
        <w:t>ranked table.</w:t>
      </w:r>
    </w:p>
    <w:p>
      <w:pPr>
        <w:pStyle w:val="Heading2"/>
      </w:pPr>
      <w:r>
        <w:t>Age Structure</w:t>
      </w:r>
    </w:p>
    <w:p>
      <w:r>
        <w:t>The baseline shows different patterns by age group. The population age 65 and older grows as a share</w:t>
      </w:r>
    </w:p>
    <w:p>
      <w:r>
        <w:t>of the total (the statewide median age rises from about 35 in 2025 to about 40 by 2055), while the</w:t>
      </w:r>
    </w:p>
    <w:p>
      <w:r>
        <w:t>under-18 share slowly declines and the working-age population grows modestly.</w:t>
      </w:r>
    </w:p>
    <w:p>
      <w:r>
        <w:t>These shifts have practical implications. A larger older population affects health care, long-term</w:t>
      </w:r>
    </w:p>
    <w:p>
      <w:r>
        <w:t>care, transportation, housing, and community services. Working-age growth affects labor supply and</w:t>
      </w:r>
    </w:p>
    <w:p>
      <w:r>
        <w:t>economic planning. A comparatively flat under-18 population affects school and family-service</w:t>
      </w:r>
    </w:p>
    <w:p>
      <w:r>
        <w:t>planning differently across counties.</w:t>
      </w:r>
    </w:p>
    <w:p>
      <w:r>
        <w:t>Suggested exhibit: age-group trend chart with under 18, 18-64, 65+, and 85+; and a 2025-vs-2055</w:t>
      </w:r>
    </w:p>
    <w:p>
      <w:r>
        <w:t>population pyramid.</w:t>
      </w:r>
    </w:p>
    <w:p>
      <w:pPr>
        <w:pStyle w:val="Heading2"/>
      </w:pPr>
      <w:r>
        <w:t>Methodology Summary</w:t>
      </w:r>
    </w:p>
    <w:p>
      <w:r>
        <w:t>The projections use a cohort-component method. The model begins with a base population by age, sex,</w:t>
      </w:r>
    </w:p>
    <w:p>
      <w:r>
        <w:t>race and ethnicity, and geography, then advances the population year by year using fertility,</w:t>
      </w:r>
    </w:p>
    <w:p>
      <w:r>
        <w:t>mortality, and migration assumptions.</w:t>
      </w:r>
    </w:p>
    <w:p>
      <w:r>
        <w:t>The public baseline uses Census Population Estimates Program data (Vintage 2025 base of about</w:t>
      </w:r>
    </w:p>
    <w:p>
      <w:r>
        <w:t>799,400), North Dakota and national fertility inputs reduced 5% under the CBO current-policy</w:t>
      </w:r>
    </w:p>
    <w:p>
      <w:r>
        <w:t>outlook, survival assumptions with gradual mortality improvement, and residual migration rates with</w:t>
      </w:r>
    </w:p>
    <w:p>
      <w:r>
        <w:t>the CBO additive migration adjustment applied on a front-loaded schedule. State totals are built</w:t>
      </w:r>
    </w:p>
    <w:p>
      <w:r>
        <w:t>from the 53 county projections so that county, regional, and state outputs remain internally</w:t>
      </w:r>
    </w:p>
    <w:p>
      <w:r>
        <w:t>consistent.</w:t>
      </w:r>
    </w:p>
    <w:p>
      <w:pPr>
        <w:pStyle w:val="Heading2"/>
      </w:pPr>
      <w:r>
        <w:t>Cautions And Data Availability</w:t>
      </w:r>
    </w:p>
    <w:p>
      <w:r>
        <w:t>Long-term population projections are sensitive to migration. North Dakota's recent growth has</w:t>
      </w:r>
    </w:p>
    <w:p>
      <w:r>
        <w:t>depended heavily on migration — much of it international — and those patterns can change with</w:t>
      </w:r>
    </w:p>
    <w:p>
      <w:r>
        <w:t>federal policy, global conditions, economic cycles, housing availability, and local labor demand.</w:t>
      </w:r>
    </w:p>
    <w:p>
      <w:r>
        <w:t>Growth is also geographically concentrated. In the baseline, a small group of counties accounts for</w:t>
      </w:r>
    </w:p>
    <w:p>
      <w:r>
        <w:t>nearly all gross growth, while 37 of 53 counties decline. Users should review county and regional</w:t>
      </w:r>
    </w:p>
    <w:p>
      <w:r>
        <w:t>detail instead of relying only on statewide totals.</w:t>
      </w:r>
    </w:p>
    <w:p>
      <w:r>
        <w:t>The public download package includes one consolidated Excel workbook and one consolidated CSV</w:t>
      </w:r>
    </w:p>
    <w:p>
      <w:r>
        <w:t>covering the state, regions, and counties, 2025-2055. City and place projections are not included</w:t>
      </w:r>
    </w:p>
    <w:p>
      <w:r>
        <w:t>in the public release.</w:t>
      </w:r>
    </w:p>
    <w:p>
      <w:pPr>
        <w:pStyle w:val="Heading2"/>
      </w:pPr>
      <w:r>
        <w:t>Contact And Downloads</w:t>
      </w:r>
    </w:p>
    <w:p>
      <w:r>
        <w:t>Full data downloads (Excel workbook and CSV) with exact annual values for the state, all eight</w:t>
      </w:r>
    </w:p>
    <w:p>
      <w:r>
        <w:t>planning regions, and all 53 counties are available from the North Dakota State Data Center:</w:t>
      </w:r>
    </w:p>
    <w:p>
      <w:pPr>
        <w:pStyle w:val="ListBullet"/>
      </w:pPr>
      <w:r>
        <w:t>Website: [PLACEHOLDER — public projections landing page URL]</w:t>
      </w:r>
    </w:p>
    <w:p>
      <w:pPr>
        <w:pStyle w:val="ListBullet"/>
      </w:pPr>
      <w:r>
        <w:t>Direct downloads: [PLACEHOLDER — Excel workbook link], [PLACEHOLDER — CSV link]</w:t>
      </w:r>
    </w:p>
    <w:p>
      <w:pPr>
        <w:pStyle w:val="ListBullet"/>
      </w:pPr>
      <w:r>
        <w:t>Questions and methodology: [PLACEHOLDER — State Data Center contact email]</w:t>
      </w:r>
    </w:p>
    <w:p>
      <w:pPr>
        <w:pStyle w:val="ListBullet"/>
      </w:pPr>
      <w:r>
        <w:t>North Dakota Department of Commerce, State Data Center, [PLACEHOLDER — phone]</w:t>
      </w:r>
    </w:p>
    <w:p>
      <w:r>
        <w:t>The PDF presents rounded values at key years for readability; the downloads carry the exact annual</w:t>
      </w:r>
    </w:p>
    <w:p>
      <w:r>
        <w:t>figures. Where a PDF number and a download number appear to differ, the download value is</w:t>
      </w:r>
    </w:p>
    <w:p>
      <w:r>
        <w:t>authoritative.</w:t>
      </w:r>
    </w:p>
    <w:p>
      <w:r>
        <w:t>(Marketing: replace each [PLACEHOLDER] with the live release URLs and the current State Data Center</w:t>
      </w:r>
    </w:p>
    <w:p>
      <w:r>
        <w:t>contact block before publication.)</w:t>
      </w:r>
    </w:p>
    <w:p>
      <w:pPr>
        <w:pStyle w:val="Heading2"/>
      </w:pPr>
      <w:r>
        <w:t>County Appendix Intro</w:t>
      </w:r>
    </w:p>
    <w:p>
      <w:r>
        <w:t>The county appendix provides Baseline (CBO-Adjusted) values at selected years for all 53 North</w:t>
      </w:r>
    </w:p>
    <w:p>
      <w:r>
        <w:t>Dakota counties. Exact annual values live in the public download files.</w:t>
      </w:r>
    </w:p>
    <w:p>
      <w:r>
        <w:t>Use key years only in the PDF (2025, 2030, 2035, 2040, 2045, 2050, 2055) so the appendix remains</w:t>
      </w:r>
    </w:p>
    <w:p>
      <w:r>
        <w:t>readable. The downloads provide the full annual data.</w:t>
      </w:r>
    </w:p>
    <w:p>
      <w:r>
        <w:br w:type="page"/>
      </w:r>
    </w:p>
    <w:p>
      <w:pPr>
        <w:pStyle w:val="Heading1"/>
      </w:pPr>
      <w:r>
        <w:t>3. PDF Report Storyboard</w:t>
      </w:r>
    </w:p>
    <w:p>
      <w:r>
        <w:t>Target length: 12-16 pages.</w:t>
      </w:r>
    </w:p>
    <w:p>
      <w:r>
        <w:t>Audience: public stakeholders, state and local planners, elected officials,</w:t>
      </w:r>
    </w:p>
    <w:p>
      <w:r>
        <w:t>agency staff, media, and interested residents.</w:t>
      </w:r>
    </w:p>
    <w:p>
      <w:r>
        <w:t>Use the 2024 SDC PDF as the pacing model: a compact public report with a clear</w:t>
      </w:r>
    </w:p>
    <w:p>
      <w:r>
        <w:t>statewide story, a short methodology section, regional and county context, and</w:t>
      </w:r>
    </w:p>
    <w:p>
      <w:r>
        <w:t>a county appendix. The 2026 report should keep that approachable structure</w:t>
      </w:r>
    </w:p>
    <w:p>
      <w:r>
        <w:t>while staying baseline-only in the public package.</w:t>
      </w:r>
    </w:p>
    <w:p>
      <w:pPr>
        <w:pStyle w:val="Heading2"/>
      </w:pPr>
      <w:r>
        <w:t>Story Arc</w:t>
      </w:r>
    </w:p>
    <w:p>
      <w:r>
        <w:t>The report should answer five reader questions:</w:t>
      </w:r>
    </w:p>
    <w:p>
      <w:pPr>
        <w:pStyle w:val="ListBullet"/>
      </w:pPr>
      <w:r>
        <w:t>What do the 2026 baseline projections say about North Dakota's statewide population?</w:t>
      </w:r>
    </w:p>
    <w:p>
      <w:pPr>
        <w:pStyle w:val="ListBullet"/>
      </w:pPr>
      <w:r>
        <w:t>What assumptions shape the public baseline?</w:t>
      </w:r>
    </w:p>
    <w:p>
      <w:pPr>
        <w:pStyle w:val="ListBullet"/>
      </w:pPr>
      <w:r>
        <w:t>Where is growth concentrated, and where is decline projected?</w:t>
      </w:r>
    </w:p>
    <w:p>
      <w:pPr>
        <w:pStyle w:val="ListBullet"/>
      </w:pPr>
      <w:r>
        <w:t>How does the age structure change?</w:t>
      </w:r>
    </w:p>
    <w:p>
      <w:pPr>
        <w:pStyle w:val="ListBullet"/>
      </w:pPr>
      <w:r>
        <w:t>Where can users find exact values after reading the PDF?</w:t>
      </w:r>
    </w:p>
    <w:p>
      <w:r>
        <w:t>The Baseline (CBO-Adjusted) scenario carries the main narrative thread. The</w:t>
      </w:r>
    </w:p>
    <w:p>
      <w:r>
        <w:t>unadjusted trend-continuation path is internal only, and the restricted/high</w:t>
      </w:r>
    </w:p>
    <w:p>
      <w:r>
        <w:t>sensitivities are not part of the public package.</w:t>
      </w:r>
    </w:p>
    <w:p>
      <w:pPr>
        <w:pStyle w:val="Heading2"/>
      </w:pPr>
      <w:r>
        <w:t>Page-By-Page Storyboard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Reader takeaway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Likely content and exhibit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This is the official public projection report for 2025-2055.</w:t>
            </w:r>
          </w:p>
        </w:tc>
        <w:tc>
          <w:tcPr>
            <w:tcW w:type="dxa" w:w="2880"/>
          </w:tcPr>
          <w:p>
            <w:r>
              <w:t>Cover, horizon, agency attribution, North Dakota map or clean population graphic.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report is short enough to navigate quickly.</w:t>
            </w:r>
          </w:p>
        </w:tc>
        <w:tc>
          <w:tcPr>
            <w:tcW w:type="dxa" w:w="2880"/>
          </w:tcPr>
          <w:p>
            <w:r>
              <w:t>Table of contents matching the 2024 report style.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Statewide growth in the public baseline is the lead story.</w:t>
            </w:r>
          </w:p>
        </w:tc>
        <w:tc>
          <w:tcPr>
            <w:tcW w:type="dxa" w:w="2880"/>
          </w:tcPr>
          <w:p>
            <w:r>
              <w:t>Executive summary with key-number callout: 2025 population and 2055 baseline.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The projections are conditional planning assumptions.</w:t>
            </w:r>
          </w:p>
        </w:tc>
        <w:tc>
          <w:tcPr>
            <w:tcW w:type="dxa" w:w="2880"/>
          </w:tcPr>
          <w:p>
            <w:r>
              <w:t>Plain-language baseline description covering the CBO additive migration adjustment and the -5% fertility adjustment.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statewide path is easier to read as a single baseline line.</w:t>
            </w:r>
          </w:p>
        </w:tc>
        <w:tc>
          <w:tcPr>
            <w:tcW w:type="dxa" w:w="2880"/>
          </w:tcPr>
          <w:p>
            <w:r>
              <w:t>2025-2055 line chart with a short caveat that this is a projection, not a guaranteed future.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Key years make the public baseline easier to compare.</w:t>
            </w:r>
          </w:p>
        </w:tc>
        <w:tc>
          <w:tcPr>
            <w:tcW w:type="dxa" w:w="2880"/>
          </w:tcPr>
          <w:p>
            <w:r>
              <w:t>Baseline table for 2025, 2030, 2035, 2040, 2045, 2050, and 2055.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Regional change is uneven.</w:t>
            </w:r>
          </w:p>
        </w:tc>
        <w:tc>
          <w:tcPr>
            <w:tcW w:type="dxa" w:w="2880"/>
          </w:tcPr>
          <w:p>
            <w:r>
              <w:t>Eight-region map plus baseline change bars.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County growth is concentrated in a smaller group of counties.</w:t>
            </w:r>
          </w:p>
        </w:tc>
        <w:tc>
          <w:tcPr>
            <w:tcW w:type="dxa" w:w="2880"/>
          </w:tcPr>
          <w:p>
            <w:r>
              <w:t>Top-growth and largest-decline county bars, or a county map with a compact ranked table.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Age groups do not move in the same direction.</w:t>
            </w:r>
          </w:p>
        </w:tc>
        <w:tc>
          <w:tcPr>
            <w:tcW w:type="dxa" w:w="2880"/>
          </w:tcPr>
          <w:p>
            <w:r>
              <w:t>Trend chart for under 18, 18-64, 65+, and 85+.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The age structure is visibly shifting toward older residents.</w:t>
            </w:r>
          </w:p>
        </w:tc>
        <w:tc>
          <w:tcPr>
            <w:tcW w:type="dxa" w:w="2880"/>
          </w:tcPr>
          <w:p>
            <w:r>
              <w:t>Population pyramid: state 2025 vs 2055 baseline (side-by-side, overlaid, or stacked) with a short sex-ratio callout. Race/ethnicity only if final review supports a simple public display.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The method is standard and understandable.</w:t>
            </w:r>
          </w:p>
        </w:tc>
        <w:tc>
          <w:tcPr>
            <w:tcW w:type="dxa" w:w="2880"/>
          </w:tcPr>
          <w:p>
            <w:r>
              <w:t>Plain-language cohort-component method box covering base data, fertility, mortality, migration, and the baseline construction.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Readers need cautions and download guidance before using the numbers.</w:t>
            </w:r>
          </w:p>
        </w:tc>
        <w:tc>
          <w:tcPr>
            <w:tcW w:type="dxa" w:w="2880"/>
          </w:tcPr>
          <w:p>
            <w:r>
              <w:t>Migration sensitivity, geographic concentration, city/place exclusion, and public Excel/CSV description.</w:t>
            </w:r>
          </w:p>
        </w:tc>
      </w:tr>
      <w:tr>
        <w:tc>
          <w:tcPr>
            <w:tcW w:type="dxa" w:w="2880"/>
          </w:tcPr>
          <w:p>
            <w:r>
              <w:t>13-16</w:t>
            </w:r>
          </w:p>
        </w:tc>
        <w:tc>
          <w:tcPr>
            <w:tcW w:type="dxa" w:w="2880"/>
          </w:tcPr>
          <w:p>
            <w:r>
              <w:t>County users can find their county without opening the workbook.</w:t>
            </w:r>
          </w:p>
        </w:tc>
        <w:tc>
          <w:tcPr>
            <w:tcW w:type="dxa" w:w="2880"/>
          </w:tcPr>
          <w:p>
            <w:r>
              <w:t>Baseline key-year county appendix; exact annual values live in downloads.</w:t>
            </w:r>
          </w:p>
        </w:tc>
      </w:tr>
    </w:tbl>
    <w:p/>
    <w:p>
      <w:pPr>
        <w:pStyle w:val="Heading2"/>
      </w:pPr>
      <w:r>
        <w:t>Exhibits To Prepare</w:t>
      </w:r>
    </w:p>
    <w:p>
      <w:pPr>
        <w:pStyle w:val="ListBullet"/>
      </w:pPr>
      <w:r>
        <w:t>State population by year, 2025-2055, baseline only.</w:t>
      </w:r>
    </w:p>
    <w:p>
      <w:pPr>
        <w:pStyle w:val="ListBullet"/>
      </w:pPr>
      <w:r>
        <w:t>Baseline key-year table for 2025, 2030, 2035, 2040, 2045, 2050, and 2055.</w:t>
      </w:r>
    </w:p>
    <w:p>
      <w:pPr>
        <w:pStyle w:val="ListBullet"/>
      </w:pPr>
      <w:r>
        <w:t>Region map and baseline regional change chart.</w:t>
      </w:r>
    </w:p>
    <w:p>
      <w:pPr>
        <w:pStyle w:val="ListBullet"/>
      </w:pPr>
      <w:r>
        <w:t>Top-growth and largest-decline county exhibit.</w:t>
      </w:r>
    </w:p>
    <w:p>
      <w:pPr>
        <w:pStyle w:val="ListBullet"/>
      </w:pPr>
      <w:r>
        <w:t>Age-group trend chart for under 18, 18-64, 65+, and 85+.</w:t>
      </w:r>
    </w:p>
    <w:p>
      <w:pPr>
        <w:pStyle w:val="ListBullet"/>
      </w:pPr>
      <w:r>
        <w:t>Population pyramid for state 2025 vs 2055 baseline.</w:t>
      </w:r>
    </w:p>
    <w:p>
      <w:pPr>
        <w:pStyle w:val="ListBullet"/>
      </w:pPr>
      <w:r>
        <w:t>County appendix table with selected baseline years.</w:t>
      </w:r>
    </w:p>
    <w:p>
      <w:r>
        <w:t>If space allows, add a small callout showing the share of statewide growth</w:t>
      </w:r>
    </w:p>
    <w:p>
      <w:r>
        <w:t>concentrated in the largest growth counties. Avoid full annual county tables,</w:t>
      </w:r>
    </w:p>
    <w:p>
      <w:r>
        <w:t>city/place tables, and detailed age-sex tables in the PDF.</w:t>
      </w:r>
    </w:p>
    <w:p>
      <w:pPr>
        <w:pStyle w:val="Heading2"/>
      </w:pPr>
      <w:r>
        <w:t>Relationship To The 2024 PDF</w:t>
      </w:r>
    </w:p>
    <w:p>
      <w:r>
        <w:t>Keep:</w:t>
      </w:r>
    </w:p>
    <w:p>
      <w:pPr>
        <w:pStyle w:val="ListBullet"/>
      </w:pPr>
      <w:r>
        <w:t>Sixteen-page public-report scale.</w:t>
      </w:r>
    </w:p>
    <w:p>
      <w:pPr>
        <w:pStyle w:val="ListBullet"/>
      </w:pPr>
      <w:r>
        <w:t>Cover, table of contents, executive summary, statewide chart, methodology,</w:t>
      </w:r>
      <w:r>
        <w:t xml:space="preserve"> </w:t>
      </w:r>
      <w:r>
        <w:t>regional section, demographic section, county appendix, and contact page.</w:t>
      </w:r>
    </w:p>
    <w:p>
      <w:pPr>
        <w:pStyle w:val="ListBullet"/>
      </w:pPr>
      <w:r>
        <w:t>Plain-language interpretation beside charts and tables.</w:t>
      </w:r>
    </w:p>
    <w:p>
      <w:r>
        <w:t>Update:</w:t>
      </w:r>
    </w:p>
    <w:p>
      <w:pPr>
        <w:pStyle w:val="ListBullet"/>
      </w:pPr>
      <w:r>
        <w:t>Replace multi-scenario language with baseline-only language.</w:t>
      </w:r>
    </w:p>
    <w:p>
      <w:pPr>
        <w:pStyle w:val="ListBullet"/>
      </w:pPr>
      <w:r>
        <w:t>Extend the horizon to 2025-2055.</w:t>
      </w:r>
    </w:p>
    <w:p>
      <w:pPr>
        <w:pStyle w:val="ListBullet"/>
      </w:pPr>
      <w:r>
        <w:t>Make the baseline assumptions explicit, including the CBO additive</w:t>
      </w:r>
      <w:r>
        <w:t xml:space="preserve"> </w:t>
      </w:r>
      <w:r>
        <w:t>migration adjustment and the -5% fertility adjustment.</w:t>
      </w:r>
    </w:p>
    <w:p>
      <w:pPr>
        <w:pStyle w:val="ListBullet"/>
      </w:pPr>
      <w:r>
        <w:t>Use current cohort-component method language.</w:t>
      </w:r>
    </w:p>
    <w:p>
      <w:pPr>
        <w:pStyle w:val="ListBullet"/>
      </w:pPr>
      <w:r>
        <w:t>Add clear public download language for one Excel workbook and one CSV.</w:t>
      </w:r>
    </w:p>
    <w:p>
      <w:r>
        <w:t>Move out of the PDF:</w:t>
      </w:r>
    </w:p>
    <w:p>
      <w:pPr>
        <w:pStyle w:val="ListBullet"/>
      </w:pPr>
      <w:r>
        <w:t>Detailed age-sex tables.</w:t>
      </w:r>
    </w:p>
    <w:p>
      <w:pPr>
        <w:pStyle w:val="ListBullet"/>
      </w:pPr>
      <w:r>
        <w:t>Technical package inventories.</w:t>
      </w:r>
    </w:p>
    <w:p>
      <w:pPr>
        <w:pStyle w:val="ListBullet"/>
      </w:pPr>
      <w:r>
        <w:t>City/place projections.</w:t>
      </w:r>
    </w:p>
    <w:p>
      <w:pPr>
        <w:pStyle w:val="ListBullet"/>
      </w:pPr>
      <w:r>
        <w:t>Internal QA or production notes.</w:t>
      </w:r>
    </w:p>
    <w:p>
      <w:r>
        <w:br w:type="page"/>
      </w:r>
    </w:p>
    <w:p>
      <w:pPr>
        <w:pStyle w:val="Heading1"/>
      </w:pPr>
      <w:r>
        <w:t>4. Draft Numbers For Layout</w:t>
      </w:r>
    </w:p>
    <w:p>
      <w:pPr>
        <w:pStyle w:val="Heading2"/>
      </w:pPr>
      <w:r>
        <w:t>Statewide baseline, key years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Population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 vs 2025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799,000</w:t>
            </w:r>
          </w:p>
        </w:tc>
        <w:tc>
          <w:tcPr>
            <w:tcW w:type="dxa" w:w="2880"/>
          </w:tcPr>
          <w:p>
            <w:r>
              <w:t>+0.0%</w:t>
            </w:r>
          </w:p>
        </w:tc>
      </w:tr>
      <w:tr>
        <w:tc>
          <w:tcPr>
            <w:tcW w:type="dxa" w:w="2880"/>
          </w:tcPr>
          <w:p>
            <w:r>
              <w:t>2030</w:t>
            </w:r>
          </w:p>
        </w:tc>
        <w:tc>
          <w:tcPr>
            <w:tcW w:type="dxa" w:w="2880"/>
          </w:tcPr>
          <w:p>
            <w:r>
              <w:t>805,000</w:t>
            </w:r>
          </w:p>
        </w:tc>
        <w:tc>
          <w:tcPr>
            <w:tcW w:type="dxa" w:w="2880"/>
          </w:tcPr>
          <w:p>
            <w:r>
              <w:t>+0.7%</w:t>
            </w:r>
          </w:p>
        </w:tc>
      </w:tr>
      <w:tr>
        <w:tc>
          <w:tcPr>
            <w:tcW w:type="dxa" w:w="2880"/>
          </w:tcPr>
          <w:p>
            <w:r>
              <w:t>2035</w:t>
            </w:r>
          </w:p>
        </w:tc>
        <w:tc>
          <w:tcPr>
            <w:tcW w:type="dxa" w:w="2880"/>
          </w:tcPr>
          <w:p>
            <w:r>
              <w:t>826,000</w:t>
            </w:r>
          </w:p>
        </w:tc>
        <w:tc>
          <w:tcPr>
            <w:tcW w:type="dxa" w:w="2880"/>
          </w:tcPr>
          <w:p>
            <w:r>
              <w:t>+3.3%</w:t>
            </w:r>
          </w:p>
        </w:tc>
      </w:tr>
      <w:tr>
        <w:tc>
          <w:tcPr>
            <w:tcW w:type="dxa" w:w="2880"/>
          </w:tcPr>
          <w:p>
            <w:r>
              <w:t>2040</w:t>
            </w:r>
          </w:p>
        </w:tc>
        <w:tc>
          <w:tcPr>
            <w:tcW w:type="dxa" w:w="2880"/>
          </w:tcPr>
          <w:p>
            <w:r>
              <w:t>848,000</w:t>
            </w:r>
          </w:p>
        </w:tc>
        <w:tc>
          <w:tcPr>
            <w:tcW w:type="dxa" w:w="2880"/>
          </w:tcPr>
          <w:p>
            <w:r>
              <w:t>+6.1%</w:t>
            </w:r>
          </w:p>
        </w:tc>
      </w:tr>
      <w:tr>
        <w:tc>
          <w:tcPr>
            <w:tcW w:type="dxa" w:w="2880"/>
          </w:tcPr>
          <w:p>
            <w:r>
              <w:t>2045</w:t>
            </w:r>
          </w:p>
        </w:tc>
        <w:tc>
          <w:tcPr>
            <w:tcW w:type="dxa" w:w="2880"/>
          </w:tcPr>
          <w:p>
            <w:r>
              <w:t>867,000</w:t>
            </w:r>
          </w:p>
        </w:tc>
        <w:tc>
          <w:tcPr>
            <w:tcW w:type="dxa" w:w="2880"/>
          </w:tcPr>
          <w:p>
            <w:r>
              <w:t>+8.4%</w:t>
            </w:r>
          </w:p>
        </w:tc>
      </w:tr>
      <w:tr>
        <w:tc>
          <w:tcPr>
            <w:tcW w:type="dxa" w:w="2880"/>
          </w:tcPr>
          <w:p>
            <w:r>
              <w:t>2050</w:t>
            </w:r>
          </w:p>
        </w:tc>
        <w:tc>
          <w:tcPr>
            <w:tcW w:type="dxa" w:w="2880"/>
          </w:tcPr>
          <w:p>
            <w:r>
              <w:t>883,000</w:t>
            </w:r>
          </w:p>
        </w:tc>
        <w:tc>
          <w:tcPr>
            <w:tcW w:type="dxa" w:w="2880"/>
          </w:tcPr>
          <w:p>
            <w:r>
              <w:t>+10.5%</w:t>
            </w:r>
          </w:p>
        </w:tc>
      </w:tr>
      <w:tr>
        <w:tc>
          <w:tcPr>
            <w:tcW w:type="dxa" w:w="2880"/>
          </w:tcPr>
          <w:p>
            <w:r>
              <w:t>2055</w:t>
            </w:r>
          </w:p>
        </w:tc>
        <w:tc>
          <w:tcPr>
            <w:tcW w:type="dxa" w:w="2880"/>
          </w:tcPr>
          <w:p>
            <w:r>
              <w:t>899,000</w:t>
            </w:r>
          </w:p>
        </w:tc>
        <w:tc>
          <w:tcPr>
            <w:tcW w:type="dxa" w:w="2880"/>
          </w:tcPr>
          <w:p>
            <w:r>
              <w:t>+12.5%</w:t>
            </w:r>
          </w:p>
        </w:tc>
      </w:tr>
    </w:tbl>
    <w:p/>
    <w:p>
      <w:r>
        <w:rPr>
          <w:b/>
        </w:rPr>
        <w:t>Trough:</w:t>
      </w:r>
      <w:r>
        <w:t xml:space="preserve"> about 797,000 around 2027 (the intended CBO front-loaded migration ramp), before steady recovery to 2055.</w:t>
      </w:r>
    </w:p>
    <w:p>
      <w:pPr>
        <w:pStyle w:val="Heading2"/>
      </w:pPr>
      <w:r>
        <w:t>Regional change, 2025 to 2055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Fargo</w:t>
            </w:r>
          </w:p>
        </w:tc>
        <w:tc>
          <w:tcPr>
            <w:tcW w:type="dxa" w:w="2160"/>
          </w:tcPr>
          <w:p>
            <w:r>
              <w:t>238,000</w:t>
            </w:r>
          </w:p>
        </w:tc>
        <w:tc>
          <w:tcPr>
            <w:tcW w:type="dxa" w:w="2160"/>
          </w:tcPr>
          <w:p>
            <w:r>
              <w:t>301,000</w:t>
            </w:r>
          </w:p>
        </w:tc>
        <w:tc>
          <w:tcPr>
            <w:tcW w:type="dxa" w:w="2160"/>
          </w:tcPr>
          <w:p>
            <w:r>
              <w:t>+26.5%</w:t>
            </w:r>
          </w:p>
        </w:tc>
      </w:tr>
      <w:tr>
        <w:tc>
          <w:tcPr>
            <w:tcW w:type="dxa" w:w="2160"/>
          </w:tcPr>
          <w:p>
            <w:r>
              <w:t>Bismarck</w:t>
            </w:r>
          </w:p>
        </w:tc>
        <w:tc>
          <w:tcPr>
            <w:tcW w:type="dxa" w:w="2160"/>
          </w:tcPr>
          <w:p>
            <w:r>
              <w:t>171,000</w:t>
            </w:r>
          </w:p>
        </w:tc>
        <w:tc>
          <w:tcPr>
            <w:tcW w:type="dxa" w:w="2160"/>
          </w:tcPr>
          <w:p>
            <w:r>
              <w:t>196,000</w:t>
            </w:r>
          </w:p>
        </w:tc>
        <w:tc>
          <w:tcPr>
            <w:tcW w:type="dxa" w:w="2160"/>
          </w:tcPr>
          <w:p>
            <w:r>
              <w:t>+14.5%</w:t>
            </w:r>
          </w:p>
        </w:tc>
      </w:tr>
      <w:tr>
        <w:tc>
          <w:tcPr>
            <w:tcW w:type="dxa" w:w="2160"/>
          </w:tcPr>
          <w:p>
            <w:r>
              <w:t>Williston</w:t>
            </w:r>
          </w:p>
        </w:tc>
        <w:tc>
          <w:tcPr>
            <w:tcW w:type="dxa" w:w="2160"/>
          </w:tcPr>
          <w:p>
            <w:r>
              <w:t>59,000</w:t>
            </w:r>
          </w:p>
        </w:tc>
        <w:tc>
          <w:tcPr>
            <w:tcW w:type="dxa" w:w="2160"/>
          </w:tcPr>
          <w:p>
            <w:r>
              <w:t>94,000</w:t>
            </w:r>
          </w:p>
        </w:tc>
        <w:tc>
          <w:tcPr>
            <w:tcW w:type="dxa" w:w="2160"/>
          </w:tcPr>
          <w:p>
            <w:r>
              <w:t>+58.7%</w:t>
            </w:r>
          </w:p>
        </w:tc>
      </w:tr>
      <w:tr>
        <w:tc>
          <w:tcPr>
            <w:tcW w:type="dxa" w:w="2160"/>
          </w:tcPr>
          <w:p>
            <w:r>
              <w:t>Minot</w:t>
            </w:r>
          </w:p>
        </w:tc>
        <w:tc>
          <w:tcPr>
            <w:tcW w:type="dxa" w:w="2160"/>
          </w:tcPr>
          <w:p>
            <w:r>
              <w:t>97,000</w:t>
            </w:r>
          </w:p>
        </w:tc>
        <w:tc>
          <w:tcPr>
            <w:tcW w:type="dxa" w:w="2160"/>
          </w:tcPr>
          <w:p>
            <w:r>
              <w:t>88,000</w:t>
            </w:r>
          </w:p>
        </w:tc>
        <w:tc>
          <w:tcPr>
            <w:tcW w:type="dxa" w:w="2160"/>
          </w:tcPr>
          <w:p>
            <w:r>
              <w:t>-9.7%</w:t>
            </w:r>
          </w:p>
        </w:tc>
      </w:tr>
      <w:tr>
        <w:tc>
          <w:tcPr>
            <w:tcW w:type="dxa" w:w="2160"/>
          </w:tcPr>
          <w:p>
            <w:r>
              <w:t>Grand Forks</w:t>
            </w:r>
          </w:p>
        </w:tc>
        <w:tc>
          <w:tcPr>
            <w:tcW w:type="dxa" w:w="2160"/>
          </w:tcPr>
          <w:p>
            <w:r>
              <w:t>94,000</w:t>
            </w:r>
          </w:p>
        </w:tc>
        <w:tc>
          <w:tcPr>
            <w:tcW w:type="dxa" w:w="2160"/>
          </w:tcPr>
          <w:p>
            <w:r>
              <w:t>87,000</w:t>
            </w:r>
          </w:p>
        </w:tc>
        <w:tc>
          <w:tcPr>
            <w:tcW w:type="dxa" w:w="2160"/>
          </w:tcPr>
          <w:p>
            <w:r>
              <w:t>-7.3%</w:t>
            </w:r>
          </w:p>
        </w:tc>
      </w:tr>
      <w:tr>
        <w:tc>
          <w:tcPr>
            <w:tcW w:type="dxa" w:w="2160"/>
          </w:tcPr>
          <w:p>
            <w:r>
              <w:t>Dickinson</w:t>
            </w:r>
          </w:p>
        </w:tc>
        <w:tc>
          <w:tcPr>
            <w:tcW w:type="dxa" w:w="2160"/>
          </w:tcPr>
          <w:p>
            <w:r>
              <w:t>49,000</w:t>
            </w:r>
          </w:p>
        </w:tc>
        <w:tc>
          <w:tcPr>
            <w:tcW w:type="dxa" w:w="2160"/>
          </w:tcPr>
          <w:p>
            <w:r>
              <w:t>52,000</w:t>
            </w:r>
          </w:p>
        </w:tc>
        <w:tc>
          <w:tcPr>
            <w:tcW w:type="dxa" w:w="2160"/>
          </w:tcPr>
          <w:p>
            <w:r>
              <w:t>+6.4%</w:t>
            </w:r>
          </w:p>
        </w:tc>
      </w:tr>
      <w:tr>
        <w:tc>
          <w:tcPr>
            <w:tcW w:type="dxa" w:w="2160"/>
          </w:tcPr>
          <w:p>
            <w:r>
              <w:t>Jamestown</w:t>
            </w:r>
          </w:p>
        </w:tc>
        <w:tc>
          <w:tcPr>
            <w:tcW w:type="dxa" w:w="2160"/>
          </w:tcPr>
          <w:p>
            <w:r>
              <w:t>55,000</w:t>
            </w:r>
          </w:p>
        </w:tc>
        <w:tc>
          <w:tcPr>
            <w:tcW w:type="dxa" w:w="2160"/>
          </w:tcPr>
          <w:p>
            <w:r>
              <w:t>49,000</w:t>
            </w:r>
          </w:p>
        </w:tc>
        <w:tc>
          <w:tcPr>
            <w:tcW w:type="dxa" w:w="2160"/>
          </w:tcPr>
          <w:p>
            <w:r>
              <w:t>-10.6%</w:t>
            </w:r>
          </w:p>
        </w:tc>
      </w:tr>
      <w:tr>
        <w:tc>
          <w:tcPr>
            <w:tcW w:type="dxa" w:w="2160"/>
          </w:tcPr>
          <w:p>
            <w:r>
              <w:t>Devils Lake</w:t>
            </w:r>
          </w:p>
        </w:tc>
        <w:tc>
          <w:tcPr>
            <w:tcW w:type="dxa" w:w="2160"/>
          </w:tcPr>
          <w:p>
            <w:r>
              <w:t>37,000</w:t>
            </w:r>
          </w:p>
        </w:tc>
        <w:tc>
          <w:tcPr>
            <w:tcW w:type="dxa" w:w="2160"/>
          </w:tcPr>
          <w:p>
            <w:r>
              <w:t>33,000</w:t>
            </w:r>
          </w:p>
        </w:tc>
        <w:tc>
          <w:tcPr>
            <w:tcW w:type="dxa" w:w="2160"/>
          </w:tcPr>
          <w:p>
            <w:r>
              <w:t>-10.4%</w:t>
            </w:r>
          </w:p>
        </w:tc>
      </w:tr>
    </w:tbl>
    <w:p/>
    <w:p>
      <w:pPr>
        <w:pStyle w:val="Heading2"/>
      </w:pPr>
      <w:r>
        <w:t>County concentration, 2025 to 2055</w:t>
      </w:r>
    </w:p>
    <w:p>
      <w:r>
        <w:rPr>
          <w:b/>
        </w:rPr>
        <w:t>36 of 53 counties</w:t>
      </w:r>
      <w:r>
        <w:t xml:space="preserve"> are projected to decline. Most statewide growth is concentrated in Cass (Fargo), Williams (Williston), and Burleigh (Bismarck).</w:t>
      </w:r>
    </w:p>
    <w:p>
      <w:pPr>
        <w:pStyle w:val="Heading3"/>
      </w:pPr>
      <w:r>
        <w:t>Largest projected growth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McKenzie County</w:t>
            </w:r>
          </w:p>
        </w:tc>
        <w:tc>
          <w:tcPr>
            <w:tcW w:type="dxa" w:w="2160"/>
          </w:tcPr>
          <w:p>
            <w:r>
              <w:t>15,000</w:t>
            </w:r>
          </w:p>
        </w:tc>
        <w:tc>
          <w:tcPr>
            <w:tcW w:type="dxa" w:w="2160"/>
          </w:tcPr>
          <w:p>
            <w:r>
              <w:t>27,000</w:t>
            </w:r>
          </w:p>
        </w:tc>
        <w:tc>
          <w:tcPr>
            <w:tcW w:type="dxa" w:w="2160"/>
          </w:tcPr>
          <w:p>
            <w:r>
              <w:t>+78.6%</w:t>
            </w:r>
          </w:p>
        </w:tc>
      </w:tr>
      <w:tr>
        <w:tc>
          <w:tcPr>
            <w:tcW w:type="dxa" w:w="2160"/>
          </w:tcPr>
          <w:p>
            <w:r>
              <w:t>Williams County</w:t>
            </w:r>
          </w:p>
        </w:tc>
        <w:tc>
          <w:tcPr>
            <w:tcW w:type="dxa" w:w="2160"/>
          </w:tcPr>
          <w:p>
            <w:r>
              <w:t>42,000</w:t>
            </w:r>
          </w:p>
        </w:tc>
        <w:tc>
          <w:tcPr>
            <w:tcW w:type="dxa" w:w="2160"/>
          </w:tcPr>
          <w:p>
            <w:r>
              <w:t>64,000</w:t>
            </w:r>
          </w:p>
        </w:tc>
        <w:tc>
          <w:tcPr>
            <w:tcW w:type="dxa" w:w="2160"/>
          </w:tcPr>
          <w:p>
            <w:r>
              <w:t>+53.8%</w:t>
            </w:r>
          </w:p>
        </w:tc>
      </w:tr>
      <w:tr>
        <w:tc>
          <w:tcPr>
            <w:tcW w:type="dxa" w:w="2160"/>
          </w:tcPr>
          <w:p>
            <w:r>
              <w:t>Billings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+50.4%</w:t>
            </w:r>
          </w:p>
        </w:tc>
      </w:tr>
      <w:tr>
        <w:tc>
          <w:tcPr>
            <w:tcW w:type="dxa" w:w="2160"/>
          </w:tcPr>
          <w:p>
            <w:r>
              <w:t>Cass County</w:t>
            </w:r>
          </w:p>
        </w:tc>
        <w:tc>
          <w:tcPr>
            <w:tcW w:type="dxa" w:w="2160"/>
          </w:tcPr>
          <w:p>
            <w:r>
              <w:t>202,000</w:t>
            </w:r>
          </w:p>
        </w:tc>
        <w:tc>
          <w:tcPr>
            <w:tcW w:type="dxa" w:w="2160"/>
          </w:tcPr>
          <w:p>
            <w:r>
              <w:t>269,000</w:t>
            </w:r>
          </w:p>
        </w:tc>
        <w:tc>
          <w:tcPr>
            <w:tcW w:type="dxa" w:w="2160"/>
          </w:tcPr>
          <w:p>
            <w:r>
              <w:t>+33.2%</w:t>
            </w:r>
          </w:p>
        </w:tc>
      </w:tr>
      <w:tr>
        <w:tc>
          <w:tcPr>
            <w:tcW w:type="dxa" w:w="2160"/>
          </w:tcPr>
          <w:p>
            <w:r>
              <w:t>Morton County</w:t>
            </w:r>
          </w:p>
        </w:tc>
        <w:tc>
          <w:tcPr>
            <w:tcW w:type="dxa" w:w="2160"/>
          </w:tcPr>
          <w:p>
            <w:r>
              <w:t>35,000</w:t>
            </w:r>
          </w:p>
        </w:tc>
        <w:tc>
          <w:tcPr>
            <w:tcW w:type="dxa" w:w="2160"/>
          </w:tcPr>
          <w:p>
            <w:r>
              <w:t>45,000</w:t>
            </w:r>
          </w:p>
        </w:tc>
        <w:tc>
          <w:tcPr>
            <w:tcW w:type="dxa" w:w="2160"/>
          </w:tcPr>
          <w:p>
            <w:r>
              <w:t>+31.1%</w:t>
            </w:r>
          </w:p>
        </w:tc>
      </w:tr>
      <w:tr>
        <w:tc>
          <w:tcPr>
            <w:tcW w:type="dxa" w:w="2160"/>
          </w:tcPr>
          <w:p>
            <w:r>
              <w:t>Hettinger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+30.3%</w:t>
            </w:r>
          </w:p>
        </w:tc>
      </w:tr>
    </w:tbl>
    <w:p/>
    <w:p>
      <w:pPr>
        <w:pStyle w:val="Heading3"/>
      </w:pPr>
      <w:r>
        <w:t>Largest projected decline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Pembina County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-35.9%</w:t>
            </w:r>
          </w:p>
        </w:tc>
      </w:tr>
      <w:tr>
        <w:tc>
          <w:tcPr>
            <w:tcW w:type="dxa" w:w="2160"/>
          </w:tcPr>
          <w:p>
            <w:r>
              <w:t>Slope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-34.5%</w:t>
            </w:r>
          </w:p>
        </w:tc>
      </w:tr>
      <w:tr>
        <w:tc>
          <w:tcPr>
            <w:tcW w:type="dxa" w:w="2160"/>
          </w:tcPr>
          <w:p>
            <w:r>
              <w:t>Walsh County</w:t>
            </w:r>
          </w:p>
        </w:tc>
        <w:tc>
          <w:tcPr>
            <w:tcW w:type="dxa" w:w="2160"/>
          </w:tcPr>
          <w:p>
            <w:r>
              <w:t>10,000</w:t>
            </w:r>
          </w:p>
        </w:tc>
        <w:tc>
          <w:tcPr>
            <w:tcW w:type="dxa" w:w="2160"/>
          </w:tcPr>
          <w:p>
            <w:r>
              <w:t>8,000</w:t>
            </w:r>
          </w:p>
        </w:tc>
        <w:tc>
          <w:tcPr>
            <w:tcW w:type="dxa" w:w="2160"/>
          </w:tcPr>
          <w:p>
            <w:r>
              <w:t>-25.9%</w:t>
            </w:r>
          </w:p>
        </w:tc>
      </w:tr>
      <w:tr>
        <w:tc>
          <w:tcPr>
            <w:tcW w:type="dxa" w:w="2160"/>
          </w:tcPr>
          <w:p>
            <w:r>
              <w:t>Cavalier County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-22.4%</w:t>
            </w:r>
          </w:p>
        </w:tc>
      </w:tr>
      <w:tr>
        <w:tc>
          <w:tcPr>
            <w:tcW w:type="dxa" w:w="2160"/>
          </w:tcPr>
          <w:p>
            <w:r>
              <w:t>Kidder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-19.8%</w:t>
            </w:r>
          </w:p>
        </w:tc>
      </w:tr>
      <w:tr>
        <w:tc>
          <w:tcPr>
            <w:tcW w:type="dxa" w:w="2160"/>
          </w:tcPr>
          <w:p>
            <w:r>
              <w:t>McHenry County</w:t>
            </w:r>
          </w:p>
        </w:tc>
        <w:tc>
          <w:tcPr>
            <w:tcW w:type="dxa" w:w="2160"/>
          </w:tcPr>
          <w:p>
            <w:r>
              <w:t>5,000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-19.4%</w:t>
            </w:r>
          </w:p>
        </w:tc>
      </w:tr>
    </w:tbl>
    <w:p/>
    <w:p>
      <w:r>
        <w:br w:type="page"/>
      </w:r>
    </w:p>
    <w:p>
      <w:pPr>
        <w:pStyle w:val="Heading1"/>
      </w:pPr>
      <w:r>
        <w:t>5. 2024 SDC Reference Notes</w:t>
      </w:r>
    </w:p>
    <w:p>
      <w:r>
        <w:t>Reference file: `data/raw/ND Population Projections.pdf`</w:t>
      </w:r>
    </w:p>
    <w:p>
      <w:r>
        <w:t>The 2024 State Data Center PDF is the best starting point for the 2026 public</w:t>
      </w:r>
    </w:p>
    <w:p>
      <w:r>
        <w:t>release because it has the right scale and public orientation. It is a compact</w:t>
      </w:r>
    </w:p>
    <w:p>
      <w:r>
        <w:t>16-page report for the state, regions, and counties, with enough narrative to</w:t>
      </w:r>
    </w:p>
    <w:p>
      <w:r>
        <w:t>stand alone and enough tables to be useful.</w:t>
      </w:r>
    </w:p>
    <w:p>
      <w:r>
        <w:t>Use it as a design and pacing reference. Do not use it as a language template.</w:t>
      </w:r>
    </w:p>
    <w:p>
      <w:r>
        <w:t>The 2026 release has a different model, a longer horizon, and a stronger</w:t>
      </w:r>
    </w:p>
    <w:p>
      <w:r>
        <w:t>scenario frame.</w:t>
      </w:r>
    </w:p>
    <w:p>
      <w:pPr>
        <w:pStyle w:val="Heading2"/>
      </w:pPr>
      <w:r>
        <w:t>What To Keep</w:t>
      </w:r>
    </w:p>
    <w:p>
      <w:r>
        <w:t>Keep the basic public-report shape:</w:t>
      </w:r>
    </w:p>
    <w:p>
      <w:pPr>
        <w:pStyle w:val="ListBullet"/>
      </w:pPr>
      <w:r>
        <w:t>Cover and agency attribution.</w:t>
      </w:r>
    </w:p>
    <w:p>
      <w:pPr>
        <w:pStyle w:val="ListBullet"/>
      </w:pPr>
      <w:r>
        <w:t>Table of contents.</w:t>
      </w:r>
    </w:p>
    <w:p>
      <w:pPr>
        <w:pStyle w:val="ListBullet"/>
      </w:pPr>
      <w:r>
        <w:t>Executive summary.</w:t>
      </w:r>
    </w:p>
    <w:p>
      <w:pPr>
        <w:pStyle w:val="ListBullet"/>
      </w:pPr>
      <w:r>
        <w:t>Statewide population chart.</w:t>
      </w:r>
    </w:p>
    <w:p>
      <w:pPr>
        <w:pStyle w:val="ListBullet"/>
      </w:pPr>
      <w:r>
        <w:t>Short methodology section.</w:t>
      </w:r>
    </w:p>
    <w:p>
      <w:pPr>
        <w:pStyle w:val="ListBullet"/>
      </w:pPr>
      <w:r>
        <w:t>Regional change section.</w:t>
      </w:r>
    </w:p>
    <w:p>
      <w:pPr>
        <w:pStyle w:val="ListBullet"/>
      </w:pPr>
      <w:r>
        <w:t>Demographic change section.</w:t>
      </w:r>
    </w:p>
    <w:p>
      <w:pPr>
        <w:pStyle w:val="ListBullet"/>
      </w:pPr>
      <w:r>
        <w:t>State and region summary.</w:t>
      </w:r>
    </w:p>
    <w:p>
      <w:pPr>
        <w:pStyle w:val="ListBullet"/>
      </w:pPr>
      <w:r>
        <w:t>County appendix.</w:t>
      </w:r>
    </w:p>
    <w:p>
      <w:pPr>
        <w:pStyle w:val="ListBullet"/>
      </w:pPr>
      <w:r>
        <w:t>Contact and download information.</w:t>
      </w:r>
    </w:p>
    <w:p>
      <w:r>
        <w:t>The prior report works because it does not ask public readers to navigate a</w:t>
      </w:r>
    </w:p>
    <w:p>
      <w:r>
        <w:t>technical package. The 2026 PDF should do the same: tell the story in the PDF,</w:t>
      </w:r>
    </w:p>
    <w:p>
      <w:r>
        <w:t>then point users to the workbook and CSV for exact values.</w:t>
      </w:r>
    </w:p>
    <w:p>
      <w:pPr>
        <w:pStyle w:val="Heading2"/>
      </w:pPr>
      <w:r>
        <w:t>What To Update For 2026</w:t>
      </w:r>
    </w:p>
    <w:p>
      <w:r>
        <w:t>The 2026 report should use baseline-only language throughout. Baseline</w:t>
      </w:r>
    </w:p>
    <w:p>
      <w:r>
        <w:t>(CBO-Adjusted) is the single public path. The unadjusted trend-continuation</w:t>
      </w:r>
    </w:p>
    <w:p>
      <w:r>
        <w:t>path stays internal, and Restricted Growth and High Growth stay out of the</w:t>
      </w:r>
    </w:p>
    <w:p>
      <w:r>
        <w:t>public marketing package.</w:t>
      </w:r>
    </w:p>
    <w:p>
      <w:r>
        <w:t>The horizon changes to 2025-2055. The report should print key years for</w:t>
      </w:r>
    </w:p>
    <w:p>
      <w:r>
        <w:t>readability and leave exact annual values to the public downloads.</w:t>
      </w:r>
    </w:p>
    <w:p>
      <w:r>
        <w:t>The methodology page should be plain-language and current. It should describe</w:t>
      </w:r>
    </w:p>
    <w:p>
      <w:r>
        <w:t>the cohort-component method, Census Population Estimates Program inputs,</w:t>
      </w:r>
    </w:p>
    <w:p>
      <w:r>
        <w:t>fertility, mortality, migration, and scenario construction. It should not read</w:t>
      </w:r>
    </w:p>
    <w:p>
      <w:r>
        <w:t>like a technical appendix.</w:t>
      </w:r>
    </w:p>
    <w:p>
      <w:r>
        <w:t>The download language should be simpler than the internal export structure. For</w:t>
      </w:r>
    </w:p>
    <w:p>
      <w:r>
        <w:t>public release, users should see one consolidated Excel workbook and one</w:t>
      </w:r>
    </w:p>
    <w:p>
      <w:r>
        <w:t>consolidated CSV covering the state, regions, and counties.</w:t>
      </w:r>
    </w:p>
    <w:p>
      <w:pPr>
        <w:pStyle w:val="Heading2"/>
      </w:pPr>
      <w:r>
        <w:t>What To Avoid</w:t>
      </w:r>
    </w:p>
    <w:p>
      <w:r>
        <w:t>Avoid anything that makes the public PDF feel like a production worksheet:</w:t>
      </w:r>
    </w:p>
    <w:p>
      <w:pPr>
        <w:pStyle w:val="ListBullet"/>
      </w:pPr>
      <w:r>
        <w:t>Internal file inventories.</w:t>
      </w:r>
    </w:p>
    <w:p>
      <w:pPr>
        <w:pStyle w:val="ListBullet"/>
      </w:pPr>
      <w:r>
        <w:t>Internal QA controls.</w:t>
      </w:r>
    </w:p>
    <w:p>
      <w:pPr>
        <w:pStyle w:val="ListBullet"/>
      </w:pPr>
      <w:r>
        <w:t>Methodology decision logs.</w:t>
      </w:r>
    </w:p>
    <w:p>
      <w:pPr>
        <w:pStyle w:val="ListBullet"/>
      </w:pPr>
      <w:r>
        <w:t>Full annual county tables.</w:t>
      </w:r>
    </w:p>
    <w:p>
      <w:pPr>
        <w:pStyle w:val="ListBullet"/>
      </w:pPr>
      <w:r>
        <w:t>Full county age-sex tables.</w:t>
      </w:r>
    </w:p>
    <w:p>
      <w:pPr>
        <w:pStyle w:val="ListBullet"/>
      </w:pPr>
      <w:r>
        <w:t>City/place projections.</w:t>
      </w:r>
    </w:p>
    <w:p>
      <w:r>
        <w:t>The PDF should give a complete public summary, not every available cut of the</w:t>
      </w:r>
    </w:p>
    <w:p>
      <w:r>
        <w:t>data.</w:t>
      </w:r>
    </w:p>
    <w:p>
      <w:pPr>
        <w:pStyle w:val="Heading2"/>
      </w:pPr>
      <w:r>
        <w:t>Practical Design Notes</w:t>
      </w:r>
    </w:p>
    <w:p>
      <w:r>
        <w:t>The 2024 report's strongest design lesson is that each section has a clear job.</w:t>
      </w:r>
    </w:p>
    <w:p>
      <w:r>
        <w:t>The statewide page establishes the main trajectory. The caution text explains</w:t>
      </w:r>
    </w:p>
    <w:p>
      <w:r>
        <w:t>why projections should be read carefully. The methodology page gives enough</w:t>
      </w:r>
    </w:p>
    <w:p>
      <w:r>
        <w:t>trust without overwhelming the reader. The regional and county sections make the</w:t>
      </w:r>
    </w:p>
    <w:p>
      <w:r>
        <w:t>statewide number local.</w:t>
      </w:r>
    </w:p>
    <w:p>
      <w:r>
        <w:t>For 2026, keep that rhythm but make the caveats more integrated. Place scenario</w:t>
      </w:r>
    </w:p>
    <w:p>
      <w:r>
        <w:t>and migration caveats near the first statewide chart, not only on the method</w:t>
      </w:r>
    </w:p>
    <w:p>
      <w:r>
        <w:t>page. Keep the county appendix readable by using selected years in the PDF and</w:t>
      </w:r>
    </w:p>
    <w:p>
      <w:r>
        <w:t>sending users to the downloads for annual values. The first statewide chart</w:t>
      </w:r>
    </w:p>
    <w:p>
      <w:r>
        <w:t>should explain the Baseline (CBO-Adjusted) assumptions and make clear that the</w:t>
      </w:r>
    </w:p>
    <w:p>
      <w:r>
        <w:t>projection is not a guaranteed future.</w:t>
      </w:r>
    </w:p>
    <w:p>
      <w:r>
        <w:t>Marketing will receive the 2024 PDF separately as the visual 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