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jc w:val="center"/>
      </w:pPr>
      <w:r>
        <w:rPr>
          <w:b/>
          <w:bCs/>
          <w:color w:val="0B1F3A"/>
          <w:sz w:val="72"/>
          <w:szCs w:val="72"/>
        </w:rPr>
        <w:t xml:space="preserve">8.8 EVENTS</w:t>
      </w:r>
    </w:p>
    <w:p>
      <w:pPr>
        <w:spacing w:after="100" w:before="200"/>
        <w:jc w:val="center"/>
      </w:pPr>
      <w:r>
        <w:rPr>
          <w:b/>
          <w:bCs/>
          <w:color w:val="C9972B"/>
          <w:sz w:val="32"/>
          <w:szCs w:val="32"/>
        </w:rPr>
        <w:t xml:space="preserve">PLATFORM BLUEPRINT &amp; BUSINESS MODEL</w:t>
      </w:r>
    </w:p>
    <w:p>
      <w:pPr>
        <w:spacing w:after="2000"/>
        <w:jc w:val="center"/>
      </w:pPr>
      <w:r>
        <w:rPr>
          <w:i/>
          <w:iCs/>
          <w:color w:val="595959"/>
          <w:sz w:val="24"/>
          <w:szCs w:val="24"/>
        </w:rPr>
        <w:t xml:space="preserve">The Marketplace for Event Vendors &amp; Event Planning</w:t>
      </w:r>
    </w:p>
    <w:p>
      <w:pPr>
        <w:spacing w:before="3000"/>
        <w:jc w:val="center"/>
      </w:pPr>
      <w:r>
        <w:rPr>
          <w:color w:val="1A1A1A"/>
          <w:sz w:val="22"/>
          <w:szCs w:val="22"/>
        </w:rPr>
        <w:t xml:space="preserve">Prepared for: Ajomale Wale</w:t>
      </w:r>
    </w:p>
    <w:p>
      <w:pPr>
        <w:spacing w:after="100"/>
        <w:jc w:val="center"/>
      </w:pPr>
      <w:r>
        <w:rPr>
          <w:color w:val="595959"/>
          <w:sz w:val="20"/>
          <w:szCs w:val="20"/>
        </w:rPr>
        <w:t xml:space="preserve">Strategy, Platform Architecture &amp; UI/UX Roadmap</w:t>
      </w:r>
    </w:p>
    <w:p>
      <w:pPr>
        <w:jc w:val="center"/>
      </w:pPr>
      <w:r>
        <w:rPr>
          <w:color w:val="595959"/>
          <w:sz w:val="20"/>
          <w:szCs w:val="20"/>
        </w:rPr>
        <w:t xml:space="preserve">July 2026</w:t>
      </w:r>
    </w:p>
    <w:p>
      <w:r>
        <w:br w:type="page"/>
      </w:r>
    </w:p>
    <w:p>
      <w:pPr>
        <w:pStyle w:val="Heading1"/>
        <w:pBdr>
          <w:bottom w:val="single" w:color="0B1F3A" w:sz="6" w:space="4"/>
        </w:pBdr>
        <w:spacing w:after="200" w:before="400"/>
      </w:pPr>
      <w:r>
        <w:rPr>
          <w:b/>
          <w:bCs/>
          <w:color w:val="0B1F3A"/>
          <w:sz w:val="30"/>
          <w:szCs w:val="30"/>
        </w:rP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sectPr>
          <w:pgSz w:w="12240" w:h="15840" w:orient="portrait"/>
          <w:pgMar w:top="1440" w:right="1440" w:bottom="1440" w:left="1440" w:header="708" w:footer="708" w:gutter="0"/>
          <w:pgNumType/>
          <w:docGrid w:linePitch="360"/>
        </w:sectPr>
      </w:pPr>
    </w:p>
    <w:p>
      <w:pPr>
        <w:pStyle w:val="Heading1"/>
        <w:pBdr>
          <w:bottom w:val="single" w:color="0B1F3A" w:sz="6" w:space="4"/>
        </w:pBdr>
        <w:spacing w:after="200" w:before="400"/>
      </w:pPr>
      <w:r>
        <w:rPr>
          <w:b/>
          <w:bCs/>
          <w:color w:val="0B1F3A"/>
          <w:sz w:val="30"/>
          <w:szCs w:val="30"/>
        </w:rPr>
        <w:t xml:space="preserve">1. Executive Summary</w:t>
      </w:r>
    </w:p>
    <w:p>
      <w:pPr>
        <w:spacing w:after="160" w:line="300"/>
      </w:pPr>
      <w:r>
        <w:rPr>
          <w:color w:val="1A1A1A"/>
          <w:sz w:val="22"/>
          <w:szCs w:val="22"/>
        </w:rPr>
        <w:t xml:space="preserve">8.8 Events is a two-sided online marketplace connecting event vendors (photographers, caterers, decorators, MCs, DJs, makeup artists, rental companies, venues, and more) with the people who need them — individual event owners and professional event planners. The model borrows the trusted-marketplace mechanics of Jumia or Konga, but applies them to services rather than physical goods.</w:t>
      </w:r>
    </w:p>
    <w:p>
      <w:pPr>
        <w:spacing w:after="160" w:line="300"/>
      </w:pPr>
      <w:r>
        <w:rPr>
          <w:color w:val="1A1A1A"/>
          <w:sz w:val="22"/>
          <w:szCs w:val="22"/>
        </w:rPr>
        <w:t xml:space="preserve">Vendors register and build a storefront for free. Clients browse, compare, and book with fixed, transparent pricing instead of the back-and-forth negotiation that currently defines the Nigerian event services market. 8.8 Events earns revenue by taking a commission on the value of every booking made through the platform, collected through a hybrid deposit model: a deposit is paid through the platform (where commission is deducted), and the balance is settled directly between vendor and client offline.</w:t>
      </w:r>
    </w:p>
    <w:p>
      <w:pPr>
        <w:spacing w:after="160" w:line="300"/>
      </w:pPr>
      <w:r>
        <w:rPr>
          <w:color w:val="1A1A1A"/>
          <w:sz w:val="22"/>
          <w:szCs w:val="22"/>
        </w:rPr>
        <w:t xml:space="preserve">This document sets out the business model, the payment and commission mechanics, the roles and features each user type needs, a full website blueprint, and a phased UI/UX and technical roadmap a development team can build against.</w:t>
      </w:r>
    </w:p>
    <w:p>
      <w:pPr>
        <w:pStyle w:val="Heading1"/>
        <w:pBdr>
          <w:bottom w:val="single" w:color="0B1F3A" w:sz="6" w:space="4"/>
        </w:pBdr>
        <w:spacing w:after="200" w:before="400"/>
      </w:pPr>
      <w:r>
        <w:rPr>
          <w:b/>
          <w:bCs/>
          <w:color w:val="0B1F3A"/>
          <w:sz w:val="30"/>
          <w:szCs w:val="30"/>
        </w:rPr>
        <w:t xml:space="preserve">2. The Business Model</w:t>
      </w:r>
    </w:p>
    <w:p>
      <w:pPr>
        <w:pStyle w:val="Heading2"/>
        <w:spacing w:after="140" w:before="280"/>
      </w:pPr>
      <w:r>
        <w:rPr>
          <w:b/>
          <w:bCs/>
          <w:color w:val="0B1F3A"/>
          <w:sz w:val="24"/>
          <w:szCs w:val="24"/>
        </w:rPr>
        <w:t xml:space="preserve">2.1 The Three Sides of the Marketplace</w:t>
      </w:r>
    </w:p>
    <w:p>
      <w:pPr>
        <w:pStyle w:val="ListParagraph"/>
        <w:numPr>
          <w:ilvl w:val="0"/>
          <w:numId w:val="2"/>
        </w:numPr>
        <w:spacing w:after="90" w:line="280"/>
      </w:pPr>
      <w:r>
        <w:rPr>
          <w:color w:val="1A1A1A"/>
          <w:sz w:val="22"/>
          <w:szCs w:val="22"/>
        </w:rPr>
        <w:t xml:space="preserve">Vendors — businesses and individuals who deliver event services: photography/videography, catering, decoration, MC/entertainment, DJ/live band, makeup &amp; hair, event venues, rentals (chairs, canopies, generators, sound), security, logistics/transport, cakes &amp; bakers, and more.</w:t>
      </w:r>
    </w:p>
    <w:p>
      <w:pPr>
        <w:pStyle w:val="ListParagraph"/>
        <w:numPr>
          <w:ilvl w:val="0"/>
          <w:numId w:val="2"/>
        </w:numPr>
        <w:spacing w:after="90" w:line="280"/>
      </w:pPr>
      <w:r>
        <w:rPr>
          <w:color w:val="1A1A1A"/>
          <w:sz w:val="22"/>
          <w:szCs w:val="22"/>
        </w:rPr>
        <w:t xml:space="preserve">Event Owners (Clients) — individuals planning a personal event (wedding, birthday, burial, naming ceremony, corporate event) who need one or several vendors.</w:t>
      </w:r>
    </w:p>
    <w:p>
      <w:pPr>
        <w:pStyle w:val="ListParagraph"/>
        <w:numPr>
          <w:ilvl w:val="0"/>
          <w:numId w:val="2"/>
        </w:numPr>
        <w:spacing w:after="90" w:line="280"/>
      </w:pPr>
      <w:r>
        <w:rPr>
          <w:color w:val="1A1A1A"/>
          <w:sz w:val="22"/>
          <w:szCs w:val="22"/>
        </w:rPr>
        <w:t xml:space="preserve">Event Planners (Pro Clients) — professional planners and agencies who source multiple vendors per event on behalf of their own clients, and who will use the platform repeatedly at higher volume.</w:t>
      </w:r>
    </w:p>
    <w:p>
      <w:pPr>
        <w:pStyle w:val="Heading2"/>
        <w:spacing w:after="140" w:before="280"/>
      </w:pPr>
      <w:r>
        <w:rPr>
          <w:b/>
          <w:bCs/>
          <w:color w:val="0B1F3A"/>
          <w:sz w:val="24"/>
          <w:szCs w:val="24"/>
        </w:rPr>
        <w:t xml:space="preserve">2.2 Value Proposition</w:t>
      </w:r>
    </w:p>
    <w:p>
      <w:pPr>
        <w:pStyle w:val="Heading3"/>
        <w:spacing w:after="100" w:before="200"/>
      </w:pPr>
      <w:r>
        <w:rPr>
          <w:b/>
          <w:bCs/>
          <w:color w:val="C9972B"/>
          <w:sz w:val="22"/>
          <w:szCs w:val="22"/>
        </w:rPr>
        <w:t xml:space="preserve">For Vendors</w:t>
      </w:r>
    </w:p>
    <w:p>
      <w:pPr>
        <w:pStyle w:val="ListParagraph"/>
        <w:numPr>
          <w:ilvl w:val="0"/>
          <w:numId w:val="2"/>
        </w:numPr>
        <w:spacing w:after="90" w:line="280"/>
      </w:pPr>
      <w:r>
        <w:rPr>
          <w:color w:val="1A1A1A"/>
          <w:sz w:val="22"/>
          <w:szCs w:val="22"/>
        </w:rPr>
        <w:t xml:space="preserve">A free storefront/profile with full functionality — no listing fee, no barrier to entry.</w:t>
      </w:r>
    </w:p>
    <w:p>
      <w:pPr>
        <w:pStyle w:val="ListParagraph"/>
        <w:numPr>
          <w:ilvl w:val="0"/>
          <w:numId w:val="2"/>
        </w:numPr>
        <w:spacing w:after="90" w:line="280"/>
      </w:pPr>
      <w:r>
        <w:rPr>
          <w:color w:val="1A1A1A"/>
          <w:sz w:val="22"/>
          <w:szCs w:val="22"/>
        </w:rPr>
        <w:t xml:space="preserve">Exposure to a steady stream of ready-to-book clients, without the cost of paid ads.</w:t>
      </w:r>
    </w:p>
    <w:p>
      <w:pPr>
        <w:pStyle w:val="ListParagraph"/>
        <w:numPr>
          <w:ilvl w:val="0"/>
          <w:numId w:val="2"/>
        </w:numPr>
        <w:spacing w:after="90" w:line="280"/>
      </w:pPr>
      <w:r>
        <w:rPr>
          <w:color w:val="1A1A1A"/>
          <w:sz w:val="22"/>
          <w:szCs w:val="22"/>
        </w:rPr>
        <w:t xml:space="preserve">Fixed, published pricing removes the pressure of being undercut by informal competitors or endlessly re-negotiated by clients.</w:t>
      </w:r>
    </w:p>
    <w:p>
      <w:pPr>
        <w:pStyle w:val="ListParagraph"/>
        <w:numPr>
          <w:ilvl w:val="0"/>
          <w:numId w:val="2"/>
        </w:numPr>
        <w:spacing w:after="90" w:line="280"/>
      </w:pPr>
      <w:r>
        <w:rPr>
          <w:color w:val="1A1A1A"/>
          <w:sz w:val="22"/>
          <w:szCs w:val="22"/>
        </w:rPr>
        <w:t xml:space="preserve">Reputation building through verified reviews tied to completed bookings.</w:t>
      </w:r>
    </w:p>
    <w:p>
      <w:pPr>
        <w:pStyle w:val="ListParagraph"/>
        <w:numPr>
          <w:ilvl w:val="0"/>
          <w:numId w:val="2"/>
        </w:numPr>
        <w:spacing w:after="90" w:line="280"/>
      </w:pPr>
      <w:r>
        <w:rPr>
          <w:color w:val="1A1A1A"/>
          <w:sz w:val="22"/>
          <w:szCs w:val="22"/>
        </w:rPr>
        <w:t xml:space="preserve">A deposit collected up front before the event reduces the risk of client cancellation or non-payment.</w:t>
      </w:r>
    </w:p>
    <w:p>
      <w:pPr>
        <w:pStyle w:val="Heading3"/>
        <w:spacing w:after="100" w:before="200"/>
      </w:pPr>
      <w:r>
        <w:rPr>
          <w:b/>
          <w:bCs/>
          <w:color w:val="C9972B"/>
          <w:sz w:val="22"/>
          <w:szCs w:val="22"/>
        </w:rPr>
        <w:t xml:space="preserve">For Event Owners &amp; Planners</w:t>
      </w:r>
    </w:p>
    <w:p>
      <w:pPr>
        <w:pStyle w:val="ListParagraph"/>
        <w:numPr>
          <w:ilvl w:val="0"/>
          <w:numId w:val="2"/>
        </w:numPr>
        <w:spacing w:after="90" w:line="280"/>
      </w:pPr>
      <w:r>
        <w:rPr>
          <w:color w:val="1A1A1A"/>
          <w:sz w:val="22"/>
          <w:szCs w:val="22"/>
        </w:rPr>
        <w:t xml:space="preserve">One place to discover, compare, and vet vendors by category, location, price, and rating — instead of relying on word-of-mouth or Instagram DMs.</w:t>
      </w:r>
    </w:p>
    <w:p>
      <w:pPr>
        <w:pStyle w:val="ListParagraph"/>
        <w:numPr>
          <w:ilvl w:val="0"/>
          <w:numId w:val="2"/>
        </w:numPr>
        <w:spacing w:after="90" w:line="280"/>
      </w:pPr>
      <w:r>
        <w:rPr>
          <w:color w:val="1A1A1A"/>
          <w:sz w:val="22"/>
          <w:szCs w:val="22"/>
        </w:rPr>
        <w:t xml:space="preserve">Transparent, comparable pricing to choose a vendor that fits their budget with confidence.</w:t>
      </w:r>
    </w:p>
    <w:p>
      <w:pPr>
        <w:pStyle w:val="ListParagraph"/>
        <w:numPr>
          <w:ilvl w:val="0"/>
          <w:numId w:val="2"/>
        </w:numPr>
        <w:spacing w:after="90" w:line="280"/>
      </w:pPr>
      <w:r>
        <w:rPr>
          <w:color w:val="1A1A1A"/>
          <w:sz w:val="22"/>
          <w:szCs w:val="22"/>
        </w:rPr>
        <w:t xml:space="preserve">A paper trail and dispute process that protects them if a vendor fails to deliver.</w:t>
      </w:r>
    </w:p>
    <w:p>
      <w:pPr>
        <w:pStyle w:val="ListParagraph"/>
        <w:numPr>
          <w:ilvl w:val="0"/>
          <w:numId w:val="2"/>
        </w:numPr>
        <w:spacing w:after="90" w:line="280"/>
      </w:pPr>
      <w:r>
        <w:rPr>
          <w:color w:val="1A1A1A"/>
          <w:sz w:val="22"/>
          <w:szCs w:val="22"/>
        </w:rPr>
        <w:t xml:space="preserve">For planners: the ability to source and manage several vendors for one event from a single dashboard.</w:t>
      </w:r>
    </w:p>
    <w:p>
      <w:pPr>
        <w:pStyle w:val="Heading2"/>
        <w:spacing w:after="140" w:before="280"/>
      </w:pPr>
      <w:r>
        <w:rPr>
          <w:b/>
          <w:bCs/>
          <w:color w:val="0B1F3A"/>
          <w:sz w:val="24"/>
          <w:szCs w:val="24"/>
        </w:rPr>
        <w:t xml:space="preserve">2.3 Revenue Model</w:t>
      </w:r>
    </w:p>
    <w:p>
      <w:pPr>
        <w:spacing w:after="160" w:line="300"/>
      </w:pPr>
      <w:r>
        <w:rPr>
          <w:color w:val="1A1A1A"/>
          <w:sz w:val="22"/>
          <w:szCs w:val="22"/>
        </w:rPr>
        <w:t xml:space="preserve">The core revenue stream is a commission on the value of each booking made through the platform — the same logic as Jumia's seller commission, adapted to services. Because the agreed price for a service is used to calculate commission, 8.8 Events also benefits vendors by anchoring pricing at a fixed, published rate rather than one that is negotiated downward informally.</w:t>
      </w:r>
    </w:p>
    <w:p>
      <w:pPr>
        <w:spacing w:after="160" w:line="300"/>
      </w:pPr>
      <w:r>
        <w:rPr>
          <w:color w:val="1A1A1A"/>
          <w:sz w:val="22"/>
          <w:szCs w:val="22"/>
        </w:rPr>
        <w:t xml:space="preserve">Secondary revenue streams to introduce from Phase 2 onward:</w:t>
      </w:r>
    </w:p>
    <w:p>
      <w:pPr>
        <w:pStyle w:val="ListParagraph"/>
        <w:numPr>
          <w:ilvl w:val="0"/>
          <w:numId w:val="2"/>
        </w:numPr>
        <w:spacing w:after="90" w:line="280"/>
      </w:pPr>
      <w:r>
        <w:rPr>
          <w:color w:val="1A1A1A"/>
          <w:sz w:val="22"/>
          <w:szCs w:val="22"/>
        </w:rPr>
        <w:t xml:space="preserve">Featured/promoted vendor placements (paid visibility boost within a category or search result).</w:t>
      </w:r>
    </w:p>
    <w:p>
      <w:pPr>
        <w:pStyle w:val="ListParagraph"/>
        <w:numPr>
          <w:ilvl w:val="0"/>
          <w:numId w:val="2"/>
        </w:numPr>
        <w:spacing w:after="90" w:line="280"/>
      </w:pPr>
      <w:r>
        <w:rPr>
          <w:color w:val="1A1A1A"/>
          <w:sz w:val="22"/>
          <w:szCs w:val="22"/>
        </w:rPr>
        <w:t xml:space="preserve">Premium vendor subscription tier (enhanced analytics, priority support, lower commission rate at higher volume).</w:t>
      </w:r>
    </w:p>
    <w:p>
      <w:pPr>
        <w:pStyle w:val="ListParagraph"/>
        <w:numPr>
          <w:ilvl w:val="0"/>
          <w:numId w:val="2"/>
        </w:numPr>
        <w:spacing w:after="90" w:line="280"/>
      </w:pPr>
      <w:r>
        <w:rPr>
          <w:color w:val="1A1A1A"/>
          <w:sz w:val="22"/>
          <w:szCs w:val="22"/>
        </w:rPr>
        <w:t xml:space="preserve">Lead packages for planners/agencies (bulk-vendor sourcing tools).</w:t>
      </w:r>
    </w:p>
    <w:p>
      <w:pPr>
        <w:pStyle w:val="ListParagraph"/>
        <w:numPr>
          <w:ilvl w:val="0"/>
          <w:numId w:val="2"/>
        </w:numPr>
        <w:spacing w:after="90" w:line="280"/>
      </w:pPr>
      <w:r>
        <w:rPr>
          <w:color w:val="1A1A1A"/>
          <w:sz w:val="22"/>
          <w:szCs w:val="22"/>
        </w:rPr>
        <w:t xml:space="preserve">Sponsored content/banner placements from event-adjacent brands (rental equipment suppliers, banks offering event loans, etc.).</w:t>
      </w:r>
    </w:p>
    <w:p>
      <w:pPr>
        <w:pStyle w:val="Heading1"/>
        <w:pBdr>
          <w:bottom w:val="single" w:color="0B1F3A" w:sz="6" w:space="4"/>
        </w:pBdr>
        <w:spacing w:after="200" w:before="400"/>
      </w:pPr>
      <w:r>
        <w:rPr>
          <w:b/>
          <w:bCs/>
          <w:color w:val="0B1F3A"/>
          <w:sz w:val="30"/>
          <w:szCs w:val="30"/>
        </w:rPr>
        <w:t xml:space="preserve">3. Payment &amp; Commission Structure — The Hybrid Deposit Model</w:t>
      </w:r>
    </w:p>
    <w:p>
      <w:pPr>
        <w:spacing w:after="160" w:line="300"/>
      </w:pPr>
      <w:r>
        <w:rPr>
          <w:color w:val="1A1A1A"/>
          <w:sz w:val="22"/>
          <w:szCs w:val="22"/>
        </w:rPr>
        <w:t xml:space="preserve">This is the mechanism that makes the business model work: it guarantees 8.8 Events earns its commission on every serious booking, without requiring the platform to hold and disburse full event budgets (which would need a licensed escrow/payment service provider setup and much heavier compliance).</w:t>
      </w:r>
    </w:p>
    <w:p>
      <w:pPr>
        <w:pStyle w:val="Heading2"/>
        <w:spacing w:after="140" w:before="280"/>
      </w:pPr>
      <w:r>
        <w:rPr>
          <w:b/>
          <w:bCs/>
          <w:color w:val="0B1F3A"/>
          <w:sz w:val="24"/>
          <w:szCs w:val="24"/>
        </w:rPr>
        <w:t xml:space="preserve">3.1 How a Booking Flows</w:t>
      </w:r>
    </w:p>
    <w:p>
      <w:pPr>
        <w:pStyle w:val="ListParagraph"/>
        <w:numPr>
          <w:ilvl w:val="0"/>
          <w:numId w:val="3"/>
        </w:numPr>
        <w:spacing w:after="90" w:line="280"/>
      </w:pPr>
      <w:r>
        <w:rPr>
          <w:color w:val="1A1A1A"/>
          <w:sz w:val="22"/>
          <w:szCs w:val="22"/>
        </w:rPr>
        <w:t xml:space="preserve">Client finds a vendor through search/category browsing and sends a booking or quote request with event details (date, location, package needed, budget range).</w:t>
      </w:r>
    </w:p>
    <w:p>
      <w:pPr>
        <w:pStyle w:val="ListParagraph"/>
        <w:numPr>
          <w:ilvl w:val="0"/>
          <w:numId w:val="3"/>
        </w:numPr>
        <w:spacing w:after="90" w:line="280"/>
      </w:pPr>
      <w:r>
        <w:rPr>
          <w:color w:val="1A1A1A"/>
          <w:sz w:val="22"/>
          <w:szCs w:val="22"/>
        </w:rPr>
        <w:t xml:space="preserve">Vendor responds inside the platform with a fixed quoted price for the requested package/service.</w:t>
      </w:r>
    </w:p>
    <w:p>
      <w:pPr>
        <w:pStyle w:val="ListParagraph"/>
        <w:numPr>
          <w:ilvl w:val="0"/>
          <w:numId w:val="3"/>
        </w:numPr>
        <w:spacing w:after="90" w:line="280"/>
      </w:pPr>
      <w:r>
        <w:rPr>
          <w:color w:val="1A1A1A"/>
          <w:sz w:val="22"/>
          <w:szCs w:val="22"/>
        </w:rPr>
        <w:t xml:space="preserve">Client accepts the quote. This converts the request into a confirmed booking.</w:t>
      </w:r>
    </w:p>
    <w:p>
      <w:pPr>
        <w:pStyle w:val="ListParagraph"/>
        <w:numPr>
          <w:ilvl w:val="0"/>
          <w:numId w:val="3"/>
        </w:numPr>
        <w:spacing w:after="90" w:line="280"/>
      </w:pPr>
      <w:r>
        <w:rPr>
          <w:color w:val="1A1A1A"/>
          <w:sz w:val="22"/>
          <w:szCs w:val="22"/>
        </w:rPr>
        <w:t xml:space="preserve">Client pays a deposit through the platform (via Paystack/Flutterwave) — recommended at 20–30% of the agreed price, vendor-category dependent.</w:t>
      </w:r>
    </w:p>
    <w:p>
      <w:pPr>
        <w:pStyle w:val="ListParagraph"/>
        <w:numPr>
          <w:ilvl w:val="0"/>
          <w:numId w:val="3"/>
        </w:numPr>
        <w:spacing w:after="90" w:line="280"/>
      </w:pPr>
      <w:r>
        <w:rPr>
          <w:color w:val="1A1A1A"/>
          <w:sz w:val="22"/>
          <w:szCs w:val="22"/>
        </w:rPr>
        <w:t xml:space="preserve">8.8 Events deducts its commission from this deposit before crediting the vendor's in-platform wallet with the net amount.</w:t>
      </w:r>
    </w:p>
    <w:p>
      <w:pPr>
        <w:pStyle w:val="ListParagraph"/>
        <w:numPr>
          <w:ilvl w:val="0"/>
          <w:numId w:val="3"/>
        </w:numPr>
        <w:spacing w:after="90" w:line="280"/>
      </w:pPr>
      <w:r>
        <w:rPr>
          <w:color w:val="1A1A1A"/>
          <w:sz w:val="22"/>
          <w:szCs w:val="22"/>
        </w:rPr>
        <w:t xml:space="preserve">The balance of the agreed price is paid directly by the client to the vendor offline, on or before the event date, exactly as the two parties agree.</w:t>
      </w:r>
    </w:p>
    <w:p>
      <w:pPr>
        <w:pStyle w:val="ListParagraph"/>
        <w:numPr>
          <w:ilvl w:val="0"/>
          <w:numId w:val="3"/>
        </w:numPr>
        <w:spacing w:after="90" w:line="280"/>
      </w:pPr>
      <w:r>
        <w:rPr>
          <w:color w:val="1A1A1A"/>
          <w:sz w:val="22"/>
          <w:szCs w:val="22"/>
        </w:rPr>
        <w:t xml:space="preserve">Both parties mark the booking "completed" after the event, which unlocks reviews and closes the transaction record.</w:t>
      </w:r>
    </w:p>
    <w:p>
      <w:pPr>
        <w:pStyle w:val="Heading2"/>
        <w:spacing w:after="140" w:before="280"/>
      </w:pPr>
      <w:r>
        <w:rPr>
          <w:b/>
          <w:bCs/>
          <w:color w:val="0B1F3A"/>
          <w:sz w:val="24"/>
          <w:szCs w:val="24"/>
        </w:rPr>
        <w:t xml:space="preserve">3.2 Why Deposit-Based Commission Works Here</w:t>
      </w:r>
    </w:p>
    <w:p>
      <w:pPr>
        <w:pStyle w:val="ListParagraph"/>
        <w:numPr>
          <w:ilvl w:val="0"/>
          <w:numId w:val="2"/>
        </w:numPr>
        <w:spacing w:after="90" w:line="280"/>
      </w:pPr>
      <w:r>
        <w:rPr>
          <w:color w:val="1A1A1A"/>
          <w:sz w:val="22"/>
          <w:szCs w:val="22"/>
        </w:rPr>
        <w:t xml:space="preserve">It captures commission on 100% of bookings, not just the portion of ones where a client happens to pay everything online.</w:t>
      </w:r>
    </w:p>
    <w:p>
      <w:pPr>
        <w:pStyle w:val="ListParagraph"/>
        <w:numPr>
          <w:ilvl w:val="0"/>
          <w:numId w:val="2"/>
        </w:numPr>
        <w:spacing w:after="90" w:line="280"/>
      </w:pPr>
      <w:r>
        <w:rPr>
          <w:color w:val="1A1A1A"/>
          <w:sz w:val="22"/>
          <w:szCs w:val="22"/>
        </w:rPr>
        <w:t xml:space="preserve">It doesn't require 8.8 Events to be a licensed payment/escrow institution holding full event budgets — deposits are processed through a licensed payment gateway partner (Paystack/Flutterwave) using their split-payment/sub-account features, which handle the commission split automatically at the point of payment.</w:t>
      </w:r>
    </w:p>
    <w:p>
      <w:pPr>
        <w:pStyle w:val="ListParagraph"/>
        <w:numPr>
          <w:ilvl w:val="0"/>
          <w:numId w:val="2"/>
        </w:numPr>
        <w:spacing w:after="90" w:line="280"/>
      </w:pPr>
      <w:r>
        <w:rPr>
          <w:color w:val="1A1A1A"/>
          <w:sz w:val="22"/>
          <w:szCs w:val="22"/>
        </w:rPr>
        <w:t xml:space="preserve">The deposit itself protects both sides: it commits the client (reducing no-shows/ghosting) and commits the vendor (a vendor who accepted a deposit has a strong incentive to deliver).</w:t>
      </w:r>
    </w:p>
    <w:p>
      <w:pPr>
        <w:pStyle w:val="ListParagraph"/>
        <w:numPr>
          <w:ilvl w:val="0"/>
          <w:numId w:val="2"/>
        </w:numPr>
        <w:spacing w:after="90" w:line="280"/>
      </w:pPr>
      <w:r>
        <w:rPr>
          <w:color w:val="1A1A1A"/>
          <w:sz w:val="22"/>
          <w:szCs w:val="22"/>
        </w:rPr>
        <w:t xml:space="preserve">It preserves the fixed-price mechanic — because the deposit is calculated as a percentage of one clearly agreed number, there's no informal renegotiation happening on the platform.</w:t>
      </w:r>
    </w:p>
    <w:p>
      <w:pPr>
        <w:pStyle w:val="Heading2"/>
        <w:spacing w:after="140" w:before="280"/>
      </w:pPr>
      <w:r>
        <w:rPr>
          <w:b/>
          <w:bCs/>
          <w:color w:val="0B1F3A"/>
          <w:sz w:val="24"/>
          <w:szCs w:val="24"/>
        </w:rPr>
        <w:t xml:space="preserve">3.3 Suggested Commission Tiers</w:t>
      </w:r>
    </w:p>
    <w:p>
      <w:pPr>
        <w:spacing w:after="160" w:line="300"/>
      </w:pPr>
      <w:r>
        <w:rPr>
          <w:color w:val="1A1A1A"/>
          <w:sz w:val="22"/>
          <w:szCs w:val="22"/>
        </w:rPr>
        <w:t xml:space="preserve">Commission should vary by vendor category and price band, since margins differ across services (e.g. rentals have thinner margins than photography). These are starting reference points to validate with real vendor conversations before launch:</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2600"/>
        <w:gridCol w:w="2400"/>
        <w:gridCol w:w="2400"/>
        <w:gridCol w:w="2600"/>
      </w:tblGrid>
      <w:tr>
        <w:tc>
          <w:tcPr>
            <w:tcW w:type="dxa" w:w="2600"/>
            <w:shd w:fill="0B1F3A" w:val="clear"/>
            <w:tcMar>
              <w:top w:type="dxa" w:w="100"/>
              <w:left w:type="dxa" w:w="120"/>
              <w:bottom w:type="dxa" w:w="100"/>
              <w:right w:type="dxa" w:w="120"/>
            </w:tcMar>
          </w:tcPr>
          <w:p>
            <w:r>
              <w:rPr>
                <w:b/>
                <w:bCs/>
                <w:color w:val="FFFFFF"/>
                <w:sz w:val="20"/>
                <w:szCs w:val="20"/>
              </w:rPr>
              <w:t xml:space="preserve">Category Band</w:t>
            </w:r>
          </w:p>
        </w:tc>
        <w:tc>
          <w:tcPr>
            <w:tcW w:type="dxa" w:w="2400"/>
            <w:shd w:fill="0B1F3A" w:val="clear"/>
            <w:tcMar>
              <w:top w:type="dxa" w:w="100"/>
              <w:left w:type="dxa" w:w="120"/>
              <w:bottom w:type="dxa" w:w="100"/>
              <w:right w:type="dxa" w:w="120"/>
            </w:tcMar>
          </w:tcPr>
          <w:p>
            <w:r>
              <w:rPr>
                <w:b/>
                <w:bCs/>
                <w:color w:val="FFFFFF"/>
                <w:sz w:val="20"/>
                <w:szCs w:val="20"/>
              </w:rPr>
              <w:t xml:space="preserve">Example Vendors</w:t>
            </w:r>
          </w:p>
        </w:tc>
        <w:tc>
          <w:tcPr>
            <w:tcW w:type="dxa" w:w="2400"/>
            <w:shd w:fill="0B1F3A" w:val="clear"/>
            <w:tcMar>
              <w:top w:type="dxa" w:w="100"/>
              <w:left w:type="dxa" w:w="120"/>
              <w:bottom w:type="dxa" w:w="100"/>
              <w:right w:type="dxa" w:w="120"/>
            </w:tcMar>
          </w:tcPr>
          <w:p>
            <w:r>
              <w:rPr>
                <w:b/>
                <w:bCs/>
                <w:color w:val="FFFFFF"/>
                <w:sz w:val="20"/>
                <w:szCs w:val="20"/>
              </w:rPr>
              <w:t xml:space="preserve">Suggested Commission</w:t>
            </w:r>
          </w:p>
        </w:tc>
        <w:tc>
          <w:tcPr>
            <w:tcW w:type="dxa" w:w="2600"/>
            <w:shd w:fill="0B1F3A" w:val="clear"/>
            <w:tcMar>
              <w:top w:type="dxa" w:w="100"/>
              <w:left w:type="dxa" w:w="120"/>
              <w:bottom w:type="dxa" w:w="100"/>
              <w:right w:type="dxa" w:w="120"/>
            </w:tcMar>
          </w:tcPr>
          <w:p>
            <w:r>
              <w:rPr>
                <w:b/>
                <w:bCs/>
                <w:color w:val="FFFFFF"/>
                <w:sz w:val="20"/>
                <w:szCs w:val="20"/>
              </w:rPr>
              <w:t xml:space="preserve">Suggested Deposit %</w:t>
            </w:r>
          </w:p>
        </w:tc>
      </w:tr>
      <w:tr>
        <w:tc>
          <w:tcPr>
            <w:tcW w:type="dxa" w:w="2600"/>
            <w:tcMar>
              <w:top w:type="dxa" w:w="100"/>
              <w:left w:type="dxa" w:w="120"/>
              <w:bottom w:type="dxa" w:w="100"/>
              <w:right w:type="dxa" w:w="120"/>
            </w:tcMar>
          </w:tcPr>
          <w:p>
            <w:r>
              <w:rPr>
                <w:b w:val="false"/>
                <w:bCs w:val="false"/>
                <w:color w:val="1A1A1A"/>
                <w:sz w:val="20"/>
                <w:szCs w:val="20"/>
              </w:rPr>
              <w:t xml:space="preserve">High-margin services</w:t>
            </w:r>
          </w:p>
        </w:tc>
        <w:tc>
          <w:tcPr>
            <w:tcW w:type="dxa" w:w="2400"/>
            <w:tcMar>
              <w:top w:type="dxa" w:w="100"/>
              <w:left w:type="dxa" w:w="120"/>
              <w:bottom w:type="dxa" w:w="100"/>
              <w:right w:type="dxa" w:w="120"/>
            </w:tcMar>
          </w:tcPr>
          <w:p>
            <w:r>
              <w:rPr>
                <w:b w:val="false"/>
                <w:bCs w:val="false"/>
                <w:color w:val="1A1A1A"/>
                <w:sz w:val="20"/>
                <w:szCs w:val="20"/>
              </w:rPr>
              <w:t xml:space="preserve">Photography, MC, makeup, DJ</w:t>
            </w:r>
          </w:p>
        </w:tc>
        <w:tc>
          <w:tcPr>
            <w:tcW w:type="dxa" w:w="2400"/>
            <w:tcMar>
              <w:top w:type="dxa" w:w="100"/>
              <w:left w:type="dxa" w:w="120"/>
              <w:bottom w:type="dxa" w:w="100"/>
              <w:right w:type="dxa" w:w="120"/>
            </w:tcMar>
          </w:tcPr>
          <w:p>
            <w:r>
              <w:rPr>
                <w:b w:val="false"/>
                <w:bCs w:val="false"/>
                <w:color w:val="1A1A1A"/>
                <w:sz w:val="20"/>
                <w:szCs w:val="20"/>
              </w:rPr>
              <w:t xml:space="preserve">8–12%</w:t>
            </w:r>
          </w:p>
        </w:tc>
        <w:tc>
          <w:tcPr>
            <w:tcW w:type="dxa" w:w="2600"/>
            <w:tcMar>
              <w:top w:type="dxa" w:w="100"/>
              <w:left w:type="dxa" w:w="120"/>
              <w:bottom w:type="dxa" w:w="100"/>
              <w:right w:type="dxa" w:w="120"/>
            </w:tcMar>
          </w:tcPr>
          <w:p>
            <w:r>
              <w:rPr>
                <w:b w:val="false"/>
                <w:bCs w:val="false"/>
                <w:color w:val="1A1A1A"/>
                <w:sz w:val="20"/>
                <w:szCs w:val="20"/>
              </w:rPr>
              <w:t xml:space="preserve">25–30%</w:t>
            </w:r>
          </w:p>
        </w:tc>
      </w:tr>
      <w:tr>
        <w:tc>
          <w:tcPr>
            <w:tcW w:type="dxa" w:w="2600"/>
            <w:shd w:fill="F2F2F2" w:val="clear"/>
            <w:tcMar>
              <w:top w:type="dxa" w:w="100"/>
              <w:left w:type="dxa" w:w="120"/>
              <w:bottom w:type="dxa" w:w="100"/>
              <w:right w:type="dxa" w:w="120"/>
            </w:tcMar>
          </w:tcPr>
          <w:p>
            <w:r>
              <w:rPr>
                <w:b w:val="false"/>
                <w:bCs w:val="false"/>
                <w:color w:val="1A1A1A"/>
                <w:sz w:val="20"/>
                <w:szCs w:val="20"/>
              </w:rPr>
              <w:t xml:space="preserve">Mid-margin services</w:t>
            </w:r>
          </w:p>
        </w:tc>
        <w:tc>
          <w:tcPr>
            <w:tcW w:type="dxa" w:w="2400"/>
            <w:shd w:fill="F2F2F2" w:val="clear"/>
            <w:tcMar>
              <w:top w:type="dxa" w:w="100"/>
              <w:left w:type="dxa" w:w="120"/>
              <w:bottom w:type="dxa" w:w="100"/>
              <w:right w:type="dxa" w:w="120"/>
            </w:tcMar>
          </w:tcPr>
          <w:p>
            <w:r>
              <w:rPr>
                <w:b w:val="false"/>
                <w:bCs w:val="false"/>
                <w:color w:val="1A1A1A"/>
                <w:sz w:val="20"/>
                <w:szCs w:val="20"/>
              </w:rPr>
              <w:t xml:space="preserve">Decor, cakes, event planning</w:t>
            </w:r>
          </w:p>
        </w:tc>
        <w:tc>
          <w:tcPr>
            <w:tcW w:type="dxa" w:w="2400"/>
            <w:shd w:fill="F2F2F2" w:val="clear"/>
            <w:tcMar>
              <w:top w:type="dxa" w:w="100"/>
              <w:left w:type="dxa" w:w="120"/>
              <w:bottom w:type="dxa" w:w="100"/>
              <w:right w:type="dxa" w:w="120"/>
            </w:tcMar>
          </w:tcPr>
          <w:p>
            <w:r>
              <w:rPr>
                <w:b w:val="false"/>
                <w:bCs w:val="false"/>
                <w:color w:val="1A1A1A"/>
                <w:sz w:val="20"/>
                <w:szCs w:val="20"/>
              </w:rPr>
              <w:t xml:space="preserve">6–9%</w:t>
            </w:r>
          </w:p>
        </w:tc>
        <w:tc>
          <w:tcPr>
            <w:tcW w:type="dxa" w:w="2600"/>
            <w:shd w:fill="F2F2F2" w:val="clear"/>
            <w:tcMar>
              <w:top w:type="dxa" w:w="100"/>
              <w:left w:type="dxa" w:w="120"/>
              <w:bottom w:type="dxa" w:w="100"/>
              <w:right w:type="dxa" w:w="120"/>
            </w:tcMar>
          </w:tcPr>
          <w:p>
            <w:r>
              <w:rPr>
                <w:b w:val="false"/>
                <w:bCs w:val="false"/>
                <w:color w:val="1A1A1A"/>
                <w:sz w:val="20"/>
                <w:szCs w:val="20"/>
              </w:rPr>
              <w:t xml:space="preserve">20–25%</w:t>
            </w:r>
          </w:p>
        </w:tc>
      </w:tr>
      <w:tr>
        <w:tc>
          <w:tcPr>
            <w:tcW w:type="dxa" w:w="2600"/>
            <w:tcMar>
              <w:top w:type="dxa" w:w="100"/>
              <w:left w:type="dxa" w:w="120"/>
              <w:bottom w:type="dxa" w:w="100"/>
              <w:right w:type="dxa" w:w="120"/>
            </w:tcMar>
          </w:tcPr>
          <w:p>
            <w:r>
              <w:rPr>
                <w:b w:val="false"/>
                <w:bCs w:val="false"/>
                <w:color w:val="1A1A1A"/>
                <w:sz w:val="20"/>
                <w:szCs w:val="20"/>
              </w:rPr>
              <w:t xml:space="preserve">Low-margin / equipment</w:t>
            </w:r>
          </w:p>
        </w:tc>
        <w:tc>
          <w:tcPr>
            <w:tcW w:type="dxa" w:w="2400"/>
            <w:tcMar>
              <w:top w:type="dxa" w:w="100"/>
              <w:left w:type="dxa" w:w="120"/>
              <w:bottom w:type="dxa" w:w="100"/>
              <w:right w:type="dxa" w:w="120"/>
            </w:tcMar>
          </w:tcPr>
          <w:p>
            <w:r>
              <w:rPr>
                <w:b w:val="false"/>
                <w:bCs w:val="false"/>
                <w:color w:val="1A1A1A"/>
                <w:sz w:val="20"/>
                <w:szCs w:val="20"/>
              </w:rPr>
              <w:t xml:space="preserve">Rentals, catering, logistics</w:t>
            </w:r>
          </w:p>
        </w:tc>
        <w:tc>
          <w:tcPr>
            <w:tcW w:type="dxa" w:w="2400"/>
            <w:tcMar>
              <w:top w:type="dxa" w:w="100"/>
              <w:left w:type="dxa" w:w="120"/>
              <w:bottom w:type="dxa" w:w="100"/>
              <w:right w:type="dxa" w:w="120"/>
            </w:tcMar>
          </w:tcPr>
          <w:p>
            <w:r>
              <w:rPr>
                <w:b w:val="false"/>
                <w:bCs w:val="false"/>
                <w:color w:val="1A1A1A"/>
                <w:sz w:val="20"/>
                <w:szCs w:val="20"/>
              </w:rPr>
              <w:t xml:space="preserve">4–6%</w:t>
            </w:r>
          </w:p>
        </w:tc>
        <w:tc>
          <w:tcPr>
            <w:tcW w:type="dxa" w:w="2600"/>
            <w:tcMar>
              <w:top w:type="dxa" w:w="100"/>
              <w:left w:type="dxa" w:w="120"/>
              <w:bottom w:type="dxa" w:w="100"/>
              <w:right w:type="dxa" w:w="120"/>
            </w:tcMar>
          </w:tcPr>
          <w:p>
            <w:r>
              <w:rPr>
                <w:b w:val="false"/>
                <w:bCs w:val="false"/>
                <w:color w:val="1A1A1A"/>
                <w:sz w:val="20"/>
                <w:szCs w:val="20"/>
              </w:rPr>
              <w:t xml:space="preserve">15–20%</w:t>
            </w:r>
          </w:p>
        </w:tc>
      </w:tr>
      <w:tr>
        <w:tc>
          <w:tcPr>
            <w:tcW w:type="dxa" w:w="2600"/>
            <w:shd w:fill="F2F2F2" w:val="clear"/>
            <w:tcMar>
              <w:top w:type="dxa" w:w="100"/>
              <w:left w:type="dxa" w:w="120"/>
              <w:bottom w:type="dxa" w:w="100"/>
              <w:right w:type="dxa" w:w="120"/>
            </w:tcMar>
          </w:tcPr>
          <w:p>
            <w:r>
              <w:rPr>
                <w:b w:val="false"/>
                <w:bCs w:val="false"/>
                <w:color w:val="1A1A1A"/>
                <w:sz w:val="20"/>
                <w:szCs w:val="20"/>
              </w:rPr>
              <w:t xml:space="preserve">Venues</w:t>
            </w:r>
          </w:p>
        </w:tc>
        <w:tc>
          <w:tcPr>
            <w:tcW w:type="dxa" w:w="2400"/>
            <w:shd w:fill="F2F2F2" w:val="clear"/>
            <w:tcMar>
              <w:top w:type="dxa" w:w="100"/>
              <w:left w:type="dxa" w:w="120"/>
              <w:bottom w:type="dxa" w:w="100"/>
              <w:right w:type="dxa" w:w="120"/>
            </w:tcMar>
          </w:tcPr>
          <w:p>
            <w:r>
              <w:rPr>
                <w:b w:val="false"/>
                <w:bCs w:val="false"/>
                <w:color w:val="1A1A1A"/>
                <w:sz w:val="20"/>
                <w:szCs w:val="20"/>
              </w:rPr>
              <w:t xml:space="preserve">Halls, gardens, event centres</w:t>
            </w:r>
          </w:p>
        </w:tc>
        <w:tc>
          <w:tcPr>
            <w:tcW w:type="dxa" w:w="2400"/>
            <w:shd w:fill="F2F2F2" w:val="clear"/>
            <w:tcMar>
              <w:top w:type="dxa" w:w="100"/>
              <w:left w:type="dxa" w:w="120"/>
              <w:bottom w:type="dxa" w:w="100"/>
              <w:right w:type="dxa" w:w="120"/>
            </w:tcMar>
          </w:tcPr>
          <w:p>
            <w:r>
              <w:rPr>
                <w:b w:val="false"/>
                <w:bCs w:val="false"/>
                <w:color w:val="1A1A1A"/>
                <w:sz w:val="20"/>
                <w:szCs w:val="20"/>
              </w:rPr>
              <w:t xml:space="preserve">5–7%</w:t>
            </w:r>
          </w:p>
        </w:tc>
        <w:tc>
          <w:tcPr>
            <w:tcW w:type="dxa" w:w="2600"/>
            <w:shd w:fill="F2F2F2" w:val="clear"/>
            <w:tcMar>
              <w:top w:type="dxa" w:w="100"/>
              <w:left w:type="dxa" w:w="120"/>
              <w:bottom w:type="dxa" w:w="100"/>
              <w:right w:type="dxa" w:w="120"/>
            </w:tcMar>
          </w:tcPr>
          <w:p>
            <w:r>
              <w:rPr>
                <w:b w:val="false"/>
                <w:bCs w:val="false"/>
                <w:color w:val="1A1A1A"/>
                <w:sz w:val="20"/>
                <w:szCs w:val="20"/>
              </w:rPr>
              <w:t xml:space="preserve">20–30%</w:t>
            </w:r>
          </w:p>
        </w:tc>
      </w:tr>
    </w:tbl>
    <w:p>
      <w:pPr>
        <w:spacing w:after="160" w:line="300"/>
      </w:pPr>
      <w:r>
        <w:rPr>
          <w:color w:val="1A1A1A"/>
          <w:sz w:val="22"/>
          <w:szCs w:val="22"/>
        </w:rPr>
        <w:t xml:space="preserve"/>
      </w:r>
    </w:p>
    <w:p>
      <w:pPr>
        <w:pStyle w:val="Heading2"/>
        <w:spacing w:after="140" w:before="280"/>
      </w:pPr>
      <w:r>
        <w:rPr>
          <w:b/>
          <w:bCs/>
          <w:color w:val="0B1F3A"/>
          <w:sz w:val="24"/>
          <w:szCs w:val="24"/>
        </w:rPr>
        <w:t xml:space="preserve">3.4 Handling Disputes, Cancellations &amp; Payouts</w:t>
      </w:r>
    </w:p>
    <w:p>
      <w:pPr>
        <w:pStyle w:val="ListParagraph"/>
        <w:numPr>
          <w:ilvl w:val="0"/>
          <w:numId w:val="2"/>
        </w:numPr>
        <w:spacing w:after="90" w:line="280"/>
      </w:pPr>
      <w:r>
        <w:rPr>
          <w:color w:val="1A1A1A"/>
          <w:sz w:val="22"/>
          <w:szCs w:val="22"/>
        </w:rPr>
        <w:t xml:space="preserve">Vendor payout of the net deposit can be released immediately, or held for a short window (e.g. 24–48 hours) if the platform wants a buffer to catch same-day cancellations — this is a policy decision to make before launch.</w:t>
      </w:r>
    </w:p>
    <w:p>
      <w:pPr>
        <w:pStyle w:val="ListParagraph"/>
        <w:numPr>
          <w:ilvl w:val="0"/>
          <w:numId w:val="2"/>
        </w:numPr>
        <w:spacing w:after="90" w:line="280"/>
      </w:pPr>
      <w:r>
        <w:rPr>
          <w:color w:val="1A1A1A"/>
          <w:sz w:val="22"/>
          <w:szCs w:val="22"/>
        </w:rPr>
        <w:t xml:space="preserve">If a vendor cancels after accepting a deposit: full deposit refunded to client, and a cancellation strike recorded against the vendor's profile (repeated strikes affect visibility or lead to suspension).</w:t>
      </w:r>
    </w:p>
    <w:p>
      <w:pPr>
        <w:pStyle w:val="ListParagraph"/>
        <w:numPr>
          <w:ilvl w:val="0"/>
          <w:numId w:val="2"/>
        </w:numPr>
        <w:spacing w:after="90" w:line="280"/>
      </w:pPr>
      <w:r>
        <w:rPr>
          <w:color w:val="1A1A1A"/>
          <w:sz w:val="22"/>
          <w:szCs w:val="22"/>
        </w:rPr>
        <w:t xml:space="preserve">If a client cancels within an agreed notice window: deposit is forfeited to the vendor (minus or including commission, per policy) to compensate the vendor for holding the date.</w:t>
      </w:r>
    </w:p>
    <w:p>
      <w:pPr>
        <w:pStyle w:val="ListParagraph"/>
        <w:numPr>
          <w:ilvl w:val="0"/>
          <w:numId w:val="2"/>
        </w:numPr>
        <w:spacing w:after="90" w:line="280"/>
      </w:pPr>
      <w:r>
        <w:rPr>
          <w:color w:val="1A1A1A"/>
          <w:sz w:val="22"/>
          <w:szCs w:val="22"/>
        </w:rPr>
        <w:t xml:space="preserve">A visible, simple cancellation and refund policy should be shown before a client pays a deposit — this is standard practice on every serious services marketplace and reduces disputes significantly.</w:t>
      </w:r>
    </w:p>
    <w:p>
      <w:pPr>
        <w:pStyle w:val="ListParagraph"/>
        <w:numPr>
          <w:ilvl w:val="0"/>
          <w:numId w:val="2"/>
        </w:numPr>
        <w:spacing w:after="90" w:line="280"/>
      </w:pPr>
      <w:r>
        <w:rPr>
          <w:color w:val="1A1A1A"/>
          <w:sz w:val="22"/>
          <w:szCs w:val="22"/>
        </w:rPr>
        <w:t xml:space="preserve">An admin-mediated dispute flow should exist for anything that falls outside these two straightforward cases (e.g. service not delivered as described).</w:t>
      </w:r>
    </w:p>
    <w:p>
      <w:pPr>
        <w:pStyle w:val="Heading1"/>
        <w:pBdr>
          <w:bottom w:val="single" w:color="0B1F3A" w:sz="6" w:space="4"/>
        </w:pBdr>
        <w:spacing w:after="200" w:before="400"/>
      </w:pPr>
      <w:r>
        <w:rPr>
          <w:b/>
          <w:bCs/>
          <w:color w:val="0B1F3A"/>
          <w:sz w:val="30"/>
          <w:szCs w:val="30"/>
        </w:rPr>
        <w:t xml:space="preserve">4. User Roles &amp; Core Features</w:t>
      </w:r>
    </w:p>
    <w:p>
      <w:pPr>
        <w:pStyle w:val="Heading2"/>
        <w:spacing w:after="140" w:before="280"/>
      </w:pPr>
      <w:r>
        <w:rPr>
          <w:b/>
          <w:bCs/>
          <w:color w:val="0B1F3A"/>
          <w:sz w:val="24"/>
          <w:szCs w:val="24"/>
        </w:rPr>
        <w:t xml:space="preserve">4.1 Vendor</w:t>
      </w:r>
    </w:p>
    <w:p>
      <w:pPr>
        <w:pStyle w:val="ListParagraph"/>
        <w:numPr>
          <w:ilvl w:val="0"/>
          <w:numId w:val="2"/>
        </w:numPr>
        <w:spacing w:after="90" w:line="280"/>
      </w:pPr>
      <w:r>
        <w:rPr>
          <w:color w:val="1A1A1A"/>
          <w:sz w:val="22"/>
          <w:szCs w:val="22"/>
        </w:rPr>
        <w:t xml:space="preserve">Registration &amp; KYC: business name, category, location, phone/email verification, optional CAC number and ID upload for a "Verified" badge.</w:t>
      </w:r>
    </w:p>
    <w:p>
      <w:pPr>
        <w:pStyle w:val="ListParagraph"/>
        <w:numPr>
          <w:ilvl w:val="0"/>
          <w:numId w:val="2"/>
        </w:numPr>
        <w:spacing w:after="90" w:line="280"/>
      </w:pPr>
      <w:r>
        <w:rPr>
          <w:color w:val="1A1A1A"/>
          <w:sz w:val="22"/>
          <w:szCs w:val="22"/>
        </w:rPr>
        <w:t xml:space="preserve">Storefront: cover photo, logo, bio, portfolio gallery, service packages with fixed prices, service area.</w:t>
      </w:r>
    </w:p>
    <w:p>
      <w:pPr>
        <w:pStyle w:val="ListParagraph"/>
        <w:numPr>
          <w:ilvl w:val="0"/>
          <w:numId w:val="2"/>
        </w:numPr>
        <w:spacing w:after="90" w:line="280"/>
      </w:pPr>
      <w:r>
        <w:rPr>
          <w:color w:val="1A1A1A"/>
          <w:sz w:val="22"/>
          <w:szCs w:val="22"/>
        </w:rPr>
        <w:t xml:space="preserve">Booking inbox: incoming quote requests, ability to send a fixed quote, accept/decline.</w:t>
      </w:r>
    </w:p>
    <w:p>
      <w:pPr>
        <w:pStyle w:val="ListParagraph"/>
        <w:numPr>
          <w:ilvl w:val="0"/>
          <w:numId w:val="2"/>
        </w:numPr>
        <w:spacing w:after="90" w:line="280"/>
      </w:pPr>
      <w:r>
        <w:rPr>
          <w:color w:val="1A1A1A"/>
          <w:sz w:val="22"/>
          <w:szCs w:val="22"/>
        </w:rPr>
        <w:t xml:space="preserve">Availability calendar: block out already-booked dates so clients see real availability.</w:t>
      </w:r>
    </w:p>
    <w:p>
      <w:pPr>
        <w:pStyle w:val="ListParagraph"/>
        <w:numPr>
          <w:ilvl w:val="0"/>
          <w:numId w:val="2"/>
        </w:numPr>
        <w:spacing w:after="90" w:line="280"/>
      </w:pPr>
      <w:r>
        <w:rPr>
          <w:color w:val="1A1A1A"/>
          <w:sz w:val="22"/>
          <w:szCs w:val="22"/>
        </w:rPr>
        <w:t xml:space="preserve">Wallet: deposits received, commission deducted, payout requests to bank account.</w:t>
      </w:r>
    </w:p>
    <w:p>
      <w:pPr>
        <w:pStyle w:val="ListParagraph"/>
        <w:numPr>
          <w:ilvl w:val="0"/>
          <w:numId w:val="2"/>
        </w:numPr>
        <w:spacing w:after="90" w:line="280"/>
      </w:pPr>
      <w:r>
        <w:rPr>
          <w:color w:val="1A1A1A"/>
          <w:sz w:val="22"/>
          <w:szCs w:val="22"/>
        </w:rPr>
        <w:t xml:space="preserve">Reviews &amp; ratings tied to verified completed bookings only (prevents fake reviews).</w:t>
      </w:r>
    </w:p>
    <w:p>
      <w:pPr>
        <w:pStyle w:val="ListParagraph"/>
        <w:numPr>
          <w:ilvl w:val="0"/>
          <w:numId w:val="2"/>
        </w:numPr>
        <w:spacing w:after="90" w:line="280"/>
      </w:pPr>
      <w:r>
        <w:rPr>
          <w:color w:val="1A1A1A"/>
          <w:sz w:val="22"/>
          <w:szCs w:val="22"/>
        </w:rPr>
        <w:t xml:space="preserve">Analytics: profile views, quote requests received, conversion rate, best-performing package.</w:t>
      </w:r>
    </w:p>
    <w:p>
      <w:pPr>
        <w:pStyle w:val="Heading2"/>
        <w:spacing w:after="140" w:before="280"/>
      </w:pPr>
      <w:r>
        <w:rPr>
          <w:b/>
          <w:bCs/>
          <w:color w:val="0B1F3A"/>
          <w:sz w:val="24"/>
          <w:szCs w:val="24"/>
        </w:rPr>
        <w:t xml:space="preserve">4.2 Event Owner (Client)</w:t>
      </w:r>
    </w:p>
    <w:p>
      <w:pPr>
        <w:pStyle w:val="ListParagraph"/>
        <w:numPr>
          <w:ilvl w:val="0"/>
          <w:numId w:val="2"/>
        </w:numPr>
        <w:spacing w:after="90" w:line="280"/>
      </w:pPr>
      <w:r>
        <w:rPr>
          <w:color w:val="1A1A1A"/>
          <w:sz w:val="22"/>
          <w:szCs w:val="22"/>
        </w:rPr>
        <w:t xml:space="preserve">Registration, browse/search/filter vendors by category, location, price range, and rating.</w:t>
      </w:r>
    </w:p>
    <w:p>
      <w:pPr>
        <w:pStyle w:val="ListParagraph"/>
        <w:numPr>
          <w:ilvl w:val="0"/>
          <w:numId w:val="2"/>
        </w:numPr>
        <w:spacing w:after="90" w:line="280"/>
      </w:pPr>
      <w:r>
        <w:rPr>
          <w:color w:val="1A1A1A"/>
          <w:sz w:val="22"/>
          <w:szCs w:val="22"/>
        </w:rPr>
        <w:t xml:space="preserve">Vendor comparison — shortlist and compare packages side by side.</w:t>
      </w:r>
    </w:p>
    <w:p>
      <w:pPr>
        <w:pStyle w:val="ListParagraph"/>
        <w:numPr>
          <w:ilvl w:val="0"/>
          <w:numId w:val="2"/>
        </w:numPr>
        <w:spacing w:after="90" w:line="280"/>
      </w:pPr>
      <w:r>
        <w:rPr>
          <w:color w:val="1A1A1A"/>
          <w:sz w:val="22"/>
          <w:szCs w:val="22"/>
        </w:rPr>
        <w:t xml:space="preserve">Send quote requests, chat with vendors in-app, accept quotes, pay deposit.</w:t>
      </w:r>
    </w:p>
    <w:p>
      <w:pPr>
        <w:pStyle w:val="ListParagraph"/>
        <w:numPr>
          <w:ilvl w:val="0"/>
          <w:numId w:val="2"/>
        </w:numPr>
        <w:spacing w:after="90" w:line="280"/>
      </w:pPr>
      <w:r>
        <w:rPr>
          <w:color w:val="1A1A1A"/>
          <w:sz w:val="22"/>
          <w:szCs w:val="22"/>
        </w:rPr>
        <w:t xml:space="preserve">Booking dashboard: pending, confirmed, completed, cancelled bookings.</w:t>
      </w:r>
    </w:p>
    <w:p>
      <w:pPr>
        <w:pStyle w:val="ListParagraph"/>
        <w:numPr>
          <w:ilvl w:val="0"/>
          <w:numId w:val="2"/>
        </w:numPr>
        <w:spacing w:after="90" w:line="280"/>
      </w:pPr>
      <w:r>
        <w:rPr>
          <w:color w:val="1A1A1A"/>
          <w:sz w:val="22"/>
          <w:szCs w:val="22"/>
        </w:rPr>
        <w:t xml:space="preserve">Leave reviews after a booking is marked completed.</w:t>
      </w:r>
    </w:p>
    <w:p>
      <w:pPr>
        <w:pStyle w:val="Heading2"/>
        <w:spacing w:after="140" w:before="280"/>
      </w:pPr>
      <w:r>
        <w:rPr>
          <w:b/>
          <w:bCs/>
          <w:color w:val="0B1F3A"/>
          <w:sz w:val="24"/>
          <w:szCs w:val="24"/>
        </w:rPr>
        <w:t xml:space="preserve">4.3 Event Planner (Pro Account)</w:t>
      </w:r>
    </w:p>
    <w:p>
      <w:pPr>
        <w:pStyle w:val="ListParagraph"/>
        <w:numPr>
          <w:ilvl w:val="0"/>
          <w:numId w:val="2"/>
        </w:numPr>
        <w:spacing w:after="90" w:line="280"/>
      </w:pPr>
      <w:r>
        <w:rPr>
          <w:color w:val="1A1A1A"/>
          <w:sz w:val="22"/>
          <w:szCs w:val="22"/>
        </w:rPr>
        <w:t xml:space="preserve">Everything a standard client has, plus:</w:t>
      </w:r>
    </w:p>
    <w:p>
      <w:pPr>
        <w:pStyle w:val="ListParagraph"/>
        <w:numPr>
          <w:ilvl w:val="1"/>
          <w:numId w:val="2"/>
        </w:numPr>
        <w:spacing w:after="90" w:line="280"/>
      </w:pPr>
      <w:r>
        <w:rPr>
          <w:color w:val="1A1A1A"/>
          <w:sz w:val="22"/>
          <w:szCs w:val="22"/>
        </w:rPr>
        <w:t xml:space="preserve">Multi-vendor "event cart" — assemble every vendor needed for one event (venue, decor, catering, photography, etc.) and track them as one project.</w:t>
      </w:r>
    </w:p>
    <w:p>
      <w:pPr>
        <w:pStyle w:val="ListParagraph"/>
        <w:numPr>
          <w:ilvl w:val="1"/>
          <w:numId w:val="2"/>
        </w:numPr>
        <w:spacing w:after="90" w:line="280"/>
      </w:pPr>
      <w:r>
        <w:rPr>
          <w:color w:val="1A1A1A"/>
          <w:sz w:val="22"/>
          <w:szCs w:val="22"/>
        </w:rPr>
        <w:t xml:space="preserve">Client sub-profiles, so a planner can manage several client events at once.</w:t>
      </w:r>
    </w:p>
    <w:p>
      <w:pPr>
        <w:pStyle w:val="ListParagraph"/>
        <w:numPr>
          <w:ilvl w:val="1"/>
          <w:numId w:val="2"/>
        </w:numPr>
        <w:spacing w:after="90" w:line="280"/>
      </w:pPr>
      <w:r>
        <w:rPr>
          <w:color w:val="1A1A1A"/>
          <w:sz w:val="22"/>
          <w:szCs w:val="22"/>
        </w:rPr>
        <w:t xml:space="preserve">A "Verified Planner" badge vendors can see, and a planner-specific commission or volume discount structure to reward repeat, high-volume bookers.</w:t>
      </w:r>
    </w:p>
    <w:p>
      <w:pPr>
        <w:pStyle w:val="Heading2"/>
        <w:spacing w:after="140" w:before="280"/>
      </w:pPr>
      <w:r>
        <w:rPr>
          <w:b/>
          <w:bCs/>
          <w:color w:val="0B1F3A"/>
          <w:sz w:val="24"/>
          <w:szCs w:val="24"/>
        </w:rPr>
        <w:t xml:space="preserve">4.4 Admin</w:t>
      </w:r>
    </w:p>
    <w:p>
      <w:pPr>
        <w:pStyle w:val="ListParagraph"/>
        <w:numPr>
          <w:ilvl w:val="0"/>
          <w:numId w:val="2"/>
        </w:numPr>
        <w:spacing w:after="90" w:line="280"/>
      </w:pPr>
      <w:r>
        <w:rPr>
          <w:color w:val="1A1A1A"/>
          <w:sz w:val="22"/>
          <w:szCs w:val="22"/>
        </w:rPr>
        <w:t xml:space="preserve">Vendor verification/approval queue.</w:t>
      </w:r>
    </w:p>
    <w:p>
      <w:pPr>
        <w:pStyle w:val="ListParagraph"/>
        <w:numPr>
          <w:ilvl w:val="0"/>
          <w:numId w:val="2"/>
        </w:numPr>
        <w:spacing w:after="90" w:line="280"/>
      </w:pPr>
      <w:r>
        <w:rPr>
          <w:color w:val="1A1A1A"/>
          <w:sz w:val="22"/>
          <w:szCs w:val="22"/>
        </w:rPr>
        <w:t xml:space="preserve">Category and taxonomy management.</w:t>
      </w:r>
    </w:p>
    <w:p>
      <w:pPr>
        <w:pStyle w:val="ListParagraph"/>
        <w:numPr>
          <w:ilvl w:val="0"/>
          <w:numId w:val="2"/>
        </w:numPr>
        <w:spacing w:after="90" w:line="280"/>
      </w:pPr>
      <w:r>
        <w:rPr>
          <w:color w:val="1A1A1A"/>
          <w:sz w:val="22"/>
          <w:szCs w:val="22"/>
        </w:rPr>
        <w:t xml:space="preserve">Transaction, commission, and payout reporting.</w:t>
      </w:r>
    </w:p>
    <w:p>
      <w:pPr>
        <w:pStyle w:val="ListParagraph"/>
        <w:numPr>
          <w:ilvl w:val="0"/>
          <w:numId w:val="2"/>
        </w:numPr>
        <w:spacing w:after="90" w:line="280"/>
      </w:pPr>
      <w:r>
        <w:rPr>
          <w:color w:val="1A1A1A"/>
          <w:sz w:val="22"/>
          <w:szCs w:val="22"/>
        </w:rPr>
        <w:t xml:space="preserve">Dispute and refund resolution console.</w:t>
      </w:r>
    </w:p>
    <w:p>
      <w:pPr>
        <w:pStyle w:val="ListParagraph"/>
        <w:numPr>
          <w:ilvl w:val="0"/>
          <w:numId w:val="2"/>
        </w:numPr>
        <w:spacing w:after="90" w:line="280"/>
      </w:pPr>
      <w:r>
        <w:rPr>
          <w:color w:val="1A1A1A"/>
          <w:sz w:val="22"/>
          <w:szCs w:val="22"/>
        </w:rPr>
        <w:t xml:space="preserve">Platform settings: commission rates and deposit percentages by category.</w:t>
      </w:r>
    </w:p>
    <w:p>
      <w:pPr>
        <w:pStyle w:val="ListParagraph"/>
        <w:numPr>
          <w:ilvl w:val="0"/>
          <w:numId w:val="2"/>
        </w:numPr>
        <w:spacing w:after="90" w:line="280"/>
      </w:pPr>
      <w:r>
        <w:rPr>
          <w:color w:val="1A1A1A"/>
          <w:sz w:val="22"/>
          <w:szCs w:val="22"/>
        </w:rPr>
        <w:t xml:space="preserve">Content management: homepage banners, featured/promoted vendor slots, blog.</w:t>
      </w:r>
    </w:p>
    <w:p>
      <w:pPr>
        <w:pStyle w:val="Heading1"/>
        <w:pBdr>
          <w:bottom w:val="single" w:color="0B1F3A" w:sz="6" w:space="4"/>
        </w:pBdr>
        <w:spacing w:after="200" w:before="400"/>
      </w:pPr>
      <w:r>
        <w:rPr>
          <w:b/>
          <w:bCs/>
          <w:color w:val="0B1F3A"/>
          <w:sz w:val="30"/>
          <w:szCs w:val="30"/>
        </w:rPr>
        <w:t xml:space="preserve">5. Website Blueprint (Sitemap)</w:t>
      </w:r>
    </w:p>
    <w:p>
      <w:pPr>
        <w:pStyle w:val="Heading2"/>
        <w:spacing w:after="140" w:before="280"/>
      </w:pPr>
      <w:r>
        <w:rPr>
          <w:b/>
          <w:bCs/>
          <w:color w:val="0B1F3A"/>
          <w:sz w:val="24"/>
          <w:szCs w:val="24"/>
        </w:rPr>
        <w:t xml:space="preserve">5.1 Public Pages</w:t>
      </w:r>
    </w:p>
    <w:p>
      <w:pPr>
        <w:pStyle w:val="ListParagraph"/>
        <w:numPr>
          <w:ilvl w:val="0"/>
          <w:numId w:val="2"/>
        </w:numPr>
        <w:spacing w:after="90" w:line="280"/>
      </w:pPr>
      <w:r>
        <w:rPr>
          <w:color w:val="1A1A1A"/>
          <w:sz w:val="22"/>
          <w:szCs w:val="22"/>
        </w:rPr>
        <w:t xml:space="preserve">Home — hero search bar ("Find a vendor for your event"), browse-by-category grid, featured vendors, "How It Works," testimonials, CTA to register as a vendor.</w:t>
      </w:r>
    </w:p>
    <w:p>
      <w:pPr>
        <w:pStyle w:val="ListParagraph"/>
        <w:numPr>
          <w:ilvl w:val="0"/>
          <w:numId w:val="2"/>
        </w:numPr>
        <w:spacing w:after="90" w:line="280"/>
      </w:pPr>
      <w:r>
        <w:rPr>
          <w:color w:val="1A1A1A"/>
          <w:sz w:val="22"/>
          <w:szCs w:val="22"/>
        </w:rPr>
        <w:t xml:space="preserve">Browse/Category pages — one per vendor category (Photography, Catering, Decor, MC/Entertainment, DJ, Makeup &amp; Hair, Venues, Rentals, Security, Logistics, Cakes &amp; Bakers, Event Planners).</w:t>
      </w:r>
    </w:p>
    <w:p>
      <w:pPr>
        <w:pStyle w:val="ListParagraph"/>
        <w:numPr>
          <w:ilvl w:val="0"/>
          <w:numId w:val="2"/>
        </w:numPr>
        <w:spacing w:after="90" w:line="280"/>
      </w:pPr>
      <w:r>
        <w:rPr>
          <w:color w:val="1A1A1A"/>
          <w:sz w:val="22"/>
          <w:szCs w:val="22"/>
        </w:rPr>
        <w:t xml:space="preserve">Search results page — filterable by location, price range, rating, availability.</w:t>
      </w:r>
    </w:p>
    <w:p>
      <w:pPr>
        <w:pStyle w:val="ListParagraph"/>
        <w:numPr>
          <w:ilvl w:val="0"/>
          <w:numId w:val="2"/>
        </w:numPr>
        <w:spacing w:after="90" w:line="280"/>
      </w:pPr>
      <w:r>
        <w:rPr>
          <w:color w:val="1A1A1A"/>
          <w:sz w:val="22"/>
          <w:szCs w:val="22"/>
        </w:rPr>
        <w:t xml:space="preserve">Vendor profile page — gallery, packages &amp; fixed pricing, reviews, verified badge, availability, "Request Quote" button.</w:t>
      </w:r>
    </w:p>
    <w:p>
      <w:pPr>
        <w:pStyle w:val="ListParagraph"/>
        <w:numPr>
          <w:ilvl w:val="0"/>
          <w:numId w:val="2"/>
        </w:numPr>
        <w:spacing w:after="90" w:line="280"/>
      </w:pPr>
      <w:r>
        <w:rPr>
          <w:color w:val="1A1A1A"/>
          <w:sz w:val="22"/>
          <w:szCs w:val="22"/>
        </w:rPr>
        <w:t xml:space="preserve">How It Works — separate tabs for clients and vendors.</w:t>
      </w:r>
    </w:p>
    <w:p>
      <w:pPr>
        <w:pStyle w:val="ListParagraph"/>
        <w:numPr>
          <w:ilvl w:val="0"/>
          <w:numId w:val="2"/>
        </w:numPr>
        <w:spacing w:after="90" w:line="280"/>
      </w:pPr>
      <w:r>
        <w:rPr>
          <w:color w:val="1A1A1A"/>
          <w:sz w:val="22"/>
          <w:szCs w:val="22"/>
        </w:rPr>
        <w:t xml:space="preserve">Pricing &amp; Commission transparency page.</w:t>
      </w:r>
    </w:p>
    <w:p>
      <w:pPr>
        <w:pStyle w:val="ListParagraph"/>
        <w:numPr>
          <w:ilvl w:val="0"/>
          <w:numId w:val="2"/>
        </w:numPr>
        <w:spacing w:after="90" w:line="280"/>
      </w:pPr>
      <w:r>
        <w:rPr>
          <w:color w:val="1A1A1A"/>
          <w:sz w:val="22"/>
          <w:szCs w:val="22"/>
        </w:rPr>
        <w:t xml:space="preserve">Blog / Event Planning Tips (SEO and content marketing engine).</w:t>
      </w:r>
    </w:p>
    <w:p>
      <w:pPr>
        <w:pStyle w:val="ListParagraph"/>
        <w:numPr>
          <w:ilvl w:val="0"/>
          <w:numId w:val="2"/>
        </w:numPr>
        <w:spacing w:after="90" w:line="280"/>
      </w:pPr>
      <w:r>
        <w:rPr>
          <w:color w:val="1A1A1A"/>
          <w:sz w:val="22"/>
          <w:szCs w:val="22"/>
        </w:rPr>
        <w:t xml:space="preserve">About, Contact, FAQ, Terms of Service, Privacy Policy.</w:t>
      </w:r>
    </w:p>
    <w:p>
      <w:pPr>
        <w:pStyle w:val="Heading2"/>
        <w:spacing w:after="140" w:before="280"/>
      </w:pPr>
      <w:r>
        <w:rPr>
          <w:b/>
          <w:bCs/>
          <w:color w:val="0B1F3A"/>
          <w:sz w:val="24"/>
          <w:szCs w:val="24"/>
        </w:rPr>
        <w:t xml:space="preserve">5.2 Authentication</w:t>
      </w:r>
    </w:p>
    <w:p>
      <w:pPr>
        <w:pStyle w:val="ListParagraph"/>
        <w:numPr>
          <w:ilvl w:val="0"/>
          <w:numId w:val="2"/>
        </w:numPr>
        <w:spacing w:after="90" w:line="280"/>
      </w:pPr>
      <w:r>
        <w:rPr>
          <w:color w:val="1A1A1A"/>
          <w:sz w:val="22"/>
          <w:szCs w:val="22"/>
        </w:rPr>
        <w:t xml:space="preserve">Sign up (role toggle: Vendor / Client / Planner), Log in, Forgot password.</w:t>
      </w:r>
    </w:p>
    <w:p>
      <w:pPr>
        <w:pStyle w:val="ListParagraph"/>
        <w:numPr>
          <w:ilvl w:val="0"/>
          <w:numId w:val="2"/>
        </w:numPr>
        <w:spacing w:after="90" w:line="280"/>
      </w:pPr>
      <w:r>
        <w:rPr>
          <w:color w:val="1A1A1A"/>
          <w:sz w:val="22"/>
          <w:szCs w:val="22"/>
        </w:rPr>
        <w:t xml:space="preserve">Email/phone OTP verification.</w:t>
      </w:r>
    </w:p>
    <w:p>
      <w:pPr>
        <w:pStyle w:val="ListParagraph"/>
        <w:numPr>
          <w:ilvl w:val="0"/>
          <w:numId w:val="2"/>
        </w:numPr>
        <w:spacing w:after="90" w:line="280"/>
      </w:pPr>
      <w:r>
        <w:rPr>
          <w:color w:val="1A1A1A"/>
          <w:sz w:val="22"/>
          <w:szCs w:val="22"/>
        </w:rPr>
        <w:t xml:space="preserve">Vendor KYC upload step during onboarding.</w:t>
      </w:r>
    </w:p>
    <w:p>
      <w:pPr>
        <w:pStyle w:val="Heading2"/>
        <w:spacing w:after="140" w:before="280"/>
      </w:pPr>
      <w:r>
        <w:rPr>
          <w:b/>
          <w:bCs/>
          <w:color w:val="0B1F3A"/>
          <w:sz w:val="24"/>
          <w:szCs w:val="24"/>
        </w:rPr>
        <w:t xml:space="preserve">5.3 Client Dashboard</w:t>
      </w:r>
    </w:p>
    <w:p>
      <w:pPr>
        <w:pStyle w:val="ListParagraph"/>
        <w:numPr>
          <w:ilvl w:val="0"/>
          <w:numId w:val="2"/>
        </w:numPr>
        <w:spacing w:after="90" w:line="280"/>
      </w:pPr>
      <w:r>
        <w:rPr>
          <w:color w:val="1A1A1A"/>
          <w:sz w:val="22"/>
          <w:szCs w:val="22"/>
        </w:rPr>
        <w:t xml:space="preserve">My Bookings (pending / confirmed / completed / cancelled).</w:t>
      </w:r>
    </w:p>
    <w:p>
      <w:pPr>
        <w:pStyle w:val="ListParagraph"/>
        <w:numPr>
          <w:ilvl w:val="0"/>
          <w:numId w:val="2"/>
        </w:numPr>
        <w:spacing w:after="90" w:line="280"/>
      </w:pPr>
      <w:r>
        <w:rPr>
          <w:color w:val="1A1A1A"/>
          <w:sz w:val="22"/>
          <w:szCs w:val="22"/>
        </w:rPr>
        <w:t xml:space="preserve">Messages &amp; quote requests.</w:t>
      </w:r>
    </w:p>
    <w:p>
      <w:pPr>
        <w:pStyle w:val="ListParagraph"/>
        <w:numPr>
          <w:ilvl w:val="0"/>
          <w:numId w:val="2"/>
        </w:numPr>
        <w:spacing w:after="90" w:line="280"/>
      </w:pPr>
      <w:r>
        <w:rPr>
          <w:color w:val="1A1A1A"/>
          <w:sz w:val="22"/>
          <w:szCs w:val="22"/>
        </w:rPr>
        <w:t xml:space="preserve">Favorites/saved vendors.</w:t>
      </w:r>
    </w:p>
    <w:p>
      <w:pPr>
        <w:pStyle w:val="ListParagraph"/>
        <w:numPr>
          <w:ilvl w:val="0"/>
          <w:numId w:val="2"/>
        </w:numPr>
        <w:spacing w:after="90" w:line="280"/>
      </w:pPr>
      <w:r>
        <w:rPr>
          <w:color w:val="1A1A1A"/>
          <w:sz w:val="22"/>
          <w:szCs w:val="22"/>
        </w:rPr>
        <w:t xml:space="preserve">Payment history (deposits paid).</w:t>
      </w:r>
    </w:p>
    <w:p>
      <w:pPr>
        <w:pStyle w:val="ListParagraph"/>
        <w:numPr>
          <w:ilvl w:val="0"/>
          <w:numId w:val="2"/>
        </w:numPr>
        <w:spacing w:after="90" w:line="280"/>
      </w:pPr>
      <w:r>
        <w:rPr>
          <w:color w:val="1A1A1A"/>
          <w:sz w:val="22"/>
          <w:szCs w:val="22"/>
        </w:rPr>
        <w:t xml:space="preserve">Profile &amp; settings; Reviews I've given.</w:t>
      </w:r>
    </w:p>
    <w:p>
      <w:pPr>
        <w:pStyle w:val="Heading2"/>
        <w:spacing w:after="140" w:before="280"/>
      </w:pPr>
      <w:r>
        <w:rPr>
          <w:b/>
          <w:bCs/>
          <w:color w:val="0B1F3A"/>
          <w:sz w:val="24"/>
          <w:szCs w:val="24"/>
        </w:rPr>
        <w:t xml:space="preserve">5.4 Vendor Dashboard</w:t>
      </w:r>
    </w:p>
    <w:p>
      <w:pPr>
        <w:pStyle w:val="ListParagraph"/>
        <w:numPr>
          <w:ilvl w:val="0"/>
          <w:numId w:val="2"/>
        </w:numPr>
        <w:spacing w:after="90" w:line="280"/>
      </w:pPr>
      <w:r>
        <w:rPr>
          <w:color w:val="1A1A1A"/>
          <w:sz w:val="22"/>
          <w:szCs w:val="22"/>
        </w:rPr>
        <w:t xml:space="preserve">Storefront editor (gallery, packages, pricing, service area).</w:t>
      </w:r>
    </w:p>
    <w:p>
      <w:pPr>
        <w:pStyle w:val="ListParagraph"/>
        <w:numPr>
          <w:ilvl w:val="0"/>
          <w:numId w:val="2"/>
        </w:numPr>
        <w:spacing w:after="90" w:line="280"/>
      </w:pPr>
      <w:r>
        <w:rPr>
          <w:color w:val="1A1A1A"/>
          <w:sz w:val="22"/>
          <w:szCs w:val="22"/>
        </w:rPr>
        <w:t xml:space="preserve">Bookings/requests inbox.</w:t>
      </w:r>
    </w:p>
    <w:p>
      <w:pPr>
        <w:pStyle w:val="ListParagraph"/>
        <w:numPr>
          <w:ilvl w:val="0"/>
          <w:numId w:val="2"/>
        </w:numPr>
        <w:spacing w:after="90" w:line="280"/>
      </w:pPr>
      <w:r>
        <w:rPr>
          <w:color w:val="1A1A1A"/>
          <w:sz w:val="22"/>
          <w:szCs w:val="22"/>
        </w:rPr>
        <w:t xml:space="preserve">Availability calendar.</w:t>
      </w:r>
    </w:p>
    <w:p>
      <w:pPr>
        <w:pStyle w:val="ListParagraph"/>
        <w:numPr>
          <w:ilvl w:val="0"/>
          <w:numId w:val="2"/>
        </w:numPr>
        <w:spacing w:after="90" w:line="280"/>
      </w:pPr>
      <w:r>
        <w:rPr>
          <w:color w:val="1A1A1A"/>
          <w:sz w:val="22"/>
          <w:szCs w:val="22"/>
        </w:rPr>
        <w:t xml:space="preserve">Wallet &amp; payout requests.</w:t>
      </w:r>
    </w:p>
    <w:p>
      <w:pPr>
        <w:pStyle w:val="ListParagraph"/>
        <w:numPr>
          <w:ilvl w:val="0"/>
          <w:numId w:val="2"/>
        </w:numPr>
        <w:spacing w:after="90" w:line="280"/>
      </w:pPr>
      <w:r>
        <w:rPr>
          <w:color w:val="1A1A1A"/>
          <w:sz w:val="22"/>
          <w:szCs w:val="22"/>
        </w:rPr>
        <w:t xml:space="preserve">Reviews received; Analytics; Verification status.</w:t>
      </w:r>
    </w:p>
    <w:p>
      <w:pPr>
        <w:pStyle w:val="Heading2"/>
        <w:spacing w:after="140" w:before="280"/>
      </w:pPr>
      <w:r>
        <w:rPr>
          <w:b/>
          <w:bCs/>
          <w:color w:val="0B1F3A"/>
          <w:sz w:val="24"/>
          <w:szCs w:val="24"/>
        </w:rPr>
        <w:t xml:space="preserve">5.5 Admin Panel</w:t>
      </w:r>
    </w:p>
    <w:p>
      <w:pPr>
        <w:pStyle w:val="ListParagraph"/>
        <w:numPr>
          <w:ilvl w:val="0"/>
          <w:numId w:val="2"/>
        </w:numPr>
        <w:spacing w:after="90" w:line="280"/>
      </w:pPr>
      <w:r>
        <w:rPr>
          <w:color w:val="1A1A1A"/>
          <w:sz w:val="22"/>
          <w:szCs w:val="22"/>
        </w:rPr>
        <w:t xml:space="preserve">Vendor approval queue; user management.</w:t>
      </w:r>
    </w:p>
    <w:p>
      <w:pPr>
        <w:pStyle w:val="ListParagraph"/>
        <w:numPr>
          <w:ilvl w:val="0"/>
          <w:numId w:val="2"/>
        </w:numPr>
        <w:spacing w:after="90" w:line="280"/>
      </w:pPr>
      <w:r>
        <w:rPr>
          <w:color w:val="1A1A1A"/>
          <w:sz w:val="22"/>
          <w:szCs w:val="22"/>
        </w:rPr>
        <w:t xml:space="preserve">Category/taxonomy manager.</w:t>
      </w:r>
    </w:p>
    <w:p>
      <w:pPr>
        <w:pStyle w:val="ListParagraph"/>
        <w:numPr>
          <w:ilvl w:val="0"/>
          <w:numId w:val="2"/>
        </w:numPr>
        <w:spacing w:after="90" w:line="280"/>
      </w:pPr>
      <w:r>
        <w:rPr>
          <w:color w:val="1A1A1A"/>
          <w:sz w:val="22"/>
          <w:szCs w:val="22"/>
        </w:rPr>
        <w:t xml:space="preserve">Transactions &amp; commission reporting.</w:t>
      </w:r>
    </w:p>
    <w:p>
      <w:pPr>
        <w:pStyle w:val="ListParagraph"/>
        <w:numPr>
          <w:ilvl w:val="0"/>
          <w:numId w:val="2"/>
        </w:numPr>
        <w:spacing w:after="90" w:line="280"/>
      </w:pPr>
      <w:r>
        <w:rPr>
          <w:color w:val="1A1A1A"/>
          <w:sz w:val="22"/>
          <w:szCs w:val="22"/>
        </w:rPr>
        <w:t xml:space="preserve">Dispute/refund console.</w:t>
      </w:r>
    </w:p>
    <w:p>
      <w:pPr>
        <w:pStyle w:val="ListParagraph"/>
        <w:numPr>
          <w:ilvl w:val="0"/>
          <w:numId w:val="2"/>
        </w:numPr>
        <w:spacing w:after="90" w:line="280"/>
      </w:pPr>
      <w:r>
        <w:rPr>
          <w:color w:val="1A1A1A"/>
          <w:sz w:val="22"/>
          <w:szCs w:val="22"/>
        </w:rPr>
        <w:t xml:space="preserve">Platform settings; content/banner manager.</w:t>
      </w:r>
    </w:p>
    <w:p>
      <w:pPr>
        <w:pStyle w:val="Heading1"/>
        <w:pBdr>
          <w:bottom w:val="single" w:color="0B1F3A" w:sz="6" w:space="4"/>
        </w:pBdr>
        <w:spacing w:after="200" w:before="400"/>
      </w:pPr>
      <w:r>
        <w:rPr>
          <w:b/>
          <w:bCs/>
          <w:color w:val="0B1F3A"/>
          <w:sz w:val="30"/>
          <w:szCs w:val="30"/>
        </w:rPr>
        <w:t xml:space="preserve">6. UI/UX &amp; Build Roadmap</w:t>
      </w:r>
    </w:p>
    <w:p>
      <w:pPr>
        <w:pStyle w:val="Heading2"/>
        <w:spacing w:after="140" w:before="280"/>
      </w:pPr>
      <w:r>
        <w:rPr>
          <w:b/>
          <w:bCs/>
          <w:color w:val="0B1F3A"/>
          <w:sz w:val="24"/>
          <w:szCs w:val="24"/>
        </w:rPr>
        <w:t xml:space="preserve">Phase 1 — MVP (Target: 8–12 weeks)</w:t>
      </w:r>
    </w:p>
    <w:p>
      <w:pPr>
        <w:pStyle w:val="ListParagraph"/>
        <w:numPr>
          <w:ilvl w:val="0"/>
          <w:numId w:val="2"/>
        </w:numPr>
        <w:spacing w:after="90" w:line="280"/>
      </w:pPr>
      <w:r>
        <w:rPr>
          <w:color w:val="1A1A1A"/>
          <w:sz w:val="22"/>
          <w:szCs w:val="22"/>
        </w:rPr>
        <w:t xml:space="preserve">Vendor &amp; client registration, KYC upload for vendors.</w:t>
      </w:r>
    </w:p>
    <w:p>
      <w:pPr>
        <w:pStyle w:val="ListParagraph"/>
        <w:numPr>
          <w:ilvl w:val="0"/>
          <w:numId w:val="2"/>
        </w:numPr>
        <w:spacing w:after="90" w:line="280"/>
      </w:pPr>
      <w:r>
        <w:rPr>
          <w:color w:val="1A1A1A"/>
          <w:sz w:val="22"/>
          <w:szCs w:val="22"/>
        </w:rPr>
        <w:t xml:space="preserve">Vendor storefront with fixed-price packages and portfolio gallery.</w:t>
      </w:r>
    </w:p>
    <w:p>
      <w:pPr>
        <w:pStyle w:val="ListParagraph"/>
        <w:numPr>
          <w:ilvl w:val="0"/>
          <w:numId w:val="2"/>
        </w:numPr>
        <w:spacing w:after="90" w:line="280"/>
      </w:pPr>
      <w:r>
        <w:rPr>
          <w:color w:val="1A1A1A"/>
          <w:sz w:val="22"/>
          <w:szCs w:val="22"/>
        </w:rPr>
        <w:t xml:space="preserve">Browse, search, and filter by category/location/price.</w:t>
      </w:r>
    </w:p>
    <w:p>
      <w:pPr>
        <w:pStyle w:val="ListParagraph"/>
        <w:numPr>
          <w:ilvl w:val="0"/>
          <w:numId w:val="2"/>
        </w:numPr>
        <w:spacing w:after="90" w:line="280"/>
      </w:pPr>
      <w:r>
        <w:rPr>
          <w:color w:val="1A1A1A"/>
          <w:sz w:val="22"/>
          <w:szCs w:val="22"/>
        </w:rPr>
        <w:t xml:space="preserve">Quote request flow + in-app messaging.</w:t>
      </w:r>
    </w:p>
    <w:p>
      <w:pPr>
        <w:pStyle w:val="ListParagraph"/>
        <w:numPr>
          <w:ilvl w:val="0"/>
          <w:numId w:val="2"/>
        </w:numPr>
        <w:spacing w:after="90" w:line="280"/>
      </w:pPr>
      <w:r>
        <w:rPr>
          <w:color w:val="1A1A1A"/>
          <w:sz w:val="22"/>
          <w:szCs w:val="22"/>
        </w:rPr>
        <w:t xml:space="preserve">Deposit payment integration via Paystack/Flutterwave split payments.</w:t>
      </w:r>
    </w:p>
    <w:p>
      <w:pPr>
        <w:pStyle w:val="ListParagraph"/>
        <w:numPr>
          <w:ilvl w:val="0"/>
          <w:numId w:val="2"/>
        </w:numPr>
        <w:spacing w:after="90" w:line="280"/>
      </w:pPr>
      <w:r>
        <w:rPr>
          <w:color w:val="1A1A1A"/>
          <w:sz w:val="22"/>
          <w:szCs w:val="22"/>
        </w:rPr>
        <w:t xml:space="preserve">Booking status tracking (pending → confirmed → completed).</w:t>
      </w:r>
    </w:p>
    <w:p>
      <w:pPr>
        <w:pStyle w:val="ListParagraph"/>
        <w:numPr>
          <w:ilvl w:val="0"/>
          <w:numId w:val="2"/>
        </w:numPr>
        <w:spacing w:after="90" w:line="280"/>
      </w:pPr>
      <w:r>
        <w:rPr>
          <w:color w:val="1A1A1A"/>
          <w:sz w:val="22"/>
          <w:szCs w:val="22"/>
        </w:rPr>
        <w:t xml:space="preserve">Reviews tied to completed bookings.</w:t>
      </w:r>
    </w:p>
    <w:p>
      <w:pPr>
        <w:pStyle w:val="ListParagraph"/>
        <w:numPr>
          <w:ilvl w:val="0"/>
          <w:numId w:val="2"/>
        </w:numPr>
        <w:spacing w:after="90" w:line="280"/>
      </w:pPr>
      <w:r>
        <w:rPr>
          <w:color w:val="1A1A1A"/>
          <w:sz w:val="22"/>
          <w:szCs w:val="22"/>
        </w:rPr>
        <w:t xml:space="preserve">Admin: vendor approval + basic dispute handling.</w:t>
      </w:r>
    </w:p>
    <w:p>
      <w:pPr>
        <w:pStyle w:val="ListParagraph"/>
        <w:numPr>
          <w:ilvl w:val="0"/>
          <w:numId w:val="2"/>
        </w:numPr>
        <w:spacing w:after="90" w:line="280"/>
      </w:pPr>
      <w:r>
        <w:rPr>
          <w:color w:val="1A1A1A"/>
          <w:sz w:val="22"/>
          <w:szCs w:val="22"/>
        </w:rPr>
        <w:t xml:space="preserve">Mobile-responsive web app (native apps deferred to Phase 3).</w:t>
      </w:r>
    </w:p>
    <w:p>
      <w:pPr>
        <w:pStyle w:val="Heading2"/>
        <w:spacing w:after="140" w:before="280"/>
      </w:pPr>
      <w:r>
        <w:rPr>
          <w:b/>
          <w:bCs/>
          <w:color w:val="0B1F3A"/>
          <w:sz w:val="24"/>
          <w:szCs w:val="24"/>
        </w:rPr>
        <w:t xml:space="preserve">Phase 2 — Growth (Months 3–6 post-launch)</w:t>
      </w:r>
    </w:p>
    <w:p>
      <w:pPr>
        <w:pStyle w:val="ListParagraph"/>
        <w:numPr>
          <w:ilvl w:val="0"/>
          <w:numId w:val="2"/>
        </w:numPr>
        <w:spacing w:after="90" w:line="280"/>
      </w:pPr>
      <w:r>
        <w:rPr>
          <w:color w:val="1A1A1A"/>
          <w:sz w:val="22"/>
          <w:szCs w:val="22"/>
        </w:rPr>
        <w:t xml:space="preserve">Vendor analytics dashboard.</w:t>
      </w:r>
    </w:p>
    <w:p>
      <w:pPr>
        <w:pStyle w:val="ListParagraph"/>
        <w:numPr>
          <w:ilvl w:val="0"/>
          <w:numId w:val="2"/>
        </w:numPr>
        <w:spacing w:after="90" w:line="280"/>
      </w:pPr>
      <w:r>
        <w:rPr>
          <w:color w:val="1A1A1A"/>
          <w:sz w:val="22"/>
          <w:szCs w:val="22"/>
        </w:rPr>
        <w:t xml:space="preserve">Event Planner "Pro" accounts with multi-vendor event cart.</w:t>
      </w:r>
    </w:p>
    <w:p>
      <w:pPr>
        <w:pStyle w:val="ListParagraph"/>
        <w:numPr>
          <w:ilvl w:val="0"/>
          <w:numId w:val="2"/>
        </w:numPr>
        <w:spacing w:after="90" w:line="280"/>
      </w:pPr>
      <w:r>
        <w:rPr>
          <w:color w:val="1A1A1A"/>
          <w:sz w:val="22"/>
          <w:szCs w:val="22"/>
        </w:rPr>
        <w:t xml:space="preserve">Promoted/featured vendor placements (new revenue stream).</w:t>
      </w:r>
    </w:p>
    <w:p>
      <w:pPr>
        <w:pStyle w:val="ListParagraph"/>
        <w:numPr>
          <w:ilvl w:val="0"/>
          <w:numId w:val="2"/>
        </w:numPr>
        <w:spacing w:after="90" w:line="280"/>
      </w:pPr>
      <w:r>
        <w:rPr>
          <w:color w:val="1A1A1A"/>
          <w:sz w:val="22"/>
          <w:szCs w:val="22"/>
        </w:rPr>
        <w:t xml:space="preserve">Automated commission &amp; payout reporting for admin.</w:t>
      </w:r>
    </w:p>
    <w:p>
      <w:pPr>
        <w:pStyle w:val="ListParagraph"/>
        <w:numPr>
          <w:ilvl w:val="0"/>
          <w:numId w:val="2"/>
        </w:numPr>
        <w:spacing w:after="90" w:line="280"/>
      </w:pPr>
      <w:r>
        <w:rPr>
          <w:color w:val="1A1A1A"/>
          <w:sz w:val="22"/>
          <w:szCs w:val="22"/>
        </w:rPr>
        <w:t xml:space="preserve">SMS/WhatsApp booking notifications (Termii or WhatsApp Business API).</w:t>
      </w:r>
    </w:p>
    <w:p>
      <w:pPr>
        <w:pStyle w:val="ListParagraph"/>
        <w:numPr>
          <w:ilvl w:val="0"/>
          <w:numId w:val="2"/>
        </w:numPr>
        <w:spacing w:after="90" w:line="280"/>
      </w:pPr>
      <w:r>
        <w:rPr>
          <w:color w:val="1A1A1A"/>
          <w:sz w:val="22"/>
          <w:szCs w:val="22"/>
        </w:rPr>
        <w:t xml:space="preserve">Referral program for vendors and clients.</w:t>
      </w:r>
    </w:p>
    <w:p>
      <w:pPr>
        <w:pStyle w:val="Heading2"/>
        <w:spacing w:after="140" w:before="280"/>
      </w:pPr>
      <w:r>
        <w:rPr>
          <w:b/>
          <w:bCs/>
          <w:color w:val="0B1F3A"/>
          <w:sz w:val="24"/>
          <w:szCs w:val="24"/>
        </w:rPr>
        <w:t xml:space="preserve">Phase 3 — Scale (Months 6–12+)</w:t>
      </w:r>
    </w:p>
    <w:p>
      <w:pPr>
        <w:pStyle w:val="ListParagraph"/>
        <w:numPr>
          <w:ilvl w:val="0"/>
          <w:numId w:val="2"/>
        </w:numPr>
        <w:spacing w:after="90" w:line="280"/>
      </w:pPr>
      <w:r>
        <w:rPr>
          <w:color w:val="1A1A1A"/>
          <w:sz w:val="22"/>
          <w:szCs w:val="22"/>
        </w:rPr>
        <w:t xml:space="preserve">Native iOS/Android apps.</w:t>
      </w:r>
    </w:p>
    <w:p>
      <w:pPr>
        <w:pStyle w:val="ListParagraph"/>
        <w:numPr>
          <w:ilvl w:val="0"/>
          <w:numId w:val="2"/>
        </w:numPr>
        <w:spacing w:after="90" w:line="280"/>
      </w:pPr>
      <w:r>
        <w:rPr>
          <w:color w:val="1A1A1A"/>
          <w:sz w:val="22"/>
          <w:szCs w:val="22"/>
        </w:rPr>
        <w:t xml:space="preserve">Recommendation engine for vendor matching based on budget, location, and past bookings.</w:t>
      </w:r>
    </w:p>
    <w:p>
      <w:pPr>
        <w:pStyle w:val="ListParagraph"/>
        <w:numPr>
          <w:ilvl w:val="0"/>
          <w:numId w:val="2"/>
        </w:numPr>
        <w:spacing w:after="90" w:line="280"/>
      </w:pPr>
      <w:r>
        <w:rPr>
          <w:color w:val="1A1A1A"/>
          <w:sz w:val="22"/>
          <w:szCs w:val="22"/>
        </w:rPr>
        <w:t xml:space="preserve">Event budgeting tool for clients planning multi-vendor events.</w:t>
      </w:r>
    </w:p>
    <w:p>
      <w:pPr>
        <w:pStyle w:val="ListParagraph"/>
        <w:numPr>
          <w:ilvl w:val="0"/>
          <w:numId w:val="2"/>
        </w:numPr>
        <w:spacing w:after="90" w:line="280"/>
      </w:pPr>
      <w:r>
        <w:rPr>
          <w:color w:val="1A1A1A"/>
          <w:sz w:val="22"/>
          <w:szCs w:val="22"/>
        </w:rPr>
        <w:t xml:space="preserve">Vendor premium subscription tier.</w:t>
      </w:r>
    </w:p>
    <w:p>
      <w:pPr>
        <w:pStyle w:val="ListParagraph"/>
        <w:numPr>
          <w:ilvl w:val="0"/>
          <w:numId w:val="2"/>
        </w:numPr>
        <w:spacing w:after="90" w:line="280"/>
      </w:pPr>
      <w:r>
        <w:rPr>
          <w:color w:val="1A1A1A"/>
          <w:sz w:val="22"/>
          <w:szCs w:val="22"/>
        </w:rPr>
        <w:t xml:space="preserve">Pan-African market expansion.</w:t>
      </w:r>
    </w:p>
    <w:p>
      <w:pPr>
        <w:pStyle w:val="ListParagraph"/>
        <w:numPr>
          <w:ilvl w:val="0"/>
          <w:numId w:val="2"/>
        </w:numPr>
        <w:spacing w:after="90" w:line="280"/>
      </w:pPr>
      <w:r>
        <w:rPr>
          <w:color w:val="1A1A1A"/>
          <w:sz w:val="22"/>
          <w:szCs w:val="22"/>
        </w:rPr>
        <w:t xml:space="preserve">In-app arbitration workflow and optional vendor performance guarantee.</w:t>
      </w:r>
    </w:p>
    <w:p>
      <w:pPr>
        <w:pStyle w:val="Heading1"/>
        <w:pBdr>
          <w:bottom w:val="single" w:color="0B1F3A" w:sz="6" w:space="4"/>
        </w:pBdr>
        <w:spacing w:after="200" w:before="400"/>
      </w:pPr>
      <w:r>
        <w:rPr>
          <w:b/>
          <w:bCs/>
          <w:color w:val="0B1F3A"/>
          <w:sz w:val="30"/>
          <w:szCs w:val="30"/>
        </w:rPr>
        <w:t xml:space="preserve">7. Recommended Technical Architecture</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600"/>
        <w:gridCol w:w="6800"/>
      </w:tblGrid>
      <w:tr>
        <w:tc>
          <w:tcPr>
            <w:tcW w:type="dxa" w:w="2600"/>
            <w:shd w:fill="0B1F3A" w:val="clear"/>
            <w:tcMar>
              <w:top w:type="dxa" w:w="100"/>
              <w:left w:type="dxa" w:w="120"/>
              <w:bottom w:type="dxa" w:w="100"/>
              <w:right w:type="dxa" w:w="120"/>
            </w:tcMar>
          </w:tcPr>
          <w:p>
            <w:r>
              <w:rPr>
                <w:b/>
                <w:bCs/>
                <w:color w:val="FFFFFF"/>
                <w:sz w:val="20"/>
                <w:szCs w:val="20"/>
              </w:rPr>
              <w:t xml:space="preserve">Layer</w:t>
            </w:r>
          </w:p>
        </w:tc>
        <w:tc>
          <w:tcPr>
            <w:tcW w:type="dxa" w:w="6800"/>
            <w:shd w:fill="0B1F3A" w:val="clear"/>
            <w:tcMar>
              <w:top w:type="dxa" w:w="100"/>
              <w:left w:type="dxa" w:w="120"/>
              <w:bottom w:type="dxa" w:w="100"/>
              <w:right w:type="dxa" w:w="120"/>
            </w:tcMar>
          </w:tcPr>
          <w:p>
            <w:r>
              <w:rPr>
                <w:b/>
                <w:bCs/>
                <w:color w:val="FFFFFF"/>
                <w:sz w:val="20"/>
                <w:szCs w:val="20"/>
              </w:rPr>
              <w:t xml:space="preserve">Recommendation</w:t>
            </w:r>
          </w:p>
        </w:tc>
      </w:tr>
      <w:tr>
        <w:tc>
          <w:tcPr>
            <w:tcW w:type="dxa" w:w="2600"/>
            <w:tcMar>
              <w:top w:type="dxa" w:w="100"/>
              <w:left w:type="dxa" w:w="120"/>
              <w:bottom w:type="dxa" w:w="100"/>
              <w:right w:type="dxa" w:w="120"/>
            </w:tcMar>
          </w:tcPr>
          <w:p>
            <w:r>
              <w:rPr>
                <w:b w:val="false"/>
                <w:bCs w:val="false"/>
                <w:color w:val="1A1A1A"/>
                <w:sz w:val="20"/>
                <w:szCs w:val="20"/>
              </w:rPr>
              <w:t xml:space="preserve">Frontend</w:t>
            </w:r>
          </w:p>
        </w:tc>
        <w:tc>
          <w:tcPr>
            <w:tcW w:type="dxa" w:w="6800"/>
            <w:tcMar>
              <w:top w:type="dxa" w:w="100"/>
              <w:left w:type="dxa" w:w="120"/>
              <w:bottom w:type="dxa" w:w="100"/>
              <w:right w:type="dxa" w:w="120"/>
            </w:tcMar>
          </w:tcPr>
          <w:p>
            <w:r>
              <w:rPr>
                <w:b w:val="false"/>
                <w:bCs w:val="false"/>
                <w:color w:val="1A1A1A"/>
                <w:sz w:val="20"/>
                <w:szCs w:val="20"/>
              </w:rPr>
              <w:t xml:space="preserve">Next.js (React) + Tailwind CSS — server-rendered vendor/category pages for SEO, fast mobile performance.</w:t>
            </w:r>
          </w:p>
        </w:tc>
      </w:tr>
      <w:tr>
        <w:tc>
          <w:tcPr>
            <w:tcW w:type="dxa" w:w="2600"/>
            <w:shd w:fill="F2F2F2" w:val="clear"/>
            <w:tcMar>
              <w:top w:type="dxa" w:w="100"/>
              <w:left w:type="dxa" w:w="120"/>
              <w:bottom w:type="dxa" w:w="100"/>
              <w:right w:type="dxa" w:w="120"/>
            </w:tcMar>
          </w:tcPr>
          <w:p>
            <w:r>
              <w:rPr>
                <w:b w:val="false"/>
                <w:bCs w:val="false"/>
                <w:color w:val="1A1A1A"/>
                <w:sz w:val="20"/>
                <w:szCs w:val="20"/>
              </w:rPr>
              <w:t xml:space="preserve">Backend</w:t>
            </w:r>
          </w:p>
        </w:tc>
        <w:tc>
          <w:tcPr>
            <w:tcW w:type="dxa" w:w="6800"/>
            <w:shd w:fill="F2F2F2" w:val="clear"/>
            <w:tcMar>
              <w:top w:type="dxa" w:w="100"/>
              <w:left w:type="dxa" w:w="120"/>
              <w:bottom w:type="dxa" w:w="100"/>
              <w:right w:type="dxa" w:w="120"/>
            </w:tcMar>
          </w:tcPr>
          <w:p>
            <w:r>
              <w:rPr>
                <w:b w:val="false"/>
                <w:bCs w:val="false"/>
                <w:color w:val="1A1A1A"/>
                <w:sz w:val="20"/>
                <w:szCs w:val="20"/>
              </w:rPr>
              <w:t xml:space="preserve">Node.js (NestJS) or Django REST Framework, PostgreSQL as primary database.</w:t>
            </w:r>
          </w:p>
        </w:tc>
      </w:tr>
      <w:tr>
        <w:tc>
          <w:tcPr>
            <w:tcW w:type="dxa" w:w="2600"/>
            <w:tcMar>
              <w:top w:type="dxa" w:w="100"/>
              <w:left w:type="dxa" w:w="120"/>
              <w:bottom w:type="dxa" w:w="100"/>
              <w:right w:type="dxa" w:w="120"/>
            </w:tcMar>
          </w:tcPr>
          <w:p>
            <w:r>
              <w:rPr>
                <w:b w:val="false"/>
                <w:bCs w:val="false"/>
                <w:color w:val="1A1A1A"/>
                <w:sz w:val="20"/>
                <w:szCs w:val="20"/>
              </w:rPr>
              <w:t xml:space="preserve">Payments</w:t>
            </w:r>
          </w:p>
        </w:tc>
        <w:tc>
          <w:tcPr>
            <w:tcW w:type="dxa" w:w="6800"/>
            <w:tcMar>
              <w:top w:type="dxa" w:w="100"/>
              <w:left w:type="dxa" w:w="120"/>
              <w:bottom w:type="dxa" w:w="100"/>
              <w:right w:type="dxa" w:w="120"/>
            </w:tcMar>
          </w:tcPr>
          <w:p>
            <w:r>
              <w:rPr>
                <w:b w:val="false"/>
                <w:bCs w:val="false"/>
                <w:color w:val="1A1A1A"/>
                <w:sz w:val="20"/>
                <w:szCs w:val="20"/>
              </w:rPr>
              <w:t xml:space="preserve">Paystack and/or Flutterwave — both support split payments/sub-accounts, which map directly onto the deposit + commission split described in Section 3.</w:t>
            </w:r>
          </w:p>
        </w:tc>
      </w:tr>
      <w:tr>
        <w:tc>
          <w:tcPr>
            <w:tcW w:type="dxa" w:w="2600"/>
            <w:shd w:fill="F2F2F2" w:val="clear"/>
            <w:tcMar>
              <w:top w:type="dxa" w:w="100"/>
              <w:left w:type="dxa" w:w="120"/>
              <w:bottom w:type="dxa" w:w="100"/>
              <w:right w:type="dxa" w:w="120"/>
            </w:tcMar>
          </w:tcPr>
          <w:p>
            <w:r>
              <w:rPr>
                <w:b w:val="false"/>
                <w:bCs w:val="false"/>
                <w:color w:val="1A1A1A"/>
                <w:sz w:val="20"/>
                <w:szCs w:val="20"/>
              </w:rPr>
              <w:t xml:space="preserve">Media storage</w:t>
            </w:r>
          </w:p>
        </w:tc>
        <w:tc>
          <w:tcPr>
            <w:tcW w:type="dxa" w:w="6800"/>
            <w:shd w:fill="F2F2F2" w:val="clear"/>
            <w:tcMar>
              <w:top w:type="dxa" w:w="100"/>
              <w:left w:type="dxa" w:w="120"/>
              <w:bottom w:type="dxa" w:w="100"/>
              <w:right w:type="dxa" w:w="120"/>
            </w:tcMar>
          </w:tcPr>
          <w:p>
            <w:r>
              <w:rPr>
                <w:b w:val="false"/>
                <w:bCs w:val="false"/>
                <w:color w:val="1A1A1A"/>
                <w:sz w:val="20"/>
                <w:szCs w:val="20"/>
              </w:rPr>
              <w:t xml:space="preserve">Cloudinary or AWS S3 for vendor portfolio images/video.</w:t>
            </w:r>
          </w:p>
        </w:tc>
      </w:tr>
      <w:tr>
        <w:tc>
          <w:tcPr>
            <w:tcW w:type="dxa" w:w="2600"/>
            <w:tcMar>
              <w:top w:type="dxa" w:w="100"/>
              <w:left w:type="dxa" w:w="120"/>
              <w:bottom w:type="dxa" w:w="100"/>
              <w:right w:type="dxa" w:w="120"/>
            </w:tcMar>
          </w:tcPr>
          <w:p>
            <w:r>
              <w:rPr>
                <w:b w:val="false"/>
                <w:bCs w:val="false"/>
                <w:color w:val="1A1A1A"/>
                <w:sz w:val="20"/>
                <w:szCs w:val="20"/>
              </w:rPr>
              <w:t xml:space="preserve">Search</w:t>
            </w:r>
          </w:p>
        </w:tc>
        <w:tc>
          <w:tcPr>
            <w:tcW w:type="dxa" w:w="6800"/>
            <w:tcMar>
              <w:top w:type="dxa" w:w="100"/>
              <w:left w:type="dxa" w:w="120"/>
              <w:bottom w:type="dxa" w:w="100"/>
              <w:right w:type="dxa" w:w="120"/>
            </w:tcMar>
          </w:tcPr>
          <w:p>
            <w:r>
              <w:rPr>
                <w:b w:val="false"/>
                <w:bCs w:val="false"/>
                <w:color w:val="1A1A1A"/>
                <w:sz w:val="20"/>
                <w:szCs w:val="20"/>
              </w:rPr>
              <w:t xml:space="preserve">PostgreSQL full-text search at MVP; Meilisearch or Algolia once catalog size grows.</w:t>
            </w:r>
          </w:p>
        </w:tc>
      </w:tr>
      <w:tr>
        <w:tc>
          <w:tcPr>
            <w:tcW w:type="dxa" w:w="2600"/>
            <w:shd w:fill="F2F2F2" w:val="clear"/>
            <w:tcMar>
              <w:top w:type="dxa" w:w="100"/>
              <w:left w:type="dxa" w:w="120"/>
              <w:bottom w:type="dxa" w:w="100"/>
              <w:right w:type="dxa" w:w="120"/>
            </w:tcMar>
          </w:tcPr>
          <w:p>
            <w:r>
              <w:rPr>
                <w:b w:val="false"/>
                <w:bCs w:val="false"/>
                <w:color w:val="1A1A1A"/>
                <w:sz w:val="20"/>
                <w:szCs w:val="20"/>
              </w:rPr>
              <w:t xml:space="preserve">Messaging/notifications</w:t>
            </w:r>
          </w:p>
        </w:tc>
        <w:tc>
          <w:tcPr>
            <w:tcW w:type="dxa" w:w="6800"/>
            <w:shd w:fill="F2F2F2" w:val="clear"/>
            <w:tcMar>
              <w:top w:type="dxa" w:w="100"/>
              <w:left w:type="dxa" w:w="120"/>
              <w:bottom w:type="dxa" w:w="100"/>
              <w:right w:type="dxa" w:w="120"/>
            </w:tcMar>
          </w:tcPr>
          <w:p>
            <w:r>
              <w:rPr>
                <w:b w:val="false"/>
                <w:bCs w:val="false"/>
                <w:color w:val="1A1A1A"/>
                <w:sz w:val="20"/>
                <w:szCs w:val="20"/>
              </w:rPr>
              <w:t xml:space="preserve">Socket.io for in-app chat; Termii or WhatsApp Business API for SMS/WhatsApp alerts.</w:t>
            </w:r>
          </w:p>
        </w:tc>
      </w:tr>
      <w:tr>
        <w:tc>
          <w:tcPr>
            <w:tcW w:type="dxa" w:w="2600"/>
            <w:tcMar>
              <w:top w:type="dxa" w:w="100"/>
              <w:left w:type="dxa" w:w="120"/>
              <w:bottom w:type="dxa" w:w="100"/>
              <w:right w:type="dxa" w:w="120"/>
            </w:tcMar>
          </w:tcPr>
          <w:p>
            <w:r>
              <w:rPr>
                <w:b w:val="false"/>
                <w:bCs w:val="false"/>
                <w:color w:val="1A1A1A"/>
                <w:sz w:val="20"/>
                <w:szCs w:val="20"/>
              </w:rPr>
              <w:t xml:space="preserve">Hosting</w:t>
            </w:r>
          </w:p>
        </w:tc>
        <w:tc>
          <w:tcPr>
            <w:tcW w:type="dxa" w:w="6800"/>
            <w:tcMar>
              <w:top w:type="dxa" w:w="100"/>
              <w:left w:type="dxa" w:w="120"/>
              <w:bottom w:type="dxa" w:w="100"/>
              <w:right w:type="dxa" w:w="120"/>
            </w:tcMar>
          </w:tcPr>
          <w:p>
            <w:r>
              <w:rPr>
                <w:b w:val="false"/>
                <w:bCs w:val="false"/>
                <w:color w:val="1A1A1A"/>
                <w:sz w:val="20"/>
                <w:szCs w:val="20"/>
              </w:rPr>
              <w:t xml:space="preserve">AWS or DigitalOcean with CDN (Cloudflare) for image-heavy vendor pages.</w:t>
            </w:r>
          </w:p>
        </w:tc>
      </w:tr>
    </w:tbl>
    <w:p>
      <w:pPr>
        <w:spacing w:after="160" w:line="300"/>
      </w:pPr>
      <w:r>
        <w:rPr>
          <w:color w:val="1A1A1A"/>
          <w:sz w:val="22"/>
          <w:szCs w:val="22"/>
        </w:rPr>
        <w:t xml:space="preserve"/>
      </w:r>
    </w:p>
    <w:p>
      <w:pPr>
        <w:pStyle w:val="Heading1"/>
        <w:pBdr>
          <w:bottom w:val="single" w:color="0B1F3A" w:sz="6" w:space="4"/>
        </w:pBdr>
        <w:spacing w:after="200" w:before="400"/>
      </w:pPr>
      <w:r>
        <w:rPr>
          <w:b/>
          <w:bCs/>
          <w:color w:val="0B1F3A"/>
          <w:sz w:val="30"/>
          <w:szCs w:val="30"/>
        </w:rPr>
        <w:t xml:space="preserve">8. Trust &amp; Safety</w:t>
      </w:r>
    </w:p>
    <w:p>
      <w:pPr>
        <w:pStyle w:val="ListParagraph"/>
        <w:numPr>
          <w:ilvl w:val="0"/>
          <w:numId w:val="2"/>
        </w:numPr>
        <w:spacing w:after="90" w:line="280"/>
      </w:pPr>
      <w:r>
        <w:rPr>
          <w:color w:val="1A1A1A"/>
          <w:sz w:val="22"/>
          <w:szCs w:val="22"/>
        </w:rPr>
        <w:t xml:space="preserve">Vendor KYC: government ID + optional CAC registration number for a "Verified Business" badge.</w:t>
      </w:r>
    </w:p>
    <w:p>
      <w:pPr>
        <w:pStyle w:val="ListParagraph"/>
        <w:numPr>
          <w:ilvl w:val="0"/>
          <w:numId w:val="2"/>
        </w:numPr>
        <w:spacing w:after="90" w:line="280"/>
      </w:pPr>
      <w:r>
        <w:rPr>
          <w:color w:val="1A1A1A"/>
          <w:sz w:val="22"/>
          <w:szCs w:val="22"/>
        </w:rPr>
        <w:t xml:space="preserve">Reviews only permitted on bookings marked completed, and only from the client who made that booking.</w:t>
      </w:r>
    </w:p>
    <w:p>
      <w:pPr>
        <w:pStyle w:val="ListParagraph"/>
        <w:numPr>
          <w:ilvl w:val="0"/>
          <w:numId w:val="2"/>
        </w:numPr>
        <w:spacing w:after="90" w:line="280"/>
      </w:pPr>
      <w:r>
        <w:rPr>
          <w:color w:val="1A1A1A"/>
          <w:sz w:val="22"/>
          <w:szCs w:val="22"/>
        </w:rPr>
        <w:t xml:space="preserve">Deposit-based commitment protects clients from no-show vendors and protects vendors from casual/unserious enquiries.</w:t>
      </w:r>
    </w:p>
    <w:p>
      <w:pPr>
        <w:pStyle w:val="ListParagraph"/>
        <w:numPr>
          <w:ilvl w:val="0"/>
          <w:numId w:val="2"/>
        </w:numPr>
        <w:spacing w:after="90" w:line="280"/>
      </w:pPr>
      <w:r>
        <w:rPr>
          <w:color w:val="1A1A1A"/>
          <w:sz w:val="22"/>
          <w:szCs w:val="22"/>
        </w:rPr>
        <w:t xml:space="preserve">A visible cancellation &amp; refund policy shown before deposit payment.</w:t>
      </w:r>
    </w:p>
    <w:p>
      <w:pPr>
        <w:pStyle w:val="ListParagraph"/>
        <w:numPr>
          <w:ilvl w:val="0"/>
          <w:numId w:val="2"/>
        </w:numPr>
        <w:spacing w:after="90" w:line="280"/>
      </w:pPr>
      <w:r>
        <w:rPr>
          <w:color w:val="1A1A1A"/>
          <w:sz w:val="22"/>
          <w:szCs w:val="22"/>
        </w:rPr>
        <w:t xml:space="preserve">Reporting/flagging mechanism for fraudulent listings or behaviour, feeding into the admin dispute console.</w:t>
      </w:r>
    </w:p>
    <w:p>
      <w:pPr>
        <w:pStyle w:val="Heading1"/>
        <w:pBdr>
          <w:bottom w:val="single" w:color="0B1F3A" w:sz="6" w:space="4"/>
        </w:pBdr>
        <w:spacing w:after="200" w:before="400"/>
      </w:pPr>
      <w:r>
        <w:rPr>
          <w:b/>
          <w:bCs/>
          <w:color w:val="0B1F3A"/>
          <w:sz w:val="30"/>
          <w:szCs w:val="30"/>
        </w:rPr>
        <w:t xml:space="preserve">9. Go-To-Market Strategy</w:t>
      </w:r>
    </w:p>
    <w:p>
      <w:pPr>
        <w:pStyle w:val="ListParagraph"/>
        <w:numPr>
          <w:ilvl w:val="0"/>
          <w:numId w:val="2"/>
        </w:numPr>
        <w:spacing w:after="90" w:line="280"/>
      </w:pPr>
      <w:r>
        <w:rPr>
          <w:color w:val="1A1A1A"/>
          <w:sz w:val="22"/>
          <w:szCs w:val="22"/>
        </w:rPr>
        <w:t xml:space="preserve">Launch focus: Nigeria first, anchored in one or two high-activity cities (e.g. Abuja and one other event-dense city) before expanding nationwide, with Pan-African expansion planned as a later phase.</w:t>
      </w:r>
    </w:p>
    <w:p>
      <w:pPr>
        <w:pStyle w:val="ListParagraph"/>
        <w:numPr>
          <w:ilvl w:val="0"/>
          <w:numId w:val="2"/>
        </w:numPr>
        <w:spacing w:after="90" w:line="280"/>
      </w:pPr>
      <w:r>
        <w:rPr>
          <w:color w:val="1A1A1A"/>
          <w:sz w:val="22"/>
          <w:szCs w:val="22"/>
        </w:rPr>
        <w:t xml:space="preserve">Vendor-side liquidity first: recruit an initial base of vendors directly (personal network, vendor associations, market visits) before heavy client-facing marketing — a marketplace with no vendors has nothing to sell.</w:t>
      </w:r>
    </w:p>
    <w:p>
      <w:pPr>
        <w:pStyle w:val="ListParagraph"/>
        <w:numPr>
          <w:ilvl w:val="0"/>
          <w:numId w:val="2"/>
        </w:numPr>
        <w:spacing w:after="90" w:line="280"/>
      </w:pPr>
      <w:r>
        <w:rPr>
          <w:color w:val="1A1A1A"/>
          <w:sz w:val="22"/>
          <w:szCs w:val="22"/>
        </w:rPr>
        <w:t xml:space="preserve">Launch incentive: reduced or waived commission for the first cohort of vendors/bookings to build trust and initial reviews.</w:t>
      </w:r>
    </w:p>
    <w:p>
      <w:pPr>
        <w:pStyle w:val="ListParagraph"/>
        <w:numPr>
          <w:ilvl w:val="0"/>
          <w:numId w:val="2"/>
        </w:numPr>
        <w:spacing w:after="90" w:line="280"/>
      </w:pPr>
      <w:r>
        <w:rPr>
          <w:color w:val="1A1A1A"/>
          <w:sz w:val="22"/>
          <w:szCs w:val="22"/>
        </w:rPr>
        <w:t xml:space="preserve">Content marketing: an event-planning tips blog and social content targeting people actively planning weddings, birthdays, and corporate events — this also builds SEO for vendor category pages.</w:t>
      </w:r>
    </w:p>
    <w:p>
      <w:pPr>
        <w:pStyle w:val="ListParagraph"/>
        <w:numPr>
          <w:ilvl w:val="0"/>
          <w:numId w:val="2"/>
        </w:numPr>
        <w:spacing w:after="90" w:line="280"/>
      </w:pPr>
      <w:r>
        <w:rPr>
          <w:color w:val="1A1A1A"/>
          <w:sz w:val="22"/>
          <w:szCs w:val="22"/>
        </w:rPr>
        <w:t xml:space="preserve">Partnerships with wedding/event planning influencers and existing vendor associations for credibility and initial vendor onboarding.</w:t>
      </w:r>
    </w:p>
    <w:p>
      <w:pPr>
        <w:pStyle w:val="Heading1"/>
        <w:pBdr>
          <w:bottom w:val="single" w:color="0B1F3A" w:sz="6" w:space="4"/>
        </w:pBdr>
        <w:spacing w:after="200" w:before="400"/>
      </w:pPr>
      <w:r>
        <w:rPr>
          <w:b/>
          <w:bCs/>
          <w:color w:val="0B1F3A"/>
          <w:sz w:val="30"/>
          <w:szCs w:val="30"/>
        </w:rPr>
        <w:t xml:space="preserve">10. Success Metrics</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3600"/>
        <w:gridCol w:w="5800"/>
      </w:tblGrid>
      <w:tr>
        <w:tc>
          <w:tcPr>
            <w:tcW w:type="dxa" w:w="3600"/>
            <w:shd w:fill="0B1F3A" w:val="clear"/>
            <w:tcMar>
              <w:top w:type="dxa" w:w="100"/>
              <w:left w:type="dxa" w:w="120"/>
              <w:bottom w:type="dxa" w:w="100"/>
              <w:right w:type="dxa" w:w="120"/>
            </w:tcMar>
          </w:tcPr>
          <w:p>
            <w:r>
              <w:rPr>
                <w:b/>
                <w:bCs/>
                <w:color w:val="FFFFFF"/>
                <w:sz w:val="20"/>
                <w:szCs w:val="20"/>
              </w:rPr>
              <w:t xml:space="preserve">Metric</w:t>
            </w:r>
          </w:p>
        </w:tc>
        <w:tc>
          <w:tcPr>
            <w:tcW w:type="dxa" w:w="5800"/>
            <w:shd w:fill="0B1F3A" w:val="clear"/>
            <w:tcMar>
              <w:top w:type="dxa" w:w="100"/>
              <w:left w:type="dxa" w:w="120"/>
              <w:bottom w:type="dxa" w:w="100"/>
              <w:right w:type="dxa" w:w="120"/>
            </w:tcMar>
          </w:tcPr>
          <w:p>
            <w:r>
              <w:rPr>
                <w:b/>
                <w:bCs/>
                <w:color w:val="FFFFFF"/>
                <w:sz w:val="20"/>
                <w:szCs w:val="20"/>
              </w:rPr>
              <w:t xml:space="preserve">Why It Matters</w:t>
            </w:r>
          </w:p>
        </w:tc>
      </w:tr>
      <w:tr>
        <w:tc>
          <w:tcPr>
            <w:tcW w:type="dxa" w:w="3600"/>
            <w:tcMar>
              <w:top w:type="dxa" w:w="100"/>
              <w:left w:type="dxa" w:w="120"/>
              <w:bottom w:type="dxa" w:w="100"/>
              <w:right w:type="dxa" w:w="120"/>
            </w:tcMar>
          </w:tcPr>
          <w:p>
            <w:r>
              <w:rPr>
                <w:b w:val="false"/>
                <w:bCs w:val="false"/>
                <w:color w:val="1A1A1A"/>
                <w:sz w:val="20"/>
                <w:szCs w:val="20"/>
              </w:rPr>
              <w:t xml:space="preserve">Vendors onboarded &amp; verified</w:t>
            </w:r>
          </w:p>
        </w:tc>
        <w:tc>
          <w:tcPr>
            <w:tcW w:type="dxa" w:w="5800"/>
            <w:tcMar>
              <w:top w:type="dxa" w:w="100"/>
              <w:left w:type="dxa" w:w="120"/>
              <w:bottom w:type="dxa" w:w="100"/>
              <w:right w:type="dxa" w:w="120"/>
            </w:tcMar>
          </w:tcPr>
          <w:p>
            <w:r>
              <w:rPr>
                <w:b w:val="false"/>
                <w:bCs w:val="false"/>
                <w:color w:val="1A1A1A"/>
                <w:sz w:val="20"/>
                <w:szCs w:val="20"/>
              </w:rPr>
              <w:t xml:space="preserve">Marketplace liquidity — nothing works without enough vendor supply.</w:t>
            </w:r>
          </w:p>
        </w:tc>
      </w:tr>
      <w:tr>
        <w:tc>
          <w:tcPr>
            <w:tcW w:type="dxa" w:w="3600"/>
            <w:shd w:fill="F2F2F2" w:val="clear"/>
            <w:tcMar>
              <w:top w:type="dxa" w:w="100"/>
              <w:left w:type="dxa" w:w="120"/>
              <w:bottom w:type="dxa" w:w="100"/>
              <w:right w:type="dxa" w:w="120"/>
            </w:tcMar>
          </w:tcPr>
          <w:p>
            <w:r>
              <w:rPr>
                <w:b w:val="false"/>
                <w:bCs w:val="false"/>
                <w:color w:val="1A1A1A"/>
                <w:sz w:val="20"/>
                <w:szCs w:val="20"/>
              </w:rPr>
              <w:t xml:space="preserve">Gross Booking Value (GBV)</w:t>
            </w:r>
          </w:p>
        </w:tc>
        <w:tc>
          <w:tcPr>
            <w:tcW w:type="dxa" w:w="5800"/>
            <w:shd w:fill="F2F2F2" w:val="clear"/>
            <w:tcMar>
              <w:top w:type="dxa" w:w="100"/>
              <w:left w:type="dxa" w:w="120"/>
              <w:bottom w:type="dxa" w:w="100"/>
              <w:right w:type="dxa" w:w="120"/>
            </w:tcMar>
          </w:tcPr>
          <w:p>
            <w:r>
              <w:rPr>
                <w:b w:val="false"/>
                <w:bCs w:val="false"/>
                <w:color w:val="1A1A1A"/>
                <w:sz w:val="20"/>
                <w:szCs w:val="20"/>
              </w:rPr>
              <w:t xml:space="preserve">Total value of bookings flowing through the platform.</w:t>
            </w:r>
          </w:p>
        </w:tc>
      </w:tr>
      <w:tr>
        <w:tc>
          <w:tcPr>
            <w:tcW w:type="dxa" w:w="3600"/>
            <w:tcMar>
              <w:top w:type="dxa" w:w="100"/>
              <w:left w:type="dxa" w:w="120"/>
              <w:bottom w:type="dxa" w:w="100"/>
              <w:right w:type="dxa" w:w="120"/>
            </w:tcMar>
          </w:tcPr>
          <w:p>
            <w:r>
              <w:rPr>
                <w:b w:val="false"/>
                <w:bCs w:val="false"/>
                <w:color w:val="1A1A1A"/>
                <w:sz w:val="20"/>
                <w:szCs w:val="20"/>
              </w:rPr>
              <w:t xml:space="preserve">Take rate / commission revenue</w:t>
            </w:r>
          </w:p>
        </w:tc>
        <w:tc>
          <w:tcPr>
            <w:tcW w:type="dxa" w:w="5800"/>
            <w:tcMar>
              <w:top w:type="dxa" w:w="100"/>
              <w:left w:type="dxa" w:w="120"/>
              <w:bottom w:type="dxa" w:w="100"/>
              <w:right w:type="dxa" w:w="120"/>
            </w:tcMar>
          </w:tcPr>
          <w:p>
            <w:r>
              <w:rPr>
                <w:b w:val="false"/>
                <w:bCs w:val="false"/>
                <w:color w:val="1A1A1A"/>
                <w:sz w:val="20"/>
                <w:szCs w:val="20"/>
              </w:rPr>
              <w:t xml:space="preserve">Actual platform revenue as a % of GBV.</w:t>
            </w:r>
          </w:p>
        </w:tc>
      </w:tr>
      <w:tr>
        <w:tc>
          <w:tcPr>
            <w:tcW w:type="dxa" w:w="3600"/>
            <w:shd w:fill="F2F2F2" w:val="clear"/>
            <w:tcMar>
              <w:top w:type="dxa" w:w="100"/>
              <w:left w:type="dxa" w:w="120"/>
              <w:bottom w:type="dxa" w:w="100"/>
              <w:right w:type="dxa" w:w="120"/>
            </w:tcMar>
          </w:tcPr>
          <w:p>
            <w:r>
              <w:rPr>
                <w:b w:val="false"/>
                <w:bCs w:val="false"/>
                <w:color w:val="1A1A1A"/>
                <w:sz w:val="20"/>
                <w:szCs w:val="20"/>
              </w:rPr>
              <w:t xml:space="preserve">Quote-to-booking conversion rate</w:t>
            </w:r>
          </w:p>
        </w:tc>
        <w:tc>
          <w:tcPr>
            <w:tcW w:type="dxa" w:w="5800"/>
            <w:shd w:fill="F2F2F2" w:val="clear"/>
            <w:tcMar>
              <w:top w:type="dxa" w:w="100"/>
              <w:left w:type="dxa" w:w="120"/>
              <w:bottom w:type="dxa" w:w="100"/>
              <w:right w:type="dxa" w:w="120"/>
            </w:tcMar>
          </w:tcPr>
          <w:p>
            <w:r>
              <w:rPr>
                <w:b w:val="false"/>
                <w:bCs w:val="false"/>
                <w:color w:val="1A1A1A"/>
                <w:sz w:val="20"/>
                <w:szCs w:val="20"/>
              </w:rPr>
              <w:t xml:space="preserve">Health of the matching and pricing experience.</w:t>
            </w:r>
          </w:p>
        </w:tc>
      </w:tr>
      <w:tr>
        <w:tc>
          <w:tcPr>
            <w:tcW w:type="dxa" w:w="3600"/>
            <w:tcMar>
              <w:top w:type="dxa" w:w="100"/>
              <w:left w:type="dxa" w:w="120"/>
              <w:bottom w:type="dxa" w:w="100"/>
              <w:right w:type="dxa" w:w="120"/>
            </w:tcMar>
          </w:tcPr>
          <w:p>
            <w:r>
              <w:rPr>
                <w:b w:val="false"/>
                <w:bCs w:val="false"/>
                <w:color w:val="1A1A1A"/>
                <w:sz w:val="20"/>
                <w:szCs w:val="20"/>
              </w:rPr>
              <w:t xml:space="preserve">Repeat booking rate</w:t>
            </w:r>
          </w:p>
        </w:tc>
        <w:tc>
          <w:tcPr>
            <w:tcW w:type="dxa" w:w="5800"/>
            <w:tcMar>
              <w:top w:type="dxa" w:w="100"/>
              <w:left w:type="dxa" w:w="120"/>
              <w:bottom w:type="dxa" w:w="100"/>
              <w:right w:type="dxa" w:w="120"/>
            </w:tcMar>
          </w:tcPr>
          <w:p>
            <w:r>
              <w:rPr>
                <w:b w:val="false"/>
                <w:bCs w:val="false"/>
                <w:color w:val="1A1A1A"/>
                <w:sz w:val="20"/>
                <w:szCs w:val="20"/>
              </w:rPr>
              <w:t xml:space="preserve">Trust and retention, especially among planners.</w:t>
            </w:r>
          </w:p>
        </w:tc>
      </w:tr>
      <w:tr>
        <w:tc>
          <w:tcPr>
            <w:tcW w:type="dxa" w:w="3600"/>
            <w:shd w:fill="F2F2F2" w:val="clear"/>
            <w:tcMar>
              <w:top w:type="dxa" w:w="100"/>
              <w:left w:type="dxa" w:w="120"/>
              <w:bottom w:type="dxa" w:w="100"/>
              <w:right w:type="dxa" w:w="120"/>
            </w:tcMar>
          </w:tcPr>
          <w:p>
            <w:r>
              <w:rPr>
                <w:b w:val="false"/>
                <w:bCs w:val="false"/>
                <w:color w:val="1A1A1A"/>
                <w:sz w:val="20"/>
                <w:szCs w:val="20"/>
              </w:rPr>
              <w:t xml:space="preserve">Dispute/cancellation rate</w:t>
            </w:r>
          </w:p>
        </w:tc>
        <w:tc>
          <w:tcPr>
            <w:tcW w:type="dxa" w:w="5800"/>
            <w:shd w:fill="F2F2F2" w:val="clear"/>
            <w:tcMar>
              <w:top w:type="dxa" w:w="100"/>
              <w:left w:type="dxa" w:w="120"/>
              <w:bottom w:type="dxa" w:w="100"/>
              <w:right w:type="dxa" w:w="120"/>
            </w:tcMar>
          </w:tcPr>
          <w:p>
            <w:r>
              <w:rPr>
                <w:b w:val="false"/>
                <w:bCs w:val="false"/>
                <w:color w:val="1A1A1A"/>
                <w:sz w:val="20"/>
                <w:szCs w:val="20"/>
              </w:rPr>
              <w:t xml:space="preserve">Signal for trust &amp; safety issues needing attention.</w:t>
            </w:r>
          </w:p>
        </w:tc>
      </w:tr>
    </w:tbl>
    <w:p>
      <w:pPr>
        <w:spacing w:after="160" w:line="300"/>
      </w:pPr>
      <w:r>
        <w:rPr>
          <w:color w:val="1A1A1A"/>
          <w:sz w:val="22"/>
          <w:szCs w:val="22"/>
        </w:rPr>
        <w:t xml:space="preserve"/>
      </w:r>
    </w:p>
    <w:p>
      <w:pPr>
        <w:pStyle w:val="Heading1"/>
        <w:pBdr>
          <w:bottom w:val="single" w:color="0B1F3A" w:sz="6" w:space="4"/>
        </w:pBdr>
        <w:spacing w:after="200" w:before="400"/>
      </w:pPr>
      <w:r>
        <w:rPr>
          <w:b/>
          <w:bCs/>
          <w:color w:val="0B1F3A"/>
          <w:sz w:val="30"/>
          <w:szCs w:val="30"/>
        </w:rPr>
        <w:t xml:space="preserve">11. High-Level Milestones</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600"/>
        <w:gridCol w:w="6800"/>
      </w:tblGrid>
      <w:tr>
        <w:tc>
          <w:tcPr>
            <w:tcW w:type="dxa" w:w="2600"/>
            <w:shd w:fill="0B1F3A" w:val="clear"/>
            <w:tcMar>
              <w:top w:type="dxa" w:w="100"/>
              <w:left w:type="dxa" w:w="120"/>
              <w:bottom w:type="dxa" w:w="100"/>
              <w:right w:type="dxa" w:w="120"/>
            </w:tcMar>
          </w:tcPr>
          <w:p>
            <w:r>
              <w:rPr>
                <w:b/>
                <w:bCs/>
                <w:color w:val="FFFFFF"/>
                <w:sz w:val="20"/>
                <w:szCs w:val="20"/>
              </w:rPr>
              <w:t xml:space="preserve">Timeline</w:t>
            </w:r>
          </w:p>
        </w:tc>
        <w:tc>
          <w:tcPr>
            <w:tcW w:type="dxa" w:w="6800"/>
            <w:shd w:fill="0B1F3A" w:val="clear"/>
            <w:tcMar>
              <w:top w:type="dxa" w:w="100"/>
              <w:left w:type="dxa" w:w="120"/>
              <w:bottom w:type="dxa" w:w="100"/>
              <w:right w:type="dxa" w:w="120"/>
            </w:tcMar>
          </w:tcPr>
          <w:p>
            <w:r>
              <w:rPr>
                <w:b/>
                <w:bCs/>
                <w:color w:val="FFFFFF"/>
                <w:sz w:val="20"/>
                <w:szCs w:val="20"/>
              </w:rPr>
              <w:t xml:space="preserve">Milestone</w:t>
            </w:r>
          </w:p>
        </w:tc>
      </w:tr>
      <w:tr>
        <w:tc>
          <w:tcPr>
            <w:tcW w:type="dxa" w:w="2600"/>
            <w:tcMar>
              <w:top w:type="dxa" w:w="100"/>
              <w:left w:type="dxa" w:w="120"/>
              <w:bottom w:type="dxa" w:w="100"/>
              <w:right w:type="dxa" w:w="120"/>
            </w:tcMar>
          </w:tcPr>
          <w:p>
            <w:r>
              <w:rPr>
                <w:b w:val="false"/>
                <w:bCs w:val="false"/>
                <w:color w:val="1A1A1A"/>
                <w:sz w:val="20"/>
                <w:szCs w:val="20"/>
              </w:rPr>
              <w:t xml:space="preserve">Month 1–2</w:t>
            </w:r>
          </w:p>
        </w:tc>
        <w:tc>
          <w:tcPr>
            <w:tcW w:type="dxa" w:w="6800"/>
            <w:tcMar>
              <w:top w:type="dxa" w:w="100"/>
              <w:left w:type="dxa" w:w="120"/>
              <w:bottom w:type="dxa" w:w="100"/>
              <w:right w:type="dxa" w:w="120"/>
            </w:tcMar>
          </w:tcPr>
          <w:p>
            <w:r>
              <w:rPr>
                <w:b w:val="false"/>
                <w:bCs w:val="false"/>
                <w:color w:val="1A1A1A"/>
                <w:sz w:val="20"/>
                <w:szCs w:val="20"/>
              </w:rPr>
              <w:t xml:space="preserve">Finalize vendor categories, commission/deposit policy, and design system; begin MVP build.</w:t>
            </w:r>
          </w:p>
        </w:tc>
      </w:tr>
      <w:tr>
        <w:tc>
          <w:tcPr>
            <w:tcW w:type="dxa" w:w="2600"/>
            <w:shd w:fill="F2F2F2" w:val="clear"/>
            <w:tcMar>
              <w:top w:type="dxa" w:w="100"/>
              <w:left w:type="dxa" w:w="120"/>
              <w:bottom w:type="dxa" w:w="100"/>
              <w:right w:type="dxa" w:w="120"/>
            </w:tcMar>
          </w:tcPr>
          <w:p>
            <w:r>
              <w:rPr>
                <w:b w:val="false"/>
                <w:bCs w:val="false"/>
                <w:color w:val="1A1A1A"/>
                <w:sz w:val="20"/>
                <w:szCs w:val="20"/>
              </w:rPr>
              <w:t xml:space="preserve">Month 3</w:t>
            </w:r>
          </w:p>
        </w:tc>
        <w:tc>
          <w:tcPr>
            <w:tcW w:type="dxa" w:w="6800"/>
            <w:shd w:fill="F2F2F2" w:val="clear"/>
            <w:tcMar>
              <w:top w:type="dxa" w:w="100"/>
              <w:left w:type="dxa" w:w="120"/>
              <w:bottom w:type="dxa" w:w="100"/>
              <w:right w:type="dxa" w:w="120"/>
            </w:tcMar>
          </w:tcPr>
          <w:p>
            <w:r>
              <w:rPr>
                <w:b w:val="false"/>
                <w:bCs w:val="false"/>
                <w:color w:val="1A1A1A"/>
                <w:sz w:val="20"/>
                <w:szCs w:val="20"/>
              </w:rPr>
              <w:t xml:space="preserve">MVP complete: vendor onboarding, storefronts, search, quote flow, deposit payments.</w:t>
            </w:r>
          </w:p>
        </w:tc>
      </w:tr>
      <w:tr>
        <w:tc>
          <w:tcPr>
            <w:tcW w:type="dxa" w:w="2600"/>
            <w:tcMar>
              <w:top w:type="dxa" w:w="100"/>
              <w:left w:type="dxa" w:w="120"/>
              <w:bottom w:type="dxa" w:w="100"/>
              <w:right w:type="dxa" w:w="120"/>
            </w:tcMar>
          </w:tcPr>
          <w:p>
            <w:r>
              <w:rPr>
                <w:b w:val="false"/>
                <w:bCs w:val="false"/>
                <w:color w:val="1A1A1A"/>
                <w:sz w:val="20"/>
                <w:szCs w:val="20"/>
              </w:rPr>
              <w:t xml:space="preserve">Month 3–4</w:t>
            </w:r>
          </w:p>
        </w:tc>
        <w:tc>
          <w:tcPr>
            <w:tcW w:type="dxa" w:w="6800"/>
            <w:tcMar>
              <w:top w:type="dxa" w:w="100"/>
              <w:left w:type="dxa" w:w="120"/>
              <w:bottom w:type="dxa" w:w="100"/>
              <w:right w:type="dxa" w:w="120"/>
            </w:tcMar>
          </w:tcPr>
          <w:p>
            <w:r>
              <w:rPr>
                <w:b w:val="false"/>
                <w:bCs w:val="false"/>
                <w:color w:val="1A1A1A"/>
                <w:sz w:val="20"/>
                <w:szCs w:val="20"/>
              </w:rPr>
              <w:t xml:space="preserve">Recruit and onboard first cohort of vendors before public launch.</w:t>
            </w:r>
          </w:p>
        </w:tc>
      </w:tr>
      <w:tr>
        <w:tc>
          <w:tcPr>
            <w:tcW w:type="dxa" w:w="2600"/>
            <w:shd w:fill="F2F2F2" w:val="clear"/>
            <w:tcMar>
              <w:top w:type="dxa" w:w="100"/>
              <w:left w:type="dxa" w:w="120"/>
              <w:bottom w:type="dxa" w:w="100"/>
              <w:right w:type="dxa" w:w="120"/>
            </w:tcMar>
          </w:tcPr>
          <w:p>
            <w:r>
              <w:rPr>
                <w:b w:val="false"/>
                <w:bCs w:val="false"/>
                <w:color w:val="1A1A1A"/>
                <w:sz w:val="20"/>
                <w:szCs w:val="20"/>
              </w:rPr>
              <w:t xml:space="preserve">Month 4</w:t>
            </w:r>
          </w:p>
        </w:tc>
        <w:tc>
          <w:tcPr>
            <w:tcW w:type="dxa" w:w="6800"/>
            <w:shd w:fill="F2F2F2" w:val="clear"/>
            <w:tcMar>
              <w:top w:type="dxa" w:w="100"/>
              <w:left w:type="dxa" w:w="120"/>
              <w:bottom w:type="dxa" w:w="100"/>
              <w:right w:type="dxa" w:w="120"/>
            </w:tcMar>
          </w:tcPr>
          <w:p>
            <w:r>
              <w:rPr>
                <w:b w:val="false"/>
                <w:bCs w:val="false"/>
                <w:color w:val="1A1A1A"/>
                <w:sz w:val="20"/>
                <w:szCs w:val="20"/>
              </w:rPr>
              <w:t xml:space="preserve">Soft launch in anchor city with reduced launch commission.</w:t>
            </w:r>
          </w:p>
        </w:tc>
      </w:tr>
      <w:tr>
        <w:tc>
          <w:tcPr>
            <w:tcW w:type="dxa" w:w="2600"/>
            <w:tcMar>
              <w:top w:type="dxa" w:w="100"/>
              <w:left w:type="dxa" w:w="120"/>
              <w:bottom w:type="dxa" w:w="100"/>
              <w:right w:type="dxa" w:w="120"/>
            </w:tcMar>
          </w:tcPr>
          <w:p>
            <w:r>
              <w:rPr>
                <w:b w:val="false"/>
                <w:bCs w:val="false"/>
                <w:color w:val="1A1A1A"/>
                <w:sz w:val="20"/>
                <w:szCs w:val="20"/>
              </w:rPr>
              <w:t xml:space="preserve">Month 5–6</w:t>
            </w:r>
          </w:p>
        </w:tc>
        <w:tc>
          <w:tcPr>
            <w:tcW w:type="dxa" w:w="6800"/>
            <w:tcMar>
              <w:top w:type="dxa" w:w="100"/>
              <w:left w:type="dxa" w:w="120"/>
              <w:bottom w:type="dxa" w:w="100"/>
              <w:right w:type="dxa" w:w="120"/>
            </w:tcMar>
          </w:tcPr>
          <w:p>
            <w:r>
              <w:rPr>
                <w:b w:val="false"/>
                <w:bCs w:val="false"/>
                <w:color w:val="1A1A1A"/>
                <w:sz w:val="20"/>
                <w:szCs w:val="20"/>
              </w:rPr>
              <w:t xml:space="preserve">Public launch marketing push; begin Phase 2 features.</w:t>
            </w:r>
          </w:p>
        </w:tc>
      </w:tr>
      <w:tr>
        <w:tc>
          <w:tcPr>
            <w:tcW w:type="dxa" w:w="2600"/>
            <w:shd w:fill="F2F2F2" w:val="clear"/>
            <w:tcMar>
              <w:top w:type="dxa" w:w="100"/>
              <w:left w:type="dxa" w:w="120"/>
              <w:bottom w:type="dxa" w:w="100"/>
              <w:right w:type="dxa" w:w="120"/>
            </w:tcMar>
          </w:tcPr>
          <w:p>
            <w:r>
              <w:rPr>
                <w:b w:val="false"/>
                <w:bCs w:val="false"/>
                <w:color w:val="1A1A1A"/>
                <w:sz w:val="20"/>
                <w:szCs w:val="20"/>
              </w:rPr>
              <w:t xml:space="preserve">Month 6–9</w:t>
            </w:r>
          </w:p>
        </w:tc>
        <w:tc>
          <w:tcPr>
            <w:tcW w:type="dxa" w:w="6800"/>
            <w:shd w:fill="F2F2F2" w:val="clear"/>
            <w:tcMar>
              <w:top w:type="dxa" w:w="100"/>
              <w:left w:type="dxa" w:w="120"/>
              <w:bottom w:type="dxa" w:w="100"/>
              <w:right w:type="dxa" w:w="120"/>
            </w:tcMar>
          </w:tcPr>
          <w:p>
            <w:r>
              <w:rPr>
                <w:b w:val="false"/>
                <w:bCs w:val="false"/>
                <w:color w:val="1A1A1A"/>
                <w:sz w:val="20"/>
                <w:szCs w:val="20"/>
              </w:rPr>
              <w:t xml:space="preserve">Introduce Planner Pro accounts, promoted listings, analytics.</w:t>
            </w:r>
          </w:p>
        </w:tc>
      </w:tr>
      <w:tr>
        <w:tc>
          <w:tcPr>
            <w:tcW w:type="dxa" w:w="2600"/>
            <w:tcMar>
              <w:top w:type="dxa" w:w="100"/>
              <w:left w:type="dxa" w:w="120"/>
              <w:bottom w:type="dxa" w:w="100"/>
              <w:right w:type="dxa" w:w="120"/>
            </w:tcMar>
          </w:tcPr>
          <w:p>
            <w:r>
              <w:rPr>
                <w:b w:val="false"/>
                <w:bCs w:val="false"/>
                <w:color w:val="1A1A1A"/>
                <w:sz w:val="20"/>
                <w:szCs w:val="20"/>
              </w:rPr>
              <w:t xml:space="preserve">Month 9–12</w:t>
            </w:r>
          </w:p>
        </w:tc>
        <w:tc>
          <w:tcPr>
            <w:tcW w:type="dxa" w:w="6800"/>
            <w:tcMar>
              <w:top w:type="dxa" w:w="100"/>
              <w:left w:type="dxa" w:w="120"/>
              <w:bottom w:type="dxa" w:w="100"/>
              <w:right w:type="dxa" w:w="120"/>
            </w:tcMar>
          </w:tcPr>
          <w:p>
            <w:r>
              <w:rPr>
                <w:b w:val="false"/>
                <w:bCs w:val="false"/>
                <w:color w:val="1A1A1A"/>
                <w:sz w:val="20"/>
                <w:szCs w:val="20"/>
              </w:rPr>
              <w:t xml:space="preserve">Evaluate readiness for native apps and Pan-African expansion.</w:t>
            </w:r>
          </w:p>
        </w:tc>
      </w:tr>
    </w:tbl>
    <w:p>
      <w:pPr>
        <w:spacing w:after="160" w:line="300"/>
      </w:pPr>
      <w:r>
        <w:rPr>
          <w:color w:val="1A1A1A"/>
          <w:sz w:val="22"/>
          <w:szCs w:val="22"/>
        </w:rPr>
        <w:t xml:space="preserve"/>
      </w:r>
    </w:p>
    <w:p>
      <w:pPr>
        <w:pStyle w:val="Heading1"/>
        <w:pBdr>
          <w:bottom w:val="single" w:color="0B1F3A" w:sz="6" w:space="4"/>
        </w:pBdr>
        <w:spacing w:after="200" w:before="400"/>
      </w:pPr>
      <w:r>
        <w:rPr>
          <w:b/>
          <w:bCs/>
          <w:color w:val="0B1F3A"/>
          <w:sz w:val="30"/>
          <w:szCs w:val="30"/>
        </w:rPr>
        <w:t xml:space="preserve">12. Immediate Next Steps</w:t>
      </w:r>
    </w:p>
    <w:p>
      <w:pPr>
        <w:pStyle w:val="ListParagraph"/>
        <w:numPr>
          <w:ilvl w:val="0"/>
          <w:numId w:val="3"/>
        </w:numPr>
        <w:spacing w:after="90" w:line="280"/>
      </w:pPr>
      <w:r>
        <w:rPr>
          <w:color w:val="1A1A1A"/>
          <w:sz w:val="22"/>
          <w:szCs w:val="22"/>
        </w:rPr>
        <w:t xml:space="preserve">Lock in the final commission and deposit percentages by category (Section 3.3) after speaking with a handful of real vendors — validated numbers will matter more to investors and to vendor trust than the reference figures here.</w:t>
      </w:r>
    </w:p>
    <w:p>
      <w:pPr>
        <w:pStyle w:val="ListParagraph"/>
        <w:numPr>
          <w:ilvl w:val="0"/>
          <w:numId w:val="3"/>
        </w:numPr>
        <w:spacing w:after="90" w:line="280"/>
      </w:pPr>
      <w:r>
        <w:rPr>
          <w:color w:val="1A1A1A"/>
          <w:sz w:val="22"/>
          <w:szCs w:val="22"/>
        </w:rPr>
        <w:t xml:space="preserve">Confirm Paystack vs. Flutterwave (or both) and set up split-payment/sub-account configuration for the deposit + commission mechanic.</w:t>
      </w:r>
    </w:p>
    <w:p>
      <w:pPr>
        <w:pStyle w:val="ListParagraph"/>
        <w:numPr>
          <w:ilvl w:val="0"/>
          <w:numId w:val="3"/>
        </w:numPr>
        <w:spacing w:after="90" w:line="280"/>
      </w:pPr>
      <w:r>
        <w:rPr>
          <w:color w:val="1A1A1A"/>
          <w:sz w:val="22"/>
          <w:szCs w:val="22"/>
        </w:rPr>
        <w:t xml:space="preserve">Define the full vendor category taxonomy and the exact fields each category's storefront needs (a caterer's packages look different from a DJ's).</w:t>
      </w:r>
    </w:p>
    <w:p>
      <w:pPr>
        <w:pStyle w:val="ListParagraph"/>
        <w:numPr>
          <w:ilvl w:val="0"/>
          <w:numId w:val="3"/>
        </w:numPr>
        <w:spacing w:after="90" w:line="280"/>
      </w:pPr>
      <w:r>
        <w:rPr>
          <w:color w:val="1A1A1A"/>
          <w:sz w:val="22"/>
          <w:szCs w:val="22"/>
        </w:rPr>
        <w:t xml:space="preserve">Brief a developer or development team with this document plus a visual wireframe/UI mockup pass — happy to build that next, either as clickable wireframes or a structured design brief.</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60"/>
      </w:pPr>
    </w:lvl>
    <w:lvl w:ilvl="1" w15:tentative="1">
      <w:start w:val="1"/>
      <w:numFmt w:val="bullet"/>
      <w:lvlText w:val="◦"/>
      <w:lvlJc w:val="left"/>
      <w:pPr>
        <w:ind w:left="720" w:hanging="260"/>
      </w:pPr>
    </w:lvl>
  </w:abstractNum>
  <w:abstractNum w:abstractNumId="3" w15:restartNumberingAfterBreak="0">
    <w:multiLevelType w:val="hybridMultilevel"/>
    <w:lvl w:ilvl="0" w15:tentative="1">
      <w:start w:val="1"/>
      <w:numFmt w:val="decimal"/>
      <w:lvlText w:val="%1."/>
      <w:lvlJc w:val="left"/>
      <w:pPr>
        <w:ind w:left="360" w:hanging="2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2026-07-01T12:46:33.161Z</dcterms:created>
  <dcterms:modified xsi:type="dcterms:W3CDTF">2026-07-01T12:46:33.161Z</dcterms:modified>
</cp:coreProperties>
</file>

<file path=docProps/custom.xml><?xml version="1.0" encoding="utf-8"?>
<Properties xmlns="http://schemas.openxmlformats.org/officeDocument/2006/custom-properties" xmlns:vt="http://schemas.openxmlformats.org/officeDocument/2006/docPropsVTypes"/>
</file>