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br/>
        <w:br/>
        <w:t>M.TECH PROJECT — REVIEW 0</w:t>
        <w:br/>
      </w:r>
    </w:p>
    <w:p>
      <w:pPr>
        <w:jc w:val="center"/>
      </w:pPr>
      <w:r>
        <w:rPr>
          <w:rFonts w:ascii="Times New Roman" w:hAnsi="Times New Roman"/>
          <w:b/>
          <w:sz w:val="42"/>
        </w:rPr>
        <w:t>A Two-Stage Framework for Context-Aware PII Masking and</w:t>
        <w:br/>
        <w:t>Quasi-Identifier Generalization in Unstructured Text</w:t>
      </w:r>
    </w:p>
    <w:p>
      <w:pPr>
        <w:jc w:val="center"/>
      </w:pPr>
      <w:r>
        <w:rPr>
          <w:sz w:val="26"/>
        </w:rPr>
        <w:br/>
        <w:t>Topic Finalization / Zeroth Review Submission</w:t>
      </w:r>
    </w:p>
    <w:p>
      <w:r>
        <w:br/>
        <w:br/>
      </w:r>
    </w:p>
    <w:tbl>
      <w:tblPr>
        <w:tblStyle w:val="TableGrid"/>
        <w:tblW w:type="auto" w:w="0"/>
        <w:jc w:val="center"/>
        <w:tblLook w:firstColumn="1" w:firstRow="1" w:lastColumn="0" w:lastRow="0" w:noHBand="0" w:noVBand="1" w:val="04A0"/>
      </w:tblPr>
      <w:tblGrid>
        <w:gridCol w:w="4968"/>
        <w:gridCol w:w="4968"/>
      </w:tblGrid>
      <w:tr>
        <w:tc>
          <w:tcPr>
            <w:tcW w:type="dxa" w:w="3024"/>
            <w:vAlign w:val="center"/>
            <w:shd w:fill="D9EAF7"/>
          </w:tcPr>
          <w:p>
            <w:r/>
            <w:r>
              <w:rPr>
                <w:rFonts w:ascii="Times New Roman" w:hAnsi="Times New Roman"/>
                <w:b/>
                <w:sz w:val="20"/>
              </w:rPr>
              <w:t>Field</w:t>
            </w:r>
          </w:p>
        </w:tc>
        <w:tc>
          <w:tcPr>
            <w:tcW w:type="dxa" w:w="6912"/>
            <w:vAlign w:val="center"/>
            <w:shd w:fill="D9EAF7"/>
          </w:tcPr>
          <w:p>
            <w:r/>
            <w:r>
              <w:rPr>
                <w:rFonts w:ascii="Times New Roman" w:hAnsi="Times New Roman"/>
                <w:b/>
                <w:sz w:val="20"/>
              </w:rPr>
              <w:t>Details</w:t>
            </w:r>
          </w:p>
        </w:tc>
      </w:tr>
      <w:tr>
        <w:tc>
          <w:tcPr>
            <w:tcW w:type="dxa" w:w="3024"/>
            <w:vAlign w:val="center"/>
          </w:tcPr>
          <w:p>
            <w:r/>
            <w:r>
              <w:rPr>
                <w:rFonts w:ascii="Times New Roman" w:hAnsi="Times New Roman"/>
                <w:b w:val="0"/>
                <w:sz w:val="20"/>
              </w:rPr>
              <w:t>Student Name</w:t>
            </w:r>
          </w:p>
        </w:tc>
        <w:tc>
          <w:tcPr>
            <w:tcW w:type="dxa" w:w="6912"/>
            <w:vAlign w:val="center"/>
          </w:tcPr>
          <w:p>
            <w:r/>
            <w:r>
              <w:rPr>
                <w:rFonts w:ascii="Times New Roman" w:hAnsi="Times New Roman"/>
                <w:b w:val="0"/>
                <w:sz w:val="20"/>
              </w:rPr>
              <w:t>[To be filled]</w:t>
            </w:r>
          </w:p>
        </w:tc>
      </w:tr>
      <w:tr>
        <w:tc>
          <w:tcPr>
            <w:tcW w:type="dxa" w:w="3024"/>
            <w:vAlign w:val="center"/>
          </w:tcPr>
          <w:p>
            <w:r/>
            <w:r>
              <w:rPr>
                <w:rFonts w:ascii="Times New Roman" w:hAnsi="Times New Roman"/>
                <w:b w:val="0"/>
                <w:sz w:val="20"/>
              </w:rPr>
              <w:t>Roll Number</w:t>
            </w:r>
          </w:p>
        </w:tc>
        <w:tc>
          <w:tcPr>
            <w:tcW w:type="dxa" w:w="6912"/>
            <w:vAlign w:val="center"/>
          </w:tcPr>
          <w:p>
            <w:r/>
            <w:r>
              <w:rPr>
                <w:rFonts w:ascii="Times New Roman" w:hAnsi="Times New Roman"/>
                <w:b w:val="0"/>
                <w:sz w:val="20"/>
              </w:rPr>
              <w:t>[To be filled]</w:t>
            </w:r>
          </w:p>
        </w:tc>
      </w:tr>
      <w:tr>
        <w:tc>
          <w:tcPr>
            <w:tcW w:type="dxa" w:w="3024"/>
            <w:vAlign w:val="center"/>
          </w:tcPr>
          <w:p>
            <w:r/>
            <w:r>
              <w:rPr>
                <w:rFonts w:ascii="Times New Roman" w:hAnsi="Times New Roman"/>
                <w:b w:val="0"/>
                <w:sz w:val="20"/>
              </w:rPr>
              <w:t>Programme</w:t>
            </w:r>
          </w:p>
        </w:tc>
        <w:tc>
          <w:tcPr>
            <w:tcW w:type="dxa" w:w="6912"/>
            <w:vAlign w:val="center"/>
          </w:tcPr>
          <w:p>
            <w:r/>
            <w:r>
              <w:rPr>
                <w:rFonts w:ascii="Times New Roman" w:hAnsi="Times New Roman"/>
                <w:b w:val="0"/>
                <w:sz w:val="20"/>
              </w:rPr>
              <w:t>M.Tech — Computer Science / AI &amp; Data Science</w:t>
            </w:r>
          </w:p>
        </w:tc>
      </w:tr>
      <w:tr>
        <w:tc>
          <w:tcPr>
            <w:tcW w:type="dxa" w:w="3024"/>
            <w:vAlign w:val="center"/>
          </w:tcPr>
          <w:p>
            <w:r/>
            <w:r>
              <w:rPr>
                <w:rFonts w:ascii="Times New Roman" w:hAnsi="Times New Roman"/>
                <w:b w:val="0"/>
                <w:sz w:val="20"/>
              </w:rPr>
              <w:t>Department / Institute</w:t>
            </w:r>
          </w:p>
        </w:tc>
        <w:tc>
          <w:tcPr>
            <w:tcW w:type="dxa" w:w="6912"/>
            <w:vAlign w:val="center"/>
          </w:tcPr>
          <w:p>
            <w:r/>
            <w:r>
              <w:rPr>
                <w:rFonts w:ascii="Times New Roman" w:hAnsi="Times New Roman"/>
                <w:b w:val="0"/>
                <w:sz w:val="20"/>
              </w:rPr>
              <w:t>[To be filled]</w:t>
            </w:r>
          </w:p>
        </w:tc>
      </w:tr>
      <w:tr>
        <w:tc>
          <w:tcPr>
            <w:tcW w:type="dxa" w:w="3024"/>
            <w:vAlign w:val="center"/>
          </w:tcPr>
          <w:p>
            <w:r/>
            <w:r>
              <w:rPr>
                <w:rFonts w:ascii="Times New Roman" w:hAnsi="Times New Roman"/>
                <w:b w:val="0"/>
                <w:sz w:val="20"/>
              </w:rPr>
              <w:t>Project Guide</w:t>
            </w:r>
          </w:p>
        </w:tc>
        <w:tc>
          <w:tcPr>
            <w:tcW w:type="dxa" w:w="6912"/>
            <w:vAlign w:val="center"/>
          </w:tcPr>
          <w:p>
            <w:r/>
            <w:r>
              <w:rPr>
                <w:rFonts w:ascii="Times New Roman" w:hAnsi="Times New Roman"/>
                <w:b w:val="0"/>
                <w:sz w:val="20"/>
              </w:rPr>
              <w:t>[To be filled]</w:t>
            </w:r>
          </w:p>
        </w:tc>
      </w:tr>
      <w:tr>
        <w:tc>
          <w:tcPr>
            <w:tcW w:type="dxa" w:w="3024"/>
            <w:vAlign w:val="center"/>
          </w:tcPr>
          <w:p>
            <w:r/>
            <w:r>
              <w:rPr>
                <w:rFonts w:ascii="Times New Roman" w:hAnsi="Times New Roman"/>
                <w:b w:val="0"/>
                <w:sz w:val="20"/>
              </w:rPr>
              <w:t>Review</w:t>
            </w:r>
          </w:p>
        </w:tc>
        <w:tc>
          <w:tcPr>
            <w:tcW w:type="dxa" w:w="6912"/>
            <w:vAlign w:val="center"/>
          </w:tcPr>
          <w:p>
            <w:r/>
            <w:r>
              <w:rPr>
                <w:rFonts w:ascii="Times New Roman" w:hAnsi="Times New Roman"/>
                <w:b w:val="0"/>
                <w:sz w:val="20"/>
              </w:rPr>
              <w:t>Review 0 — Topic Finalization / Zeroth Review</w:t>
            </w:r>
          </w:p>
        </w:tc>
      </w:tr>
      <w:tr>
        <w:tc>
          <w:tcPr>
            <w:tcW w:type="dxa" w:w="3024"/>
            <w:vAlign w:val="center"/>
          </w:tcPr>
          <w:p>
            <w:r/>
            <w:r>
              <w:rPr>
                <w:rFonts w:ascii="Times New Roman" w:hAnsi="Times New Roman"/>
                <w:b w:val="0"/>
                <w:sz w:val="20"/>
              </w:rPr>
              <w:t>Date</w:t>
            </w:r>
          </w:p>
        </w:tc>
        <w:tc>
          <w:tcPr>
            <w:tcW w:type="dxa" w:w="6912"/>
            <w:vAlign w:val="center"/>
          </w:tcPr>
          <w:p>
            <w:r/>
            <w:r>
              <w:rPr>
                <w:rFonts w:ascii="Times New Roman" w:hAnsi="Times New Roman"/>
                <w:b w:val="0"/>
                <w:sz w:val="20"/>
              </w:rPr>
              <w:t>August 2026</w:t>
            </w:r>
          </w:p>
        </w:tc>
      </w:tr>
    </w:tbl>
    <w:p/>
    <w:p>
      <w:pPr>
        <w:jc w:val="center"/>
      </w:pPr>
      <w:r>
        <w:rPr>
          <w:b/>
        </w:rPr>
        <w:br/>
        <w:t>Confidentiality / Data Note</w:t>
      </w:r>
    </w:p>
    <w:p>
      <w:pPr>
        <w:jc w:val="center"/>
      </w:pPr>
      <w:r>
        <w:t>The proposed experiments use the AI4Privacy PII-Masking-300K dataset under its academic/non-commercial license. The dataset is synthetic and is not intended to be redistributed as part of the project repository.</w:t>
      </w:r>
    </w:p>
    <w:p>
      <w:r>
        <w:br w:type="page"/>
      </w:r>
    </w:p>
    <w:p>
      <w:pPr>
        <w:pStyle w:val="Heading1"/>
      </w:pPr>
      <w:r>
        <w:t>1. Executive Summary</w:t>
      </w:r>
    </w:p>
    <w:p>
      <w:r>
        <w:t>This project proposes a two-stage framework for anonymizing sensitive unstructured text while preserving semantic utility and natural readability. The first stage focuses on direct personally identifiable information (PII), using a hybrid of high-precision regular expressions and transformer-based named entity recognition (NER), followed by deterministic document-level synthetic surrogates. The second stage addresses contextual information that may remain identifying after direct PII has been removed. It uses a locally deployed small language model (SLM) to propose hierarchical generalizations of contextual quasi-identifiers (QIs), while an independent deterministic QI detector evaluates the proposed rewrite.</w:t>
      </w:r>
    </w:p>
    <w:p>
      <w:r>
        <w:t>The Stage 2 candidate is accepted only when it satisfies a three-way guardrail: a weighted composite of semantic similarity, QI abstraction quality, and readability must exceed a provisional threshold; semantic similarity must remain above a hard safety floor; and QI abstraction must exceed its own safety floor. If any condition fails, the system falls back to the Stage 1 output. This design explicitly separates generation from safety evaluation and avoids treating the SLM's own explanation as the sole privacy evaluator.</w:t>
      </w:r>
    </w:p>
    <w:p>
      <w:r>
        <w:t>The Review 0 scope is deliberately bounded: the project targets unstructured English text, direct PII, contextual and compound QIs, privacy-utility evaluation, and reproducible local inference. It does not claim formal differential privacy or a formal guarantee against re-identification.</w:t>
      </w:r>
    </w:p>
    <w:p>
      <w:pPr>
        <w:pStyle w:val="Heading1"/>
      </w:pPr>
      <w:r>
        <w:t>2. Project Title and Problem Statement</w:t>
      </w:r>
    </w:p>
    <w:p>
      <w:pPr>
        <w:pStyle w:val="Heading2"/>
      </w:pPr>
      <w:r>
        <w:t>2.1 Final Proposed Title</w:t>
      </w:r>
    </w:p>
    <w:p>
      <w:r>
        <w:t>A Two-Stage Framework for Context-Aware PII Masking and Quasi-Identifier Generalization in Unstructured Text</w:t>
      </w:r>
    </w:p>
    <w:p>
      <w:pPr>
        <w:pStyle w:val="Heading2"/>
      </w:pPr>
      <w:r>
        <w:t>2.2 Problem Statement</w:t>
      </w:r>
    </w:p>
    <w:p>
      <w:r>
        <w:t>Existing text anonymization systems are generally strong at detecting direct identifiers such as names, emails, telephone numbers, identification numbers, and other structured PII, but removing or masking those entities does not necessarily eliminate contextual information that can contribute to re-identification. Quasi-identifiers such as exact dates, rare professional roles, fine-grained locations, demographic combinations, unusual events, and their relational combinations can remain informative when considered together. At the same time, aggressive redaction can damage grammar, readability, semantic meaning, and downstream NLP utility.</w:t>
      </w:r>
    </w:p>
    <w:p>
      <w:r>
        <w:t>The project therefore investigates whether a staged anonymization framework can first remove direct PII using synthetic surrogates and then selectively generalize contextual QIs while using independent semantic, QI, and readability checks to prevent excessive information loss.</w:t>
      </w:r>
    </w:p>
    <w:p>
      <w:pPr>
        <w:pStyle w:val="Heading1"/>
      </w:pPr>
      <w:r>
        <w:t>3. Motivation and Significance</w:t>
      </w:r>
    </w:p>
    <w:p>
      <w:pPr>
        <w:pStyle w:val="ListBullet"/>
        <w:spacing w:after="60"/>
      </w:pPr>
      <w:r>
        <w:t>Unstructured documents contain privacy-sensitive information in forms that are not always captured by fixed PII categories.</w:t>
      </w:r>
    </w:p>
    <w:p>
      <w:pPr>
        <w:pStyle w:val="ListBullet"/>
        <w:spacing w:after="60"/>
      </w:pPr>
      <w:r>
        <w:t>Direct PII removal can leave behind combinations of demographic, temporal, geographic, occupational, and event attributes that increase disclosure risk.</w:t>
      </w:r>
    </w:p>
    <w:p>
      <w:pPr>
        <w:pStyle w:val="ListBullet"/>
        <w:spacing w:after="60"/>
      </w:pPr>
      <w:r>
        <w:t>Rigid placeholders such as [REDACTED] or type tags can disrupt natural language structure and reduce downstream utility.</w:t>
      </w:r>
    </w:p>
    <w:p>
      <w:pPr>
        <w:pStyle w:val="ListBullet"/>
        <w:spacing w:after="60"/>
      </w:pPr>
      <w:r>
        <w:t>Realistic synthetic surrogates can preserve grammatical structure and improve document readability compared with rigid masking.</w:t>
      </w:r>
    </w:p>
    <w:p>
      <w:pPr>
        <w:pStyle w:val="ListBullet"/>
        <w:spacing w:after="60"/>
      </w:pPr>
      <w:r>
        <w:t>LLM/SLM-based rewriting provides contextual reasoning, but unrestricted generation can introduce semantic drift, over-generalization, or residual privacy exposure.</w:t>
      </w:r>
    </w:p>
    <w:p>
      <w:pPr>
        <w:pStyle w:val="ListBullet"/>
        <w:spacing w:after="60"/>
      </w:pPr>
      <w:r>
        <w:t>A separate deterministic guardrail provides an auditable acceptance mechanism rather than relying only on the generator's self-reported modifications.</w:t>
      </w:r>
    </w:p>
    <w:p>
      <w:r>
        <w:t>The problem is relevant to healthcare notes, financial narratives, employee reviews, emails, legal documents, support tickets, and other unstructured text where the information that identifies a person may be distributed across several sentences rather than contained in one obvious PII span.</w:t>
      </w:r>
    </w:p>
    <w:p>
      <w:pPr>
        <w:pStyle w:val="Heading1"/>
      </w:pPr>
      <w:r>
        <w:t>4. Preliminary Literature Survey</w:t>
      </w:r>
    </w:p>
    <w:p>
      <w:r>
        <w:t>The Review 0 guideline requires at least 15–20 papers from the recent literature, with at least five from 2023 onward. The following survey contains 16 relevant works, including recent studies from 2023–2025 and foundational work that directly informs the proposed architecture.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792"/>
            <w:vAlign w:val="center"/>
            <w:shd w:fill="D9EAF7"/>
          </w:tcPr>
          <w:p>
            <w:r/>
            <w:r>
              <w:rPr>
                <w:rFonts w:ascii="Times New Roman" w:hAnsi="Times New Roman"/>
                <w:b/>
                <w:sz w:val="14"/>
              </w:rPr>
              <w:t>Year</w:t>
            </w:r>
          </w:p>
        </w:tc>
        <w:tc>
          <w:tcPr>
            <w:tcW w:type="dxa" w:w="1800"/>
            <w:vAlign w:val="center"/>
            <w:shd w:fill="D9EAF7"/>
          </w:tcPr>
          <w:p>
            <w:r/>
            <w:r>
              <w:rPr>
                <w:rFonts w:ascii="Times New Roman" w:hAnsi="Times New Roman"/>
                <w:b/>
                <w:sz w:val="14"/>
              </w:rPr>
              <w:t>Authors</w:t>
            </w:r>
          </w:p>
        </w:tc>
        <w:tc>
          <w:tcPr>
            <w:tcW w:type="dxa" w:w="2520"/>
            <w:vAlign w:val="center"/>
            <w:shd w:fill="D9EAF7"/>
          </w:tcPr>
          <w:p>
            <w:r/>
            <w:r>
              <w:rPr>
                <w:rFonts w:ascii="Times New Roman" w:hAnsi="Times New Roman"/>
                <w:b/>
                <w:sz w:val="14"/>
              </w:rPr>
              <w:t>Work</w:t>
            </w:r>
          </w:p>
        </w:tc>
        <w:tc>
          <w:tcPr>
            <w:tcW w:type="dxa" w:w="2376"/>
            <w:vAlign w:val="center"/>
            <w:shd w:fill="D9EAF7"/>
          </w:tcPr>
          <w:p>
            <w:r/>
            <w:r>
              <w:rPr>
                <w:rFonts w:ascii="Times New Roman" w:hAnsi="Times New Roman"/>
                <w:b/>
                <w:sz w:val="14"/>
              </w:rPr>
              <w:t>Approach</w:t>
            </w:r>
          </w:p>
        </w:tc>
        <w:tc>
          <w:tcPr>
            <w:tcW w:type="dxa" w:w="3096"/>
            <w:vAlign w:val="center"/>
            <w:shd w:fill="D9EAF7"/>
          </w:tcPr>
          <w:p>
            <w:r/>
            <w:r>
              <w:rPr>
                <w:rFonts w:ascii="Times New Roman" w:hAnsi="Times New Roman"/>
                <w:b/>
                <w:sz w:val="14"/>
              </w:rPr>
              <w:t>Relevance / Limitation</w:t>
            </w:r>
          </w:p>
        </w:tc>
        <w:tc>
          <w:tcPr>
            <w:tcW w:type="dxa" w:w="504"/>
            <w:vAlign w:val="center"/>
            <w:shd w:fill="D9EAF7"/>
          </w:tcPr>
          <w:p>
            <w:r/>
            <w:r>
              <w:rPr>
                <w:rFonts w:ascii="Times New Roman" w:hAnsi="Times New Roman"/>
                <w:b/>
                <w:sz w:val="14"/>
              </w:rPr>
              <w:t>Ref.</w:t>
            </w:r>
          </w:p>
        </w:tc>
      </w:tr>
      <w:tr>
        <w:tc>
          <w:tcPr>
            <w:tcW w:type="dxa" w:w="792"/>
            <w:vAlign w:val="center"/>
          </w:tcPr>
          <w:p>
            <w:r/>
            <w:r>
              <w:rPr>
                <w:rFonts w:ascii="Times New Roman" w:hAnsi="Times New Roman"/>
                <w:b w:val="0"/>
                <w:sz w:val="14"/>
              </w:rPr>
              <w:t>2025</w:t>
            </w:r>
          </w:p>
        </w:tc>
        <w:tc>
          <w:tcPr>
            <w:tcW w:type="dxa" w:w="1800"/>
            <w:vAlign w:val="center"/>
          </w:tcPr>
          <w:p>
            <w:r/>
            <w:r>
              <w:rPr>
                <w:rFonts w:ascii="Times New Roman" w:hAnsi="Times New Roman"/>
                <w:b w:val="0"/>
                <w:sz w:val="14"/>
              </w:rPr>
              <w:t>Yang, Zhu &amp; Gurevych</w:t>
            </w:r>
          </w:p>
        </w:tc>
        <w:tc>
          <w:tcPr>
            <w:tcW w:type="dxa" w:w="2520"/>
            <w:vAlign w:val="center"/>
          </w:tcPr>
          <w:p>
            <w:r/>
            <w:r>
              <w:rPr>
                <w:rFonts w:ascii="Times New Roman" w:hAnsi="Times New Roman"/>
                <w:b w:val="0"/>
                <w:sz w:val="14"/>
              </w:rPr>
              <w:t>Robust Utility-Preserving Text Anonymization Based on Large Language Models</w:t>
            </w:r>
          </w:p>
        </w:tc>
        <w:tc>
          <w:tcPr>
            <w:tcW w:type="dxa" w:w="2376"/>
            <w:vAlign w:val="center"/>
          </w:tcPr>
          <w:p>
            <w:r/>
            <w:r>
              <w:rPr>
                <w:rFonts w:ascii="Times New Roman" w:hAnsi="Times New Roman"/>
                <w:b w:val="0"/>
                <w:sz w:val="14"/>
              </w:rPr>
              <w:t>LLM privacy evaluator + utility evaluator + optimization; lightweight distillation</w:t>
            </w:r>
          </w:p>
        </w:tc>
        <w:tc>
          <w:tcPr>
            <w:tcW w:type="dxa" w:w="3096"/>
            <w:vAlign w:val="center"/>
          </w:tcPr>
          <w:p>
            <w:r/>
            <w:r>
              <w:rPr>
                <w:rFonts w:ascii="Times New Roman" w:hAnsi="Times New Roman"/>
                <w:b w:val="0"/>
                <w:sz w:val="14"/>
              </w:rPr>
              <w:t>Strong privacy-utility focus; more complex LLM-centered framework than proposed staged hybrid design</w:t>
            </w:r>
          </w:p>
        </w:tc>
        <w:tc>
          <w:tcPr>
            <w:tcW w:type="dxa" w:w="504"/>
            <w:vAlign w:val="center"/>
          </w:tcPr>
          <w:p>
            <w:r/>
            <w:r>
              <w:rPr>
                <w:rFonts w:ascii="Times New Roman" w:hAnsi="Times New Roman"/>
                <w:b w:val="0"/>
                <w:sz w:val="14"/>
              </w:rPr>
              <w:t>[1]</w:t>
            </w:r>
          </w:p>
        </w:tc>
      </w:tr>
      <w:tr>
        <w:tc>
          <w:tcPr>
            <w:tcW w:type="dxa" w:w="792"/>
            <w:vAlign w:val="center"/>
          </w:tcPr>
          <w:p>
            <w:r/>
            <w:r>
              <w:rPr>
                <w:rFonts w:ascii="Times New Roman" w:hAnsi="Times New Roman"/>
                <w:b w:val="0"/>
                <w:sz w:val="14"/>
              </w:rPr>
              <w:t>2025</w:t>
            </w:r>
          </w:p>
        </w:tc>
        <w:tc>
          <w:tcPr>
            <w:tcW w:type="dxa" w:w="1800"/>
            <w:vAlign w:val="center"/>
          </w:tcPr>
          <w:p>
            <w:r/>
            <w:r>
              <w:rPr>
                <w:rFonts w:ascii="Times New Roman" w:hAnsi="Times New Roman"/>
                <w:b w:val="0"/>
                <w:sz w:val="14"/>
              </w:rPr>
              <w:t>Morris et al.</w:t>
            </w:r>
          </w:p>
        </w:tc>
        <w:tc>
          <w:tcPr>
            <w:tcW w:type="dxa" w:w="2520"/>
            <w:vAlign w:val="center"/>
          </w:tcPr>
          <w:p>
            <w:r/>
            <w:r>
              <w:rPr>
                <w:rFonts w:ascii="Times New Roman" w:hAnsi="Times New Roman"/>
                <w:b w:val="0"/>
                <w:sz w:val="14"/>
              </w:rPr>
              <w:t>DIRI: Adversarial Patient Reidentification with Large Language Models for Evaluating Clinical Text Anonymization</w:t>
            </w:r>
          </w:p>
        </w:tc>
        <w:tc>
          <w:tcPr>
            <w:tcW w:type="dxa" w:w="2376"/>
            <w:vAlign w:val="center"/>
          </w:tcPr>
          <w:p>
            <w:r/>
            <w:r>
              <w:rPr>
                <w:rFonts w:ascii="Times New Roman" w:hAnsi="Times New Roman"/>
                <w:b w:val="0"/>
                <w:sz w:val="14"/>
              </w:rPr>
              <w:t>LLM-based re-identification evaluation</w:t>
            </w:r>
          </w:p>
        </w:tc>
        <w:tc>
          <w:tcPr>
            <w:tcW w:type="dxa" w:w="3096"/>
            <w:vAlign w:val="center"/>
          </w:tcPr>
          <w:p>
            <w:r/>
            <w:r>
              <w:rPr>
                <w:rFonts w:ascii="Times New Roman" w:hAnsi="Times New Roman"/>
                <w:b w:val="0"/>
                <w:sz w:val="14"/>
              </w:rPr>
              <w:t>Shows that removing annotated PHI alone may not fully characterize re-identification risk</w:t>
            </w:r>
          </w:p>
        </w:tc>
        <w:tc>
          <w:tcPr>
            <w:tcW w:type="dxa" w:w="504"/>
            <w:vAlign w:val="center"/>
          </w:tcPr>
          <w:p>
            <w:r/>
            <w:r>
              <w:rPr>
                <w:rFonts w:ascii="Times New Roman" w:hAnsi="Times New Roman"/>
                <w:b w:val="0"/>
                <w:sz w:val="14"/>
              </w:rPr>
              <w:t>[2]</w:t>
            </w:r>
          </w:p>
        </w:tc>
      </w:tr>
      <w:tr>
        <w:tc>
          <w:tcPr>
            <w:tcW w:type="dxa" w:w="792"/>
            <w:vAlign w:val="center"/>
          </w:tcPr>
          <w:p>
            <w:r/>
            <w:r>
              <w:rPr>
                <w:rFonts w:ascii="Times New Roman" w:hAnsi="Times New Roman"/>
                <w:b w:val="0"/>
                <w:sz w:val="14"/>
              </w:rPr>
              <w:t>2024/26</w:t>
            </w:r>
          </w:p>
        </w:tc>
        <w:tc>
          <w:tcPr>
            <w:tcW w:type="dxa" w:w="1800"/>
            <w:vAlign w:val="center"/>
          </w:tcPr>
          <w:p>
            <w:r/>
            <w:r>
              <w:rPr>
                <w:rFonts w:ascii="Times New Roman" w:hAnsi="Times New Roman"/>
                <w:b w:val="0"/>
                <w:sz w:val="14"/>
              </w:rPr>
              <w:t>Manzanares-Salor &amp; Sánchez</w:t>
            </w:r>
          </w:p>
        </w:tc>
        <w:tc>
          <w:tcPr>
            <w:tcW w:type="dxa" w:w="2520"/>
            <w:vAlign w:val="center"/>
          </w:tcPr>
          <w:p>
            <w:r/>
            <w:r>
              <w:rPr>
                <w:rFonts w:ascii="Times New Roman" w:hAnsi="Times New Roman"/>
                <w:b w:val="0"/>
                <w:sz w:val="14"/>
              </w:rPr>
              <w:t>A comparative analysis, enhancement and evaluation of text anonymization with pre-trained Large Language Models</w:t>
            </w:r>
          </w:p>
        </w:tc>
        <w:tc>
          <w:tcPr>
            <w:tcW w:type="dxa" w:w="2376"/>
            <w:vAlign w:val="center"/>
          </w:tcPr>
          <w:p>
            <w:r/>
            <w:r>
              <w:rPr>
                <w:rFonts w:ascii="Times New Roman" w:hAnsi="Times New Roman"/>
                <w:b w:val="0"/>
                <w:sz w:val="14"/>
              </w:rPr>
              <w:t>Automatic privacy/utility evaluation and LLM anonymization comparison</w:t>
            </w:r>
          </w:p>
        </w:tc>
        <w:tc>
          <w:tcPr>
            <w:tcW w:type="dxa" w:w="3096"/>
            <w:vAlign w:val="center"/>
          </w:tcPr>
          <w:p>
            <w:r/>
            <w:r>
              <w:rPr>
                <w:rFonts w:ascii="Times New Roman" w:hAnsi="Times New Roman"/>
                <w:b w:val="0"/>
                <w:sz w:val="14"/>
              </w:rPr>
              <w:t>Supports comprehensive evaluation; proposed project focuses on an explicit QI abstraction gate</w:t>
            </w:r>
          </w:p>
        </w:tc>
        <w:tc>
          <w:tcPr>
            <w:tcW w:type="dxa" w:w="504"/>
            <w:vAlign w:val="center"/>
          </w:tcPr>
          <w:p>
            <w:r/>
            <w:r>
              <w:rPr>
                <w:rFonts w:ascii="Times New Roman" w:hAnsi="Times New Roman"/>
                <w:b w:val="0"/>
                <w:sz w:val="14"/>
              </w:rPr>
              <w:t>[3]</w:t>
            </w:r>
          </w:p>
        </w:tc>
      </w:tr>
      <w:tr>
        <w:tc>
          <w:tcPr>
            <w:tcW w:type="dxa" w:w="792"/>
            <w:vAlign w:val="center"/>
          </w:tcPr>
          <w:p>
            <w:r/>
            <w:r>
              <w:rPr>
                <w:rFonts w:ascii="Times New Roman" w:hAnsi="Times New Roman"/>
                <w:b w:val="0"/>
                <w:sz w:val="14"/>
              </w:rPr>
              <w:t>2024</w:t>
            </w:r>
          </w:p>
        </w:tc>
        <w:tc>
          <w:tcPr>
            <w:tcW w:type="dxa" w:w="1800"/>
            <w:vAlign w:val="center"/>
          </w:tcPr>
          <w:p>
            <w:r/>
            <w:r>
              <w:rPr>
                <w:rFonts w:ascii="Times New Roman" w:hAnsi="Times New Roman"/>
                <w:b w:val="0"/>
                <w:sz w:val="14"/>
              </w:rPr>
              <w:t>Manzanares-Salor, Sánchez &amp; Lison</w:t>
            </w:r>
          </w:p>
        </w:tc>
        <w:tc>
          <w:tcPr>
            <w:tcW w:type="dxa" w:w="2520"/>
            <w:vAlign w:val="center"/>
          </w:tcPr>
          <w:p>
            <w:r/>
            <w:r>
              <w:rPr>
                <w:rFonts w:ascii="Times New Roman" w:hAnsi="Times New Roman"/>
                <w:b w:val="0"/>
                <w:sz w:val="14"/>
              </w:rPr>
              <w:t>Evaluating the disclosure risk of anonymized documents via a machine learning-based re-identification attack</w:t>
            </w:r>
          </w:p>
        </w:tc>
        <w:tc>
          <w:tcPr>
            <w:tcW w:type="dxa" w:w="2376"/>
            <w:vAlign w:val="center"/>
          </w:tcPr>
          <w:p>
            <w:r/>
            <w:r>
              <w:rPr>
                <w:rFonts w:ascii="Times New Roman" w:hAnsi="Times New Roman"/>
                <w:b w:val="0"/>
                <w:sz w:val="14"/>
              </w:rPr>
              <w:t>ML-based re-identification attack</w:t>
            </w:r>
          </w:p>
        </w:tc>
        <w:tc>
          <w:tcPr>
            <w:tcW w:type="dxa" w:w="3096"/>
            <w:vAlign w:val="center"/>
          </w:tcPr>
          <w:p>
            <w:r/>
            <w:r>
              <w:rPr>
                <w:rFonts w:ascii="Times New Roman" w:hAnsi="Times New Roman"/>
                <w:b w:val="0"/>
                <w:sz w:val="14"/>
              </w:rPr>
              <w:t>Argues recall is not itself a disclosure-risk metric; motivates careful privacy evaluation</w:t>
            </w:r>
          </w:p>
        </w:tc>
        <w:tc>
          <w:tcPr>
            <w:tcW w:type="dxa" w:w="504"/>
            <w:vAlign w:val="center"/>
          </w:tcPr>
          <w:p>
            <w:r/>
            <w:r>
              <w:rPr>
                <w:rFonts w:ascii="Times New Roman" w:hAnsi="Times New Roman"/>
                <w:b w:val="0"/>
                <w:sz w:val="14"/>
              </w:rPr>
              <w:t>[4]</w:t>
            </w:r>
          </w:p>
        </w:tc>
      </w:tr>
      <w:tr>
        <w:tc>
          <w:tcPr>
            <w:tcW w:type="dxa" w:w="792"/>
            <w:vAlign w:val="center"/>
          </w:tcPr>
          <w:p>
            <w:r/>
            <w:r>
              <w:rPr>
                <w:rFonts w:ascii="Times New Roman" w:hAnsi="Times New Roman"/>
                <w:b w:val="0"/>
                <w:sz w:val="14"/>
              </w:rPr>
              <w:t>2024</w:t>
            </w:r>
          </w:p>
        </w:tc>
        <w:tc>
          <w:tcPr>
            <w:tcW w:type="dxa" w:w="1800"/>
            <w:vAlign w:val="center"/>
          </w:tcPr>
          <w:p>
            <w:r/>
            <w:r>
              <w:rPr>
                <w:rFonts w:ascii="Times New Roman" w:hAnsi="Times New Roman"/>
                <w:b w:val="0"/>
                <w:sz w:val="14"/>
              </w:rPr>
              <w:t>Pissarra et al.</w:t>
            </w:r>
          </w:p>
        </w:tc>
        <w:tc>
          <w:tcPr>
            <w:tcW w:type="dxa" w:w="2520"/>
            <w:vAlign w:val="center"/>
          </w:tcPr>
          <w:p>
            <w:r/>
            <w:r>
              <w:rPr>
                <w:rFonts w:ascii="Times New Roman" w:hAnsi="Times New Roman"/>
                <w:b w:val="0"/>
                <w:sz w:val="14"/>
              </w:rPr>
              <w:t>Unlocking the Potential of Large Language Models for Clinical Text Anonymization: A Comparative Study</w:t>
            </w:r>
          </w:p>
        </w:tc>
        <w:tc>
          <w:tcPr>
            <w:tcW w:type="dxa" w:w="2376"/>
            <w:vAlign w:val="center"/>
          </w:tcPr>
          <w:p>
            <w:r/>
            <w:r>
              <w:rPr>
                <w:rFonts w:ascii="Times New Roman" w:hAnsi="Times New Roman"/>
                <w:b w:val="0"/>
                <w:sz w:val="14"/>
              </w:rPr>
              <w:t>LLM anonymization with new evaluation metrics; baseline comparison</w:t>
            </w:r>
          </w:p>
        </w:tc>
        <w:tc>
          <w:tcPr>
            <w:tcW w:type="dxa" w:w="3096"/>
            <w:vAlign w:val="center"/>
          </w:tcPr>
          <w:p>
            <w:r/>
            <w:r>
              <w:rPr>
                <w:rFonts w:ascii="Times New Roman" w:hAnsi="Times New Roman"/>
                <w:b w:val="0"/>
                <w:sz w:val="14"/>
              </w:rPr>
              <w:t>Demonstrates promise of LLMs and need for evaluation beyond simple masking</w:t>
            </w:r>
          </w:p>
        </w:tc>
        <w:tc>
          <w:tcPr>
            <w:tcW w:type="dxa" w:w="504"/>
            <w:vAlign w:val="center"/>
          </w:tcPr>
          <w:p>
            <w:r/>
            <w:r>
              <w:rPr>
                <w:rFonts w:ascii="Times New Roman" w:hAnsi="Times New Roman"/>
                <w:b w:val="0"/>
                <w:sz w:val="14"/>
              </w:rPr>
              <w:t>[5]</w:t>
            </w:r>
          </w:p>
        </w:tc>
      </w:tr>
      <w:tr>
        <w:tc>
          <w:tcPr>
            <w:tcW w:type="dxa" w:w="792"/>
            <w:vAlign w:val="center"/>
          </w:tcPr>
          <w:p>
            <w:r/>
            <w:r>
              <w:rPr>
                <w:rFonts w:ascii="Times New Roman" w:hAnsi="Times New Roman"/>
                <w:b w:val="0"/>
                <w:sz w:val="14"/>
              </w:rPr>
              <w:t>2024</w:t>
            </w:r>
          </w:p>
        </w:tc>
        <w:tc>
          <w:tcPr>
            <w:tcW w:type="dxa" w:w="1800"/>
            <w:vAlign w:val="center"/>
          </w:tcPr>
          <w:p>
            <w:r/>
            <w:r>
              <w:rPr>
                <w:rFonts w:ascii="Times New Roman" w:hAnsi="Times New Roman"/>
                <w:b w:val="0"/>
                <w:sz w:val="14"/>
              </w:rPr>
              <w:t>Kovačević et al.</w:t>
            </w:r>
          </w:p>
        </w:tc>
        <w:tc>
          <w:tcPr>
            <w:tcW w:type="dxa" w:w="2520"/>
            <w:vAlign w:val="center"/>
          </w:tcPr>
          <w:p>
            <w:r/>
            <w:r>
              <w:rPr>
                <w:rFonts w:ascii="Times New Roman" w:hAnsi="Times New Roman"/>
                <w:b w:val="0"/>
                <w:sz w:val="14"/>
              </w:rPr>
              <w:t>De-identification of clinical free text using natural language processing: A systematic review of current approaches</w:t>
            </w:r>
          </w:p>
        </w:tc>
        <w:tc>
          <w:tcPr>
            <w:tcW w:type="dxa" w:w="2376"/>
            <w:vAlign w:val="center"/>
          </w:tcPr>
          <w:p>
            <w:r/>
            <w:r>
              <w:rPr>
                <w:rFonts w:ascii="Times New Roman" w:hAnsi="Times New Roman"/>
                <w:b w:val="0"/>
                <w:sz w:val="14"/>
              </w:rPr>
              <w:t>Systematic review of clinical free-text de-identification</w:t>
            </w:r>
          </w:p>
        </w:tc>
        <w:tc>
          <w:tcPr>
            <w:tcW w:type="dxa" w:w="3096"/>
            <w:vAlign w:val="center"/>
          </w:tcPr>
          <w:p>
            <w:r/>
            <w:r>
              <w:rPr>
                <w:rFonts w:ascii="Times New Roman" w:hAnsi="Times New Roman"/>
                <w:b w:val="0"/>
                <w:sz w:val="14"/>
              </w:rPr>
              <w:t>Finds hybrid/ML methods dominate and notes generalization and evaluation challenges</w:t>
            </w:r>
          </w:p>
        </w:tc>
        <w:tc>
          <w:tcPr>
            <w:tcW w:type="dxa" w:w="504"/>
            <w:vAlign w:val="center"/>
          </w:tcPr>
          <w:p>
            <w:r/>
            <w:r>
              <w:rPr>
                <w:rFonts w:ascii="Times New Roman" w:hAnsi="Times New Roman"/>
                <w:b w:val="0"/>
                <w:sz w:val="14"/>
              </w:rPr>
              <w:t>[6]</w:t>
            </w:r>
          </w:p>
        </w:tc>
      </w:tr>
      <w:tr>
        <w:tc>
          <w:tcPr>
            <w:tcW w:type="dxa" w:w="792"/>
            <w:vAlign w:val="center"/>
          </w:tcPr>
          <w:p>
            <w:r/>
            <w:r>
              <w:rPr>
                <w:rFonts w:ascii="Times New Roman" w:hAnsi="Times New Roman"/>
                <w:b w:val="0"/>
                <w:sz w:val="14"/>
              </w:rPr>
              <w:t>2024</w:t>
            </w:r>
          </w:p>
        </w:tc>
        <w:tc>
          <w:tcPr>
            <w:tcW w:type="dxa" w:w="1800"/>
            <w:vAlign w:val="center"/>
          </w:tcPr>
          <w:p>
            <w:r/>
            <w:r>
              <w:rPr>
                <w:rFonts w:ascii="Times New Roman" w:hAnsi="Times New Roman"/>
                <w:b w:val="0"/>
                <w:sz w:val="14"/>
              </w:rPr>
              <w:t>Sarkar et al.</w:t>
            </w:r>
          </w:p>
        </w:tc>
        <w:tc>
          <w:tcPr>
            <w:tcW w:type="dxa" w:w="2520"/>
            <w:vAlign w:val="center"/>
          </w:tcPr>
          <w:p>
            <w:r/>
            <w:r>
              <w:rPr>
                <w:rFonts w:ascii="Times New Roman" w:hAnsi="Times New Roman"/>
                <w:b w:val="0"/>
                <w:sz w:val="14"/>
              </w:rPr>
              <w:t>De-identification is not enough: a comparison between de-identified and synthetic clinical notes</w:t>
            </w:r>
          </w:p>
        </w:tc>
        <w:tc>
          <w:tcPr>
            <w:tcW w:type="dxa" w:w="2376"/>
            <w:vAlign w:val="center"/>
          </w:tcPr>
          <w:p>
            <w:r/>
            <w:r>
              <w:rPr>
                <w:rFonts w:ascii="Times New Roman" w:hAnsi="Times New Roman"/>
                <w:b w:val="0"/>
                <w:sz w:val="14"/>
              </w:rPr>
              <w:t>Privacy and utility comparison of de-identified/synthetic notes</w:t>
            </w:r>
          </w:p>
        </w:tc>
        <w:tc>
          <w:tcPr>
            <w:tcW w:type="dxa" w:w="3096"/>
            <w:vAlign w:val="center"/>
          </w:tcPr>
          <w:p>
            <w:r/>
            <w:r>
              <w:rPr>
                <w:rFonts w:ascii="Times New Roman" w:hAnsi="Times New Roman"/>
                <w:b w:val="0"/>
                <w:sz w:val="14"/>
              </w:rPr>
              <w:t>Highlights that de-identification may still leave disclosure risk and utility trade-offs</w:t>
            </w:r>
          </w:p>
        </w:tc>
        <w:tc>
          <w:tcPr>
            <w:tcW w:type="dxa" w:w="504"/>
            <w:vAlign w:val="center"/>
          </w:tcPr>
          <w:p>
            <w:r/>
            <w:r>
              <w:rPr>
                <w:rFonts w:ascii="Times New Roman" w:hAnsi="Times New Roman"/>
                <w:b w:val="0"/>
                <w:sz w:val="14"/>
              </w:rPr>
              <w:t>[7]</w:t>
            </w:r>
          </w:p>
        </w:tc>
      </w:tr>
      <w:tr>
        <w:tc>
          <w:tcPr>
            <w:tcW w:type="dxa" w:w="792"/>
            <w:vAlign w:val="center"/>
          </w:tcPr>
          <w:p>
            <w:r/>
            <w:r>
              <w:rPr>
                <w:rFonts w:ascii="Times New Roman" w:hAnsi="Times New Roman"/>
                <w:b w:val="0"/>
                <w:sz w:val="14"/>
              </w:rPr>
              <w:t>2024</w:t>
            </w:r>
          </w:p>
        </w:tc>
        <w:tc>
          <w:tcPr>
            <w:tcW w:type="dxa" w:w="1800"/>
            <w:vAlign w:val="center"/>
          </w:tcPr>
          <w:p>
            <w:r/>
            <w:r>
              <w:rPr>
                <w:rFonts w:ascii="Times New Roman" w:hAnsi="Times New Roman"/>
                <w:b w:val="0"/>
                <w:sz w:val="14"/>
              </w:rPr>
              <w:t>Meisenbacher &amp; Matthes</w:t>
            </w:r>
          </w:p>
        </w:tc>
        <w:tc>
          <w:tcPr>
            <w:tcW w:type="dxa" w:w="2520"/>
            <w:vAlign w:val="center"/>
          </w:tcPr>
          <w:p>
            <w:r/>
            <w:r>
              <w:rPr>
                <w:rFonts w:ascii="Times New Roman" w:hAnsi="Times New Roman"/>
                <w:b w:val="0"/>
                <w:sz w:val="14"/>
              </w:rPr>
              <w:t>Thinking Outside of the Differential Privacy Box: A Case Study in Text Privatization with Language Model Prompting</w:t>
            </w:r>
          </w:p>
        </w:tc>
        <w:tc>
          <w:tcPr>
            <w:tcW w:type="dxa" w:w="2376"/>
            <w:vAlign w:val="center"/>
          </w:tcPr>
          <w:p>
            <w:r/>
            <w:r>
              <w:rPr>
                <w:rFonts w:ascii="Times New Roman" w:hAnsi="Times New Roman"/>
                <w:b w:val="0"/>
                <w:sz w:val="14"/>
              </w:rPr>
              <w:t>LM prompting for text privatization; privacy/utility experiments</w:t>
            </w:r>
          </w:p>
        </w:tc>
        <w:tc>
          <w:tcPr>
            <w:tcW w:type="dxa" w:w="3096"/>
            <w:vAlign w:val="center"/>
          </w:tcPr>
          <w:p>
            <w:r/>
            <w:r>
              <w:rPr>
                <w:rFonts w:ascii="Times New Roman" w:hAnsi="Times New Roman"/>
                <w:b w:val="0"/>
                <w:sz w:val="14"/>
              </w:rPr>
              <w:t>Shows utility/readability trade-offs under privacy-oriented rewriting</w:t>
            </w:r>
          </w:p>
        </w:tc>
        <w:tc>
          <w:tcPr>
            <w:tcW w:type="dxa" w:w="504"/>
            <w:vAlign w:val="center"/>
          </w:tcPr>
          <w:p>
            <w:r/>
            <w:r>
              <w:rPr>
                <w:rFonts w:ascii="Times New Roman" w:hAnsi="Times New Roman"/>
                <w:b w:val="0"/>
                <w:sz w:val="14"/>
              </w:rPr>
              <w:t>[8]</w:t>
            </w:r>
          </w:p>
        </w:tc>
      </w:tr>
      <w:tr>
        <w:tc>
          <w:tcPr>
            <w:tcW w:type="dxa" w:w="792"/>
            <w:vAlign w:val="center"/>
          </w:tcPr>
          <w:p>
            <w:r/>
            <w:r>
              <w:rPr>
                <w:rFonts w:ascii="Times New Roman" w:hAnsi="Times New Roman"/>
                <w:b w:val="0"/>
                <w:sz w:val="14"/>
              </w:rPr>
              <w:t>2024</w:t>
            </w:r>
          </w:p>
        </w:tc>
        <w:tc>
          <w:tcPr>
            <w:tcW w:type="dxa" w:w="1800"/>
            <w:vAlign w:val="center"/>
          </w:tcPr>
          <w:p>
            <w:r/>
            <w:r>
              <w:rPr>
                <w:rFonts w:ascii="Times New Roman" w:hAnsi="Times New Roman"/>
                <w:b w:val="0"/>
                <w:sz w:val="14"/>
              </w:rPr>
              <w:t>Nyffenegger, Stürmer &amp; Niklaus</w:t>
            </w:r>
          </w:p>
        </w:tc>
        <w:tc>
          <w:tcPr>
            <w:tcW w:type="dxa" w:w="2520"/>
            <w:vAlign w:val="center"/>
          </w:tcPr>
          <w:p>
            <w:r/>
            <w:r>
              <w:rPr>
                <w:rFonts w:ascii="Times New Roman" w:hAnsi="Times New Roman"/>
                <w:b w:val="0"/>
                <w:sz w:val="14"/>
              </w:rPr>
              <w:t>Anonymity at Risk? Assessing Re-Identification Capabilities of Large Language Models in Court Decisions</w:t>
            </w:r>
          </w:p>
        </w:tc>
        <w:tc>
          <w:tcPr>
            <w:tcW w:type="dxa" w:w="2376"/>
            <w:vAlign w:val="center"/>
          </w:tcPr>
          <w:p>
            <w:r/>
            <w:r>
              <w:rPr>
                <w:rFonts w:ascii="Times New Roman" w:hAnsi="Times New Roman"/>
                <w:b w:val="0"/>
                <w:sz w:val="14"/>
              </w:rPr>
              <w:t>LLM re-identification experiments</w:t>
            </w:r>
          </w:p>
        </w:tc>
        <w:tc>
          <w:tcPr>
            <w:tcW w:type="dxa" w:w="3096"/>
            <w:vAlign w:val="center"/>
          </w:tcPr>
          <w:p>
            <w:r/>
            <w:r>
              <w:rPr>
                <w:rFonts w:ascii="Times New Roman" w:hAnsi="Times New Roman"/>
                <w:b w:val="0"/>
                <w:sz w:val="14"/>
              </w:rPr>
              <w:t>Shows input length/model capability can influence re-identification risk</w:t>
            </w:r>
          </w:p>
        </w:tc>
        <w:tc>
          <w:tcPr>
            <w:tcW w:type="dxa" w:w="504"/>
            <w:vAlign w:val="center"/>
          </w:tcPr>
          <w:p>
            <w:r/>
            <w:r>
              <w:rPr>
                <w:rFonts w:ascii="Times New Roman" w:hAnsi="Times New Roman"/>
                <w:b w:val="0"/>
                <w:sz w:val="14"/>
              </w:rPr>
              <w:t>[9]</w:t>
            </w:r>
          </w:p>
        </w:tc>
      </w:tr>
      <w:tr>
        <w:tc>
          <w:tcPr>
            <w:tcW w:type="dxa" w:w="792"/>
            <w:vAlign w:val="center"/>
          </w:tcPr>
          <w:p>
            <w:r/>
            <w:r>
              <w:rPr>
                <w:rFonts w:ascii="Times New Roman" w:hAnsi="Times New Roman"/>
                <w:b w:val="0"/>
                <w:sz w:val="14"/>
              </w:rPr>
              <w:t>2024</w:t>
            </w:r>
          </w:p>
        </w:tc>
        <w:tc>
          <w:tcPr>
            <w:tcW w:type="dxa" w:w="1800"/>
            <w:vAlign w:val="center"/>
          </w:tcPr>
          <w:p>
            <w:r/>
            <w:r>
              <w:rPr>
                <w:rFonts w:ascii="Times New Roman" w:hAnsi="Times New Roman"/>
                <w:b w:val="0"/>
                <w:sz w:val="14"/>
              </w:rPr>
              <w:t>Im et al.</w:t>
            </w:r>
          </w:p>
        </w:tc>
        <w:tc>
          <w:tcPr>
            <w:tcW w:type="dxa" w:w="2520"/>
            <w:vAlign w:val="center"/>
          </w:tcPr>
          <w:p>
            <w:r/>
            <w:r>
              <w:rPr>
                <w:rFonts w:ascii="Times New Roman" w:hAnsi="Times New Roman"/>
                <w:b w:val="0"/>
                <w:sz w:val="14"/>
              </w:rPr>
              <w:t>Exploring the tradeoff between data privacy and utility with a clinical data analysis use case</w:t>
            </w:r>
          </w:p>
        </w:tc>
        <w:tc>
          <w:tcPr>
            <w:tcW w:type="dxa" w:w="2376"/>
            <w:vAlign w:val="center"/>
          </w:tcPr>
          <w:p>
            <w:r/>
            <w:r>
              <w:rPr>
                <w:rFonts w:ascii="Times New Roman" w:hAnsi="Times New Roman"/>
                <w:b w:val="0"/>
                <w:sz w:val="14"/>
              </w:rPr>
              <w:t>Multiple de-identification configurations; downstream analysis</w:t>
            </w:r>
          </w:p>
        </w:tc>
        <w:tc>
          <w:tcPr>
            <w:tcW w:type="dxa" w:w="3096"/>
            <w:vAlign w:val="center"/>
          </w:tcPr>
          <w:p>
            <w:r/>
            <w:r>
              <w:rPr>
                <w:rFonts w:ascii="Times New Roman" w:hAnsi="Times New Roman"/>
                <w:b w:val="0"/>
                <w:sz w:val="14"/>
              </w:rPr>
              <w:t>Demonstrates that stronger de-identification can reduce analytical utility</w:t>
            </w:r>
          </w:p>
        </w:tc>
        <w:tc>
          <w:tcPr>
            <w:tcW w:type="dxa" w:w="504"/>
            <w:vAlign w:val="center"/>
          </w:tcPr>
          <w:p>
            <w:r/>
            <w:r>
              <w:rPr>
                <w:rFonts w:ascii="Times New Roman" w:hAnsi="Times New Roman"/>
                <w:b w:val="0"/>
                <w:sz w:val="14"/>
              </w:rPr>
              <w:t>[10]</w:t>
            </w:r>
          </w:p>
        </w:tc>
      </w:tr>
      <w:tr>
        <w:tc>
          <w:tcPr>
            <w:tcW w:type="dxa" w:w="792"/>
            <w:vAlign w:val="center"/>
          </w:tcPr>
          <w:p>
            <w:r/>
            <w:r>
              <w:rPr>
                <w:rFonts w:ascii="Times New Roman" w:hAnsi="Times New Roman"/>
                <w:b w:val="0"/>
                <w:sz w:val="14"/>
              </w:rPr>
              <w:t>2023</w:t>
            </w:r>
          </w:p>
        </w:tc>
        <w:tc>
          <w:tcPr>
            <w:tcW w:type="dxa" w:w="1800"/>
            <w:vAlign w:val="center"/>
          </w:tcPr>
          <w:p>
            <w:r/>
            <w:r>
              <w:rPr>
                <w:rFonts w:ascii="Times New Roman" w:hAnsi="Times New Roman"/>
                <w:b w:val="0"/>
                <w:sz w:val="14"/>
              </w:rPr>
              <w:t>Yermilov, Raheja &amp; Chernodub</w:t>
            </w:r>
          </w:p>
        </w:tc>
        <w:tc>
          <w:tcPr>
            <w:tcW w:type="dxa" w:w="2520"/>
            <w:vAlign w:val="center"/>
          </w:tcPr>
          <w:p>
            <w:r/>
            <w:r>
              <w:rPr>
                <w:rFonts w:ascii="Times New Roman" w:hAnsi="Times New Roman"/>
                <w:b w:val="0"/>
                <w:sz w:val="14"/>
              </w:rPr>
              <w:t>Privacy- and Utility-Preserving NLP with Anonymized data: A case study of Pseudonymization</w:t>
            </w:r>
          </w:p>
        </w:tc>
        <w:tc>
          <w:tcPr>
            <w:tcW w:type="dxa" w:w="2376"/>
            <w:vAlign w:val="center"/>
          </w:tcPr>
          <w:p>
            <w:r/>
            <w:r>
              <w:rPr>
                <w:rFonts w:ascii="Times New Roman" w:hAnsi="Times New Roman"/>
                <w:b w:val="0"/>
                <w:sz w:val="14"/>
              </w:rPr>
              <w:t>Rule-based, NER and LLM pseudonymization; downstream tasks</w:t>
            </w:r>
          </w:p>
        </w:tc>
        <w:tc>
          <w:tcPr>
            <w:tcW w:type="dxa" w:w="3096"/>
            <w:vAlign w:val="center"/>
          </w:tcPr>
          <w:p>
            <w:r/>
            <w:r>
              <w:rPr>
                <w:rFonts w:ascii="Times New Roman" w:hAnsi="Times New Roman"/>
                <w:b w:val="0"/>
                <w:sz w:val="14"/>
              </w:rPr>
              <w:t>Directly supports realistic substitution and privacy-utility evaluation</w:t>
            </w:r>
          </w:p>
        </w:tc>
        <w:tc>
          <w:tcPr>
            <w:tcW w:type="dxa" w:w="504"/>
            <w:vAlign w:val="center"/>
          </w:tcPr>
          <w:p>
            <w:r/>
            <w:r>
              <w:rPr>
                <w:rFonts w:ascii="Times New Roman" w:hAnsi="Times New Roman"/>
                <w:b w:val="0"/>
                <w:sz w:val="14"/>
              </w:rPr>
              <w:t>[11]</w:t>
            </w:r>
          </w:p>
        </w:tc>
      </w:tr>
      <w:tr>
        <w:tc>
          <w:tcPr>
            <w:tcW w:type="dxa" w:w="792"/>
            <w:vAlign w:val="center"/>
          </w:tcPr>
          <w:p>
            <w:r/>
            <w:r>
              <w:rPr>
                <w:rFonts w:ascii="Times New Roman" w:hAnsi="Times New Roman"/>
                <w:b w:val="0"/>
                <w:sz w:val="14"/>
              </w:rPr>
              <w:t>2023</w:t>
            </w:r>
          </w:p>
        </w:tc>
        <w:tc>
          <w:tcPr>
            <w:tcW w:type="dxa" w:w="1800"/>
            <w:vAlign w:val="center"/>
          </w:tcPr>
          <w:p>
            <w:r/>
            <w:r>
              <w:rPr>
                <w:rFonts w:ascii="Times New Roman" w:hAnsi="Times New Roman"/>
                <w:b w:val="0"/>
                <w:sz w:val="14"/>
              </w:rPr>
              <w:t>Ben Cheikh Larbi, Burchardt &amp; Roller</w:t>
            </w:r>
          </w:p>
        </w:tc>
        <w:tc>
          <w:tcPr>
            <w:tcW w:type="dxa" w:w="2520"/>
            <w:vAlign w:val="center"/>
          </w:tcPr>
          <w:p>
            <w:r/>
            <w:r>
              <w:rPr>
                <w:rFonts w:ascii="Times New Roman" w:hAnsi="Times New Roman"/>
                <w:b w:val="0"/>
                <w:sz w:val="14"/>
              </w:rPr>
              <w:t>Clinical Text Anonymization, its Influence on Downstream NLP Tasks and the Risk of Re-Identification</w:t>
            </w:r>
          </w:p>
        </w:tc>
        <w:tc>
          <w:tcPr>
            <w:tcW w:type="dxa" w:w="2376"/>
            <w:vAlign w:val="center"/>
          </w:tcPr>
          <w:p>
            <w:r/>
            <w:r>
              <w:rPr>
                <w:rFonts w:ascii="Times New Roman" w:hAnsi="Times New Roman"/>
                <w:b w:val="0"/>
                <w:sz w:val="14"/>
              </w:rPr>
              <w:t>Anonymization impact on five NLP tasks + re-identification attack</w:t>
            </w:r>
          </w:p>
        </w:tc>
        <w:tc>
          <w:tcPr>
            <w:tcW w:type="dxa" w:w="3096"/>
            <w:vAlign w:val="center"/>
          </w:tcPr>
          <w:p>
            <w:r/>
            <w:r>
              <w:rPr>
                <w:rFonts w:ascii="Times New Roman" w:hAnsi="Times New Roman"/>
                <w:b w:val="0"/>
                <w:sz w:val="14"/>
              </w:rPr>
              <w:t>Shows anonymization can affect downstream performance and can remain vulnerable</w:t>
            </w:r>
          </w:p>
        </w:tc>
        <w:tc>
          <w:tcPr>
            <w:tcW w:type="dxa" w:w="504"/>
            <w:vAlign w:val="center"/>
          </w:tcPr>
          <w:p>
            <w:r/>
            <w:r>
              <w:rPr>
                <w:rFonts w:ascii="Times New Roman" w:hAnsi="Times New Roman"/>
                <w:b w:val="0"/>
                <w:sz w:val="14"/>
              </w:rPr>
              <w:t>[12]</w:t>
            </w:r>
          </w:p>
        </w:tc>
      </w:tr>
      <w:tr>
        <w:tc>
          <w:tcPr>
            <w:tcW w:type="dxa" w:w="792"/>
            <w:vAlign w:val="center"/>
          </w:tcPr>
          <w:p>
            <w:r/>
            <w:r>
              <w:rPr>
                <w:rFonts w:ascii="Times New Roman" w:hAnsi="Times New Roman"/>
                <w:b w:val="0"/>
                <w:sz w:val="14"/>
              </w:rPr>
              <w:t>2023</w:t>
            </w:r>
          </w:p>
        </w:tc>
        <w:tc>
          <w:tcPr>
            <w:tcW w:type="dxa" w:w="1800"/>
            <w:vAlign w:val="center"/>
          </w:tcPr>
          <w:p>
            <w:r/>
            <w:r>
              <w:rPr>
                <w:rFonts w:ascii="Times New Roman" w:hAnsi="Times New Roman"/>
                <w:b w:val="0"/>
                <w:sz w:val="14"/>
              </w:rPr>
              <w:t>Patsakis &amp; Lykousas</w:t>
            </w:r>
          </w:p>
        </w:tc>
        <w:tc>
          <w:tcPr>
            <w:tcW w:type="dxa" w:w="2520"/>
            <w:vAlign w:val="center"/>
          </w:tcPr>
          <w:p>
            <w:r/>
            <w:r>
              <w:rPr>
                <w:rFonts w:ascii="Times New Roman" w:hAnsi="Times New Roman"/>
                <w:b w:val="0"/>
                <w:sz w:val="14"/>
              </w:rPr>
              <w:t>Man vs the machine in the struggle for effective text anonymisation in the age of large language models</w:t>
            </w:r>
          </w:p>
        </w:tc>
        <w:tc>
          <w:tcPr>
            <w:tcW w:type="dxa" w:w="2376"/>
            <w:vAlign w:val="center"/>
          </w:tcPr>
          <w:p>
            <w:r/>
            <w:r>
              <w:rPr>
                <w:rFonts w:ascii="Times New Roman" w:hAnsi="Times New Roman"/>
                <w:b w:val="0"/>
                <w:sz w:val="14"/>
              </w:rPr>
              <w:t>Comparison of human and machine anonymization in LLM era</w:t>
            </w:r>
          </w:p>
        </w:tc>
        <w:tc>
          <w:tcPr>
            <w:tcW w:type="dxa" w:w="3096"/>
            <w:vAlign w:val="center"/>
          </w:tcPr>
          <w:p>
            <w:r/>
            <w:r>
              <w:rPr>
                <w:rFonts w:ascii="Times New Roman" w:hAnsi="Times New Roman"/>
                <w:b w:val="0"/>
                <w:sz w:val="14"/>
              </w:rPr>
              <w:t>Motivates investigation of machine anonymization quality and limitations</w:t>
            </w:r>
          </w:p>
        </w:tc>
        <w:tc>
          <w:tcPr>
            <w:tcW w:type="dxa" w:w="504"/>
            <w:vAlign w:val="center"/>
          </w:tcPr>
          <w:p>
            <w:r/>
            <w:r>
              <w:rPr>
                <w:rFonts w:ascii="Times New Roman" w:hAnsi="Times New Roman"/>
                <w:b w:val="0"/>
                <w:sz w:val="14"/>
              </w:rPr>
              <w:t>[13]</w:t>
            </w:r>
          </w:p>
        </w:tc>
      </w:tr>
      <w:tr>
        <w:tc>
          <w:tcPr>
            <w:tcW w:type="dxa" w:w="792"/>
            <w:vAlign w:val="center"/>
          </w:tcPr>
          <w:p>
            <w:r/>
            <w:r>
              <w:rPr>
                <w:rFonts w:ascii="Times New Roman" w:hAnsi="Times New Roman"/>
                <w:b w:val="0"/>
                <w:sz w:val="14"/>
              </w:rPr>
              <w:t>2023</w:t>
            </w:r>
          </w:p>
        </w:tc>
        <w:tc>
          <w:tcPr>
            <w:tcW w:type="dxa" w:w="1800"/>
            <w:vAlign w:val="center"/>
          </w:tcPr>
          <w:p>
            <w:r/>
            <w:r>
              <w:rPr>
                <w:rFonts w:ascii="Times New Roman" w:hAnsi="Times New Roman"/>
                <w:b w:val="0"/>
                <w:sz w:val="14"/>
              </w:rPr>
              <w:t>Habernal et al.</w:t>
            </w:r>
          </w:p>
        </w:tc>
        <w:tc>
          <w:tcPr>
            <w:tcW w:type="dxa" w:w="2520"/>
            <w:vAlign w:val="center"/>
          </w:tcPr>
          <w:p>
            <w:r/>
            <w:r>
              <w:rPr>
                <w:rFonts w:ascii="Times New Roman" w:hAnsi="Times New Roman"/>
                <w:b w:val="0"/>
                <w:sz w:val="14"/>
              </w:rPr>
              <w:t>Privacy-Preserving Natural Language Processing</w:t>
            </w:r>
          </w:p>
        </w:tc>
        <w:tc>
          <w:tcPr>
            <w:tcW w:type="dxa" w:w="2376"/>
            <w:vAlign w:val="center"/>
          </w:tcPr>
          <w:p>
            <w:r/>
            <w:r>
              <w:rPr>
                <w:rFonts w:ascii="Times New Roman" w:hAnsi="Times New Roman"/>
                <w:b w:val="0"/>
                <w:sz w:val="14"/>
              </w:rPr>
              <w:t>Research tutorial covering privacy risks and methods in NLP</w:t>
            </w:r>
          </w:p>
        </w:tc>
        <w:tc>
          <w:tcPr>
            <w:tcW w:type="dxa" w:w="3096"/>
            <w:vAlign w:val="center"/>
          </w:tcPr>
          <w:p>
            <w:r/>
            <w:r>
              <w:rPr>
                <w:rFonts w:ascii="Times New Roman" w:hAnsi="Times New Roman"/>
                <w:b w:val="0"/>
                <w:sz w:val="14"/>
              </w:rPr>
              <w:t>Provides broader PP-NLP framing and pitfalls</w:t>
            </w:r>
          </w:p>
        </w:tc>
        <w:tc>
          <w:tcPr>
            <w:tcW w:type="dxa" w:w="504"/>
            <w:vAlign w:val="center"/>
          </w:tcPr>
          <w:p>
            <w:r/>
            <w:r>
              <w:rPr>
                <w:rFonts w:ascii="Times New Roman" w:hAnsi="Times New Roman"/>
                <w:b w:val="0"/>
                <w:sz w:val="14"/>
              </w:rPr>
              <w:t>[14]</w:t>
            </w:r>
          </w:p>
        </w:tc>
      </w:tr>
      <w:tr>
        <w:tc>
          <w:tcPr>
            <w:tcW w:type="dxa" w:w="792"/>
            <w:vAlign w:val="center"/>
          </w:tcPr>
          <w:p>
            <w:r/>
            <w:r>
              <w:rPr>
                <w:rFonts w:ascii="Times New Roman" w:hAnsi="Times New Roman"/>
                <w:b w:val="0"/>
                <w:sz w:val="14"/>
              </w:rPr>
              <w:t>2022</w:t>
            </w:r>
          </w:p>
        </w:tc>
        <w:tc>
          <w:tcPr>
            <w:tcW w:type="dxa" w:w="1800"/>
            <w:vAlign w:val="center"/>
          </w:tcPr>
          <w:p>
            <w:r/>
            <w:r>
              <w:rPr>
                <w:rFonts w:ascii="Times New Roman" w:hAnsi="Times New Roman"/>
                <w:b w:val="0"/>
                <w:sz w:val="14"/>
              </w:rPr>
              <w:t>Pilán et al.</w:t>
            </w:r>
          </w:p>
        </w:tc>
        <w:tc>
          <w:tcPr>
            <w:tcW w:type="dxa" w:w="2520"/>
            <w:vAlign w:val="center"/>
          </w:tcPr>
          <w:p>
            <w:r/>
            <w:r>
              <w:rPr>
                <w:rFonts w:ascii="Times New Roman" w:hAnsi="Times New Roman"/>
                <w:b w:val="0"/>
                <w:sz w:val="14"/>
              </w:rPr>
              <w:t>The Text Anonymization Benchmark (TAB): A Dedicated Corpus and Evaluation Framework for Text Anonymization</w:t>
            </w:r>
          </w:p>
        </w:tc>
        <w:tc>
          <w:tcPr>
            <w:tcW w:type="dxa" w:w="2376"/>
            <w:vAlign w:val="center"/>
          </w:tcPr>
          <w:p>
            <w:r/>
            <w:r>
              <w:rPr>
                <w:rFonts w:ascii="Times New Roman" w:hAnsi="Times New Roman"/>
                <w:b w:val="0"/>
                <w:sz w:val="14"/>
              </w:rPr>
              <w:t>Annotated corpus with direct and quasi-identifiers; privacy/utility metrics</w:t>
            </w:r>
          </w:p>
        </w:tc>
        <w:tc>
          <w:tcPr>
            <w:tcW w:type="dxa" w:w="3096"/>
            <w:vAlign w:val="center"/>
          </w:tcPr>
          <w:p>
            <w:r/>
            <w:r>
              <w:rPr>
                <w:rFonts w:ascii="Times New Roman" w:hAnsi="Times New Roman"/>
                <w:b w:val="0"/>
                <w:sz w:val="14"/>
              </w:rPr>
              <w:t>Closest benchmark framing: explicitly distinguishes direct and quasi-identifiers and utility trade-offs</w:t>
            </w:r>
          </w:p>
        </w:tc>
        <w:tc>
          <w:tcPr>
            <w:tcW w:type="dxa" w:w="504"/>
            <w:vAlign w:val="center"/>
          </w:tcPr>
          <w:p>
            <w:r/>
            <w:r>
              <w:rPr>
                <w:rFonts w:ascii="Times New Roman" w:hAnsi="Times New Roman"/>
                <w:b w:val="0"/>
                <w:sz w:val="14"/>
              </w:rPr>
              <w:t>[15]</w:t>
            </w:r>
          </w:p>
        </w:tc>
      </w:tr>
      <w:tr>
        <w:tc>
          <w:tcPr>
            <w:tcW w:type="dxa" w:w="792"/>
            <w:vAlign w:val="center"/>
          </w:tcPr>
          <w:p>
            <w:r/>
            <w:r>
              <w:rPr>
                <w:rFonts w:ascii="Times New Roman" w:hAnsi="Times New Roman"/>
                <w:b w:val="0"/>
                <w:sz w:val="14"/>
              </w:rPr>
              <w:t>2022/23</w:t>
            </w:r>
          </w:p>
        </w:tc>
        <w:tc>
          <w:tcPr>
            <w:tcW w:type="dxa" w:w="1800"/>
            <w:vAlign w:val="center"/>
          </w:tcPr>
          <w:p>
            <w:r/>
            <w:r>
              <w:rPr>
                <w:rFonts w:ascii="Times New Roman" w:hAnsi="Times New Roman"/>
                <w:b w:val="0"/>
                <w:sz w:val="14"/>
              </w:rPr>
              <w:t>Sousa &amp; Kern</w:t>
            </w:r>
          </w:p>
        </w:tc>
        <w:tc>
          <w:tcPr>
            <w:tcW w:type="dxa" w:w="2520"/>
            <w:vAlign w:val="center"/>
          </w:tcPr>
          <w:p>
            <w:r/>
            <w:r>
              <w:rPr>
                <w:rFonts w:ascii="Times New Roman" w:hAnsi="Times New Roman"/>
                <w:b w:val="0"/>
                <w:sz w:val="14"/>
              </w:rPr>
              <w:t>How to keep text private? A systematic review of deep learning methods for privacy-preserving natural language processing</w:t>
            </w:r>
          </w:p>
        </w:tc>
        <w:tc>
          <w:tcPr>
            <w:tcW w:type="dxa" w:w="2376"/>
            <w:vAlign w:val="center"/>
          </w:tcPr>
          <w:p>
            <w:r/>
            <w:r>
              <w:rPr>
                <w:rFonts w:ascii="Times New Roman" w:hAnsi="Times New Roman"/>
                <w:b w:val="0"/>
                <w:sz w:val="14"/>
              </w:rPr>
              <w:t>Systematic review of privacy-preserving NLP and anonymization</w:t>
            </w:r>
          </w:p>
        </w:tc>
        <w:tc>
          <w:tcPr>
            <w:tcW w:type="dxa" w:w="3096"/>
            <w:vAlign w:val="center"/>
          </w:tcPr>
          <w:p>
            <w:r/>
            <w:r>
              <w:rPr>
                <w:rFonts w:ascii="Times New Roman" w:hAnsi="Times New Roman"/>
                <w:b w:val="0"/>
                <w:sz w:val="14"/>
              </w:rPr>
              <w:t>Provides broad taxonomy and confirms privacy/utility tension in text</w:t>
            </w:r>
          </w:p>
        </w:tc>
        <w:tc>
          <w:tcPr>
            <w:tcW w:type="dxa" w:w="504"/>
            <w:vAlign w:val="center"/>
          </w:tcPr>
          <w:p>
            <w:r/>
            <w:r>
              <w:rPr>
                <w:rFonts w:ascii="Times New Roman" w:hAnsi="Times New Roman"/>
                <w:b w:val="0"/>
                <w:sz w:val="14"/>
              </w:rPr>
              <w:t>[16]</w:t>
            </w:r>
          </w:p>
        </w:tc>
      </w:tr>
    </w:tbl>
    <w:p/>
    <w:p>
      <w:pPr>
        <w:pStyle w:val="Heading2"/>
      </w:pPr>
      <w:r>
        <w:t>4.1 Literature Synthesis</w:t>
      </w:r>
    </w:p>
    <w:p>
      <w:r>
        <w:t>The literature indicates four recurring themes. First, direct PII detection is commonly formulated as NER or hybrid rule/ML detection, and high token-level F1 does not necessarily imply low disclosure risk. Second, realistic pseudonymization can preserve more utility than rigid masking. Third, quasi-identifiers are distinct from direct identifiers and can be identifying through combinations, making contextual generalization important. Fourth, LLMs can reason over context and perform rewriting, but they introduce a need for explicit privacy and utility evaluation because generation may preserve sensitive detail or distort meaning.</w:t>
      </w:r>
    </w:p>
    <w:p>
      <w:r>
        <w:t>TAB is particularly important to this project because it explicitly defines direct identifiers and quasi-identifiers and demonstrates that QIs can require masking even when direct identifiers have been detected. The proposed project does not attempt to reproduce TAB's annotation framework; instead, it uses the available AI4Privacy dataset for direct PII evaluation and introduces an SLM-independent deterministic QI analysis layer for its Stage 2 experiments.</w:t>
      </w:r>
    </w:p>
    <w:p>
      <w:pPr>
        <w:pStyle w:val="Heading1"/>
      </w:pPr>
      <w:r>
        <w:t>5. Research / Industry Gap</w:t>
      </w:r>
    </w:p>
    <w:p>
      <w:r>
        <w:t>The literature demonstrates strong progress in direct PII detection and increasing interest in LLM-based text anonymization. However, the following practical gap motivates this project:</w:t>
      </w:r>
    </w:p>
    <w:p>
      <w:pPr>
        <w:pStyle w:val="ListBullet"/>
        <w:spacing w:after="60"/>
      </w:pPr>
      <w:r>
        <w:t>Direct PII detection and contextual QI handling are often treated as one undifferentiated anonymization problem, despite their different characteristics.</w:t>
      </w:r>
    </w:p>
    <w:p>
      <w:pPr>
        <w:pStyle w:val="ListBullet"/>
        <w:spacing w:after="60"/>
      </w:pPr>
      <w:r>
        <w:t>Many systems evaluate detection against annotated identifiers but do not provide an independent, interpretable gate for contextual generalization quality.</w:t>
      </w:r>
    </w:p>
    <w:p>
      <w:pPr>
        <w:pStyle w:val="ListBullet"/>
        <w:spacing w:after="60"/>
      </w:pPr>
      <w:r>
        <w:t>LLM-based anonymization can improve contextual rewriting but can also introduce semantic drift or leave contextual identifiers insufficiently generalized.</w:t>
      </w:r>
    </w:p>
    <w:p>
      <w:pPr>
        <w:pStyle w:val="ListBullet"/>
        <w:spacing w:after="60"/>
      </w:pPr>
      <w:r>
        <w:t>Rigid redaction protects privacy at the cost of natural language structure and utility.</w:t>
      </w:r>
    </w:p>
    <w:p>
      <w:pPr>
        <w:pStyle w:val="ListBullet"/>
        <w:spacing w:after="60"/>
      </w:pPr>
      <w:r>
        <w:t>There is a practical need for a lightweight, locally deployable architecture that combines deterministic PII protection, realistic surrogates, contextual SLM rewriting, and an independent acceptance guardrail.</w:t>
      </w:r>
    </w:p>
    <w:p>
      <w:pPr>
        <w:pStyle w:val="ListBullet"/>
        <w:spacing w:after="60"/>
      </w:pPr>
      <w:r>
        <w:t>A reproducible evaluation should separate direct-PII ground-truth metrics from QI analysis rather than incorrectly treating an ordinary PII dataset as a QI-labelled benchmark.</w:t>
      </w:r>
    </w:p>
    <w:p>
      <w:r>
        <w:t>The proposed contribution is therefore not the claim that no prior work has studied text anonymization, pseudonymization, LLM rewriting, or quasi-identifiers. The intended contribution is the combination of these ideas into a two-stage, locally deployable framework with an independent deterministic QI abstraction layer, compound-QI analysis, and a three-way composite acceptance guardrail.</w:t>
      </w:r>
    </w:p>
    <w:p>
      <w:pPr>
        <w:pStyle w:val="Heading1"/>
      </w:pPr>
      <w:r>
        <w:t>6. Research Objectives (SMART)</w:t>
      </w:r>
    </w:p>
    <w:p>
      <w:pPr>
        <w:pStyle w:val="ListNumber"/>
        <w:spacing w:after="60"/>
      </w:pPr>
      <w:r>
        <w:t>Develop a hybrid Stage 1 anonymizer that detects direct PII using regex and transformer NER and replaces detected entities with consistent document-level synthetic surrogates.</w:t>
      </w:r>
    </w:p>
    <w:p>
      <w:pPr>
        <w:pStyle w:val="ListNumber"/>
        <w:spacing w:after="60"/>
      </w:pPr>
      <w:r>
        <w:t>Develop an SLM-assisted Stage 2 module that identifies and generalizes contextual and compound quasi-identifiers while preserving the core semantic content and readability of the source text.</w:t>
      </w:r>
    </w:p>
    <w:p>
      <w:pPr>
        <w:pStyle w:val="ListNumber"/>
        <w:spacing w:after="60"/>
      </w:pPr>
      <w:r>
        <w:t>Develop and integrate an SLM-independent deterministic QI abstraction evaluator that estimates residual QI risk and provides a configurable safety floor for candidate acceptance.</w:t>
      </w:r>
    </w:p>
    <w:p>
      <w:pPr>
        <w:pStyle w:val="ListNumber"/>
        <w:spacing w:after="60"/>
      </w:pPr>
      <w:r>
        <w:t>Benchmark rigid redaction, Microsoft Presidio, the proposed Stage 1 system, and the proposed two-stage system using direct-PII privacy metrics and privacy/utility metrics on a fixed evaluation subset of AI4Privacy PII-Masking-300K.</w:t>
      </w:r>
    </w:p>
    <w:p>
      <w:pPr>
        <w:pStyle w:val="ListNumber"/>
        <w:spacing w:after="60"/>
      </w:pPr>
      <w:r>
        <w:t>Complete ablation and error-analysis experiments to determine whether the independent QI layer and composite guardrail improve the privacy-utility trade-off without introducing unacceptable semantic drift.</w:t>
      </w:r>
    </w:p>
    <w:p>
      <w:pPr>
        <w:pStyle w:val="Heading1"/>
      </w:pPr>
      <w:r>
        <w:t>7. Research Questions and Working Hypotheses</w:t>
      </w:r>
    </w:p>
    <w:tbl>
      <w:tblPr>
        <w:tblStyle w:val="TableGrid"/>
        <w:tblW w:type="auto" w:w="0"/>
        <w:jc w:val="center"/>
        <w:tblLook w:firstColumn="1" w:firstRow="1" w:lastColumn="0" w:lastRow="0" w:noHBand="0" w:noVBand="1" w:val="04A0"/>
      </w:tblPr>
      <w:tblGrid>
        <w:gridCol w:w="3312"/>
        <w:gridCol w:w="3312"/>
        <w:gridCol w:w="3312"/>
      </w:tblGrid>
      <w:tr>
        <w:tc>
          <w:tcPr>
            <w:tcW w:type="dxa" w:w="792"/>
            <w:vAlign w:val="center"/>
            <w:shd w:fill="D9EAF7"/>
          </w:tcPr>
          <w:p>
            <w:r/>
            <w:r>
              <w:rPr>
                <w:rFonts w:ascii="Times New Roman" w:hAnsi="Times New Roman"/>
                <w:b/>
                <w:sz w:val="17"/>
              </w:rPr>
              <w:t>ID</w:t>
            </w:r>
          </w:p>
        </w:tc>
        <w:tc>
          <w:tcPr>
            <w:tcW w:type="dxa" w:w="4680"/>
            <w:vAlign w:val="center"/>
            <w:shd w:fill="D9EAF7"/>
          </w:tcPr>
          <w:p>
            <w:r/>
            <w:r>
              <w:rPr>
                <w:rFonts w:ascii="Times New Roman" w:hAnsi="Times New Roman"/>
                <w:b/>
                <w:sz w:val="17"/>
              </w:rPr>
              <w:t>Research Question</w:t>
            </w:r>
          </w:p>
        </w:tc>
        <w:tc>
          <w:tcPr>
            <w:tcW w:type="dxa" w:w="4176"/>
            <w:vAlign w:val="center"/>
            <w:shd w:fill="D9EAF7"/>
          </w:tcPr>
          <w:p>
            <w:r/>
            <w:r>
              <w:rPr>
                <w:rFonts w:ascii="Times New Roman" w:hAnsi="Times New Roman"/>
                <w:b/>
                <w:sz w:val="17"/>
              </w:rPr>
              <w:t>Working Hypothesis</w:t>
            </w:r>
          </w:p>
        </w:tc>
      </w:tr>
      <w:tr>
        <w:tc>
          <w:tcPr>
            <w:tcW w:type="dxa" w:w="792"/>
            <w:vAlign w:val="center"/>
          </w:tcPr>
          <w:p>
            <w:r/>
            <w:r>
              <w:rPr>
                <w:rFonts w:ascii="Times New Roman" w:hAnsi="Times New Roman"/>
                <w:b w:val="0"/>
                <w:sz w:val="17"/>
              </w:rPr>
              <w:t>RQ1</w:t>
            </w:r>
          </w:p>
        </w:tc>
        <w:tc>
          <w:tcPr>
            <w:tcW w:type="dxa" w:w="4680"/>
            <w:vAlign w:val="center"/>
          </w:tcPr>
          <w:p>
            <w:r/>
            <w:r>
              <w:rPr>
                <w:rFonts w:ascii="Times New Roman" w:hAnsi="Times New Roman"/>
                <w:b w:val="0"/>
                <w:sz w:val="17"/>
              </w:rPr>
              <w:t>Can the proposed hybrid Stage 1 detector achieve reliable direct-PII detection and removal?</w:t>
            </w:r>
          </w:p>
        </w:tc>
        <w:tc>
          <w:tcPr>
            <w:tcW w:type="dxa" w:w="4176"/>
            <w:vAlign w:val="center"/>
          </w:tcPr>
          <w:p>
            <w:r/>
            <w:r>
              <w:rPr>
                <w:rFonts w:ascii="Times New Roman" w:hAnsi="Times New Roman"/>
                <w:b w:val="0"/>
                <w:sz w:val="17"/>
              </w:rPr>
              <w:t>Stage 1 will provide competitive P/R/F1 against rigid and Presidio baselines.</w:t>
            </w:r>
          </w:p>
        </w:tc>
      </w:tr>
      <w:tr>
        <w:tc>
          <w:tcPr>
            <w:tcW w:type="dxa" w:w="792"/>
            <w:vAlign w:val="center"/>
          </w:tcPr>
          <w:p>
            <w:r/>
            <w:r>
              <w:rPr>
                <w:rFonts w:ascii="Times New Roman" w:hAnsi="Times New Roman"/>
                <w:b w:val="0"/>
                <w:sz w:val="17"/>
              </w:rPr>
              <w:t>RQ2</w:t>
            </w:r>
          </w:p>
        </w:tc>
        <w:tc>
          <w:tcPr>
            <w:tcW w:type="dxa" w:w="4680"/>
            <w:vAlign w:val="center"/>
          </w:tcPr>
          <w:p>
            <w:r/>
            <w:r>
              <w:rPr>
                <w:rFonts w:ascii="Times New Roman" w:hAnsi="Times New Roman"/>
                <w:b w:val="0"/>
                <w:sz w:val="17"/>
              </w:rPr>
              <w:t>Can Stage 2 reduce contextual QI exposure beyond direct PII masking?</w:t>
            </w:r>
          </w:p>
        </w:tc>
        <w:tc>
          <w:tcPr>
            <w:tcW w:type="dxa" w:w="4176"/>
            <w:vAlign w:val="center"/>
          </w:tcPr>
          <w:p>
            <w:r/>
            <w:r>
              <w:rPr>
                <w:rFonts w:ascii="Times New Roman" w:hAnsi="Times New Roman"/>
                <w:b w:val="0"/>
                <w:sz w:val="17"/>
              </w:rPr>
              <w:t>Stage 2 will increase detected-QI mitigation and reduce residual QI risk relative to Stage 1 outputs.</w:t>
            </w:r>
          </w:p>
        </w:tc>
      </w:tr>
      <w:tr>
        <w:tc>
          <w:tcPr>
            <w:tcW w:type="dxa" w:w="792"/>
            <w:vAlign w:val="center"/>
          </w:tcPr>
          <w:p>
            <w:r/>
            <w:r>
              <w:rPr>
                <w:rFonts w:ascii="Times New Roman" w:hAnsi="Times New Roman"/>
                <w:b w:val="0"/>
                <w:sz w:val="17"/>
              </w:rPr>
              <w:t>RQ3</w:t>
            </w:r>
          </w:p>
        </w:tc>
        <w:tc>
          <w:tcPr>
            <w:tcW w:type="dxa" w:w="4680"/>
            <w:vAlign w:val="center"/>
          </w:tcPr>
          <w:p>
            <w:r/>
            <w:r>
              <w:rPr>
                <w:rFonts w:ascii="Times New Roman" w:hAnsi="Times New Roman"/>
                <w:b w:val="0"/>
                <w:sz w:val="17"/>
              </w:rPr>
              <w:t>Does synthetic substitution preserve more utility than rigid redaction?</w:t>
            </w:r>
          </w:p>
        </w:tc>
        <w:tc>
          <w:tcPr>
            <w:tcW w:type="dxa" w:w="4176"/>
            <w:vAlign w:val="center"/>
          </w:tcPr>
          <w:p>
            <w:r/>
            <w:r>
              <w:rPr>
                <w:rFonts w:ascii="Times New Roman" w:hAnsi="Times New Roman"/>
                <w:b w:val="0"/>
                <w:sz w:val="17"/>
              </w:rPr>
              <w:t>Stage 1 and Stage 2 will retain higher semantic similarity/readability than rigid masking.</w:t>
            </w:r>
          </w:p>
        </w:tc>
      </w:tr>
      <w:tr>
        <w:tc>
          <w:tcPr>
            <w:tcW w:type="dxa" w:w="792"/>
            <w:vAlign w:val="center"/>
          </w:tcPr>
          <w:p>
            <w:r/>
            <w:r>
              <w:rPr>
                <w:rFonts w:ascii="Times New Roman" w:hAnsi="Times New Roman"/>
                <w:b w:val="0"/>
                <w:sz w:val="17"/>
              </w:rPr>
              <w:t>RQ4</w:t>
            </w:r>
          </w:p>
        </w:tc>
        <w:tc>
          <w:tcPr>
            <w:tcW w:type="dxa" w:w="4680"/>
            <w:vAlign w:val="center"/>
          </w:tcPr>
          <w:p>
            <w:r/>
            <w:r>
              <w:rPr>
                <w:rFonts w:ascii="Times New Roman" w:hAnsi="Times New Roman"/>
                <w:b w:val="0"/>
                <w:sz w:val="17"/>
              </w:rPr>
              <w:t>Does the independent three-way guardrail improve candidate selection compared with a single cosine threshold?</w:t>
            </w:r>
          </w:p>
        </w:tc>
        <w:tc>
          <w:tcPr>
            <w:tcW w:type="dxa" w:w="4176"/>
            <w:vAlign w:val="center"/>
          </w:tcPr>
          <w:p>
            <w:r/>
            <w:r>
              <w:rPr>
                <w:rFonts w:ascii="Times New Roman" w:hAnsi="Times New Roman"/>
                <w:b w:val="0"/>
                <w:sz w:val="17"/>
              </w:rPr>
              <w:t>The composite guardrail will reject candidates with unacceptable QI exposure or semantic drift that a single similarity threshold may accept.</w:t>
            </w:r>
          </w:p>
        </w:tc>
      </w:tr>
    </w:tbl>
    <w:p/>
    <w:p>
      <w:pPr>
        <w:pStyle w:val="Heading1"/>
      </w:pPr>
      <w:r>
        <w:t>8. Proposed Novelty and Contributions</w:t>
      </w:r>
    </w:p>
    <w:p>
      <w:pPr>
        <w:pStyle w:val="ListBullet"/>
        <w:spacing w:after="60"/>
      </w:pPr>
      <w:r>
        <w:t>Two-stage separation of direct PII anonymization and contextual QI generalization.</w:t>
      </w:r>
    </w:p>
    <w:p>
      <w:pPr>
        <w:pStyle w:val="ListBullet"/>
        <w:spacing w:after="60"/>
      </w:pPr>
      <w:r>
        <w:t>Document-level deterministic synthetic surrogate mapping to preserve consistency across repeated mentions.</w:t>
      </w:r>
    </w:p>
    <w:p>
      <w:pPr>
        <w:pStyle w:val="ListBullet"/>
        <w:spacing w:after="60"/>
      </w:pPr>
      <w:r>
        <w:t>SLM-independent deterministic QI detection layer covering dates, monetary values, demographics, rare/specialized roles, precise locations, and compound/relational QIs.</w:t>
      </w:r>
    </w:p>
    <w:p>
      <w:pPr>
        <w:pStyle w:val="ListBullet"/>
        <w:spacing w:after="60"/>
      </w:pPr>
      <w:r>
        <w:t>Per-QI residual-risk scoring intended to model degrees of granularity reduction rather than binary string matching.</w:t>
      </w:r>
    </w:p>
    <w:p>
      <w:pPr>
        <w:pStyle w:val="ListBullet"/>
        <w:spacing w:after="60"/>
      </w:pPr>
      <w:r>
        <w:t>Three-way candidate acceptance rule combining semantic similarity, QI abstraction, and readability, with independent hard safety floors and Stage 1 fallback.</w:t>
      </w:r>
    </w:p>
    <w:p>
      <w:pPr>
        <w:pStyle w:val="ListBullet"/>
        <w:spacing w:after="60"/>
      </w:pPr>
      <w:r>
        <w:t>Research-grade evaluation that explicitly separates direct-PII ground truth from detected-QI analysis and avoids claiming a formal privacy guarantee from the QI score.</w:t>
      </w:r>
    </w:p>
    <w:p>
      <w:r>
        <w:t>The novelty should be understood as an architectural and evaluation contribution rather than a claim that each individual component is new in isolation. Prior work has separately explored pseudonymization, quasi-identifiers, LLM-based anonymization, privacy-utility trade-offs, and re-identification evaluation.</w:t>
      </w:r>
    </w:p>
    <w:p>
      <w:pPr>
        <w:pStyle w:val="Heading1"/>
      </w:pPr>
      <w:r>
        <w:t>9. Proposed Methodology</w:t>
      </w:r>
    </w:p>
    <w:p>
      <w:pPr>
        <w:pStyle w:val="Heading2"/>
      </w:pPr>
      <w:r>
        <w:t>9.1 Overall Architecture</w:t>
      </w:r>
    </w:p>
    <w:p>
      <w:pPr>
        <w:jc w:val="center"/>
      </w:pPr>
      <w:r>
        <w:t>Raw Unstructured Text</w:t>
        <w:br/>
        <w:t xml:space="preserve">        ↓</w:t>
        <w:br/>
        <w:t>STAGE 1 — Direct PII Detection &amp; Synthetic Surrogates</w:t>
        <w:br/>
        <w:t>Regex + Transformer NER → Span Resolution → Deterministic Faker Mapping</w:t>
        <w:br/>
        <w:t xml:space="preserve">        ↓</w:t>
        <w:br/>
        <w:t>Stage 1 Sanitized Text</w:t>
        <w:br/>
        <w:t xml:space="preserve">        ↓</w:t>
        <w:br/>
        <w:t>STAGE 2 — Contextual QI Generalization</w:t>
        <w:br/>
        <w:t>SLM (local Qwen 2.5 1.5B) → Candidate Rewrite</w:t>
        <w:br/>
        <w:t xml:space="preserve">        ↓</w:t>
        <w:br/>
        <w:t>Independent QI Detector + Semantic Similarity + Readability Evaluation</w:t>
        <w:br/>
        <w:t xml:space="preserve">        ↓</w:t>
        <w:br/>
        <w:t>Composite Guardrail</w:t>
        <w:br/>
        <w:t xml:space="preserve">        ↓</w:t>
        <w:br/>
        <w:t>ACCEPT Candidate  OR  FALLBACK to Stage 1</w:t>
      </w:r>
    </w:p>
    <w:p>
      <w:pPr>
        <w:pStyle w:val="Heading2"/>
      </w:pPr>
      <w:r>
        <w:t>9.2 Stage 1 — Direct PII Detection</w:t>
      </w:r>
    </w:p>
    <w:p>
      <w:pPr>
        <w:pStyle w:val="ListBullet"/>
        <w:spacing w:after="60"/>
      </w:pPr>
      <w:r>
        <w:t>Compiled regular expressions detect structured identifiers such as email addresses, phone numbers, SSNs, IP addresses, payment-card patterns, national IDs, driver's licenses, passwords, and secret-like strings.</w:t>
      </w:r>
    </w:p>
    <w:p>
      <w:pPr>
        <w:pStyle w:val="ListBullet"/>
        <w:spacing w:after="60"/>
      </w:pPr>
      <w:r>
        <w:t>Transformer NER (`dslim/bert-base-NER`) detects contextual entity types such as person, organization, location, and miscellaneous entities.</w:t>
      </w:r>
    </w:p>
    <w:p>
      <w:pPr>
        <w:pStyle w:val="ListBullet"/>
        <w:spacing w:after="60"/>
      </w:pPr>
      <w:r>
        <w:t>Overlapping spans are resolved using deterministic priority rules, with structured exact patterns and longer spans receiving appropriate precedence.</w:t>
      </w:r>
    </w:p>
    <w:p>
      <w:pPr>
        <w:pStyle w:val="ListBullet"/>
        <w:spacing w:after="60"/>
      </w:pPr>
      <w:r>
        <w:t>Faker-based surrogates are generated deterministically at document scope so repeated occurrences of the same source entity receive the same synthetic replacement.</w:t>
      </w:r>
    </w:p>
    <w:p>
      <w:pPr>
        <w:pStyle w:val="ListBullet"/>
        <w:spacing w:after="60"/>
      </w:pPr>
      <w:r>
        <w:t>Replacement is performed in reverse character-offset order to avoid index shifting.</w:t>
      </w:r>
    </w:p>
    <w:p>
      <w:pPr>
        <w:pStyle w:val="Heading2"/>
      </w:pPr>
      <w:r>
        <w:t>9.3 Stage 2 — Contextual QI Generalization</w:t>
      </w:r>
    </w:p>
    <w:p>
      <w:pPr>
        <w:pStyle w:val="ListBullet"/>
        <w:spacing w:after="60"/>
      </w:pPr>
      <w:r>
        <w:t>A local quantized SLM (Ollama with Qwen 2.5 1.5B) proposes a structured JSON rewrite and lists contextual modifications.</w:t>
      </w:r>
    </w:p>
    <w:p>
      <w:pPr>
        <w:pStyle w:val="ListBullet"/>
        <w:spacing w:after="60"/>
      </w:pPr>
      <w:r>
        <w:t>The intended QI categories include exact/hyper-specific dates, monetary amounts, demographics, rare or highly specialized roles, precise locations, and compound relationships among attributes.</w:t>
      </w:r>
    </w:p>
    <w:p>
      <w:pPr>
        <w:pStyle w:val="ListBullet"/>
        <w:spacing w:after="60"/>
      </w:pPr>
      <w:r>
        <w:t>Examples of generalization include exact dates to coarse temporal periods, exact amounts to broader financial ranges, and highly specific roles to broader professional categories.</w:t>
      </w:r>
    </w:p>
    <w:p>
      <w:pPr>
        <w:pStyle w:val="ListBullet"/>
        <w:spacing w:after="60"/>
      </w:pPr>
      <w:r>
        <w:t>The SLM is not treated as the sole privacy evaluator; its modification list is retained as explanatory telemetry.</w:t>
      </w:r>
    </w:p>
    <w:p>
      <w:pPr>
        <w:pStyle w:val="Heading2"/>
      </w:pPr>
      <w:r>
        <w:t>9.4 Independent QI Abstraction Layer</w:t>
      </w:r>
    </w:p>
    <w:p>
      <w:r>
        <w:t>The independent detector scans the Stage 1 text before candidate evaluation. For each detected QI, it estimates residual risk r_i in [0,1], where 0 represents effective abstraction and 1 represents exposure. Partial mitigation is explicitly represented rather than reduced to a binary match/no-match decision. Compound QIs are formed from relevant co-occurring attributes, such as demographic + occupation or occupation + location.</w:t>
      </w:r>
    </w:p>
    <w:p>
      <w:r>
        <w:t>The QI abstraction score is computed as:</w:t>
      </w:r>
    </w:p>
    <w:p>
      <w:pPr>
        <w:jc w:val="center"/>
      </w:pPr>
      <w:r>
        <w:rPr>
          <w:b/>
        </w:rPr>
        <w:t>S_qi = 1 − (Σ w_i r_i / Σ w_i)</w:t>
      </w:r>
    </w:p>
    <w:p>
      <w:r>
        <w:t>This score is an engineering/research acceptance signal. It is not a formal mathematical privacy guarantee and does not claim differential privacy or a quantified probability of re-identification.</w:t>
      </w:r>
    </w:p>
    <w:p>
      <w:pPr>
        <w:pStyle w:val="Heading2"/>
      </w:pPr>
      <w:r>
        <w:t>9.5 Composite Guardrail</w:t>
      </w:r>
    </w:p>
    <w:p>
      <w:pPr>
        <w:jc w:val="center"/>
      </w:pPr>
      <w:r>
        <w:rPr>
          <w:b/>
        </w:rPr>
        <w:t>ACCEPT ⇔ (S_composite ≥ τ) AND (S_semantic ≥ floor_sim) AND (S_qi ≥ qi_floor)</w:t>
      </w:r>
    </w:p>
    <w:p>
      <w:r>
        <w:t>where the provisional development defaults are τ = 0.72, floor_sim = 0.60, qi_floor = 0.50, and weights w_sim = 0.50, w_qi = 0.30, w_read = 0.20. These values will not be presented as optimal unless supported by a separate development/validation tuning experiment.</w:t>
      </w:r>
    </w:p>
    <w:p>
      <w:pPr>
        <w:pStyle w:val="Heading1"/>
      </w:pPr>
      <w:r>
        <w:t>10. Dataset and Data Strategy</w:t>
      </w:r>
    </w:p>
    <w:p>
      <w:r>
        <w:t>The project will use AI4Privacy PII-Masking-300K as the sole dataset. The current dataset card reports 225,405 rows, multiple languages, a 79%/21% train-validation organization, 27 PII classes for the OpenPII component, and synthetic data generation with human-in-the-loop quality validation. The project will use the English portion for the primary evaluation to keep the scope controlled.</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9EAF7"/>
          </w:tcPr>
          <w:p>
            <w:r/>
            <w:r>
              <w:rPr>
                <w:rFonts w:ascii="Times New Roman" w:hAnsi="Times New Roman"/>
                <w:b/>
                <w:sz w:val="17"/>
              </w:rPr>
              <w:t>Attribute</w:t>
            </w:r>
          </w:p>
        </w:tc>
        <w:tc>
          <w:tcPr>
            <w:tcW w:type="dxa" w:w="7056"/>
            <w:vAlign w:val="center"/>
            <w:shd w:fill="D9EAF7"/>
          </w:tcPr>
          <w:p>
            <w:r/>
            <w:r>
              <w:rPr>
                <w:rFonts w:ascii="Times New Roman" w:hAnsi="Times New Roman"/>
                <w:b/>
                <w:sz w:val="17"/>
              </w:rPr>
              <w:t>Project Specification</w:t>
            </w:r>
          </w:p>
        </w:tc>
      </w:tr>
      <w:tr>
        <w:tc>
          <w:tcPr>
            <w:tcW w:type="dxa" w:w="2880"/>
            <w:vAlign w:val="center"/>
          </w:tcPr>
          <w:p>
            <w:r/>
            <w:r>
              <w:rPr>
                <w:rFonts w:ascii="Times New Roman" w:hAnsi="Times New Roman"/>
                <w:b w:val="0"/>
                <w:sz w:val="17"/>
              </w:rPr>
              <w:t>Dataset</w:t>
            </w:r>
          </w:p>
        </w:tc>
        <w:tc>
          <w:tcPr>
            <w:tcW w:type="dxa" w:w="7056"/>
            <w:vAlign w:val="center"/>
          </w:tcPr>
          <w:p>
            <w:r/>
            <w:r>
              <w:rPr>
                <w:rFonts w:ascii="Times New Roman" w:hAnsi="Times New Roman"/>
                <w:b w:val="0"/>
                <w:sz w:val="17"/>
              </w:rPr>
              <w:t>AI4Privacy PII-Masking-300K</w:t>
            </w:r>
          </w:p>
        </w:tc>
      </w:tr>
      <w:tr>
        <w:tc>
          <w:tcPr>
            <w:tcW w:type="dxa" w:w="2880"/>
            <w:vAlign w:val="center"/>
          </w:tcPr>
          <w:p>
            <w:r/>
            <w:r>
              <w:rPr>
                <w:rFonts w:ascii="Times New Roman" w:hAnsi="Times New Roman"/>
                <w:b w:val="0"/>
                <w:sz w:val="17"/>
              </w:rPr>
              <w:t>Source</w:t>
            </w:r>
          </w:p>
        </w:tc>
        <w:tc>
          <w:tcPr>
            <w:tcW w:type="dxa" w:w="7056"/>
            <w:vAlign w:val="center"/>
          </w:tcPr>
          <w:p>
            <w:r/>
            <w:r>
              <w:rPr>
                <w:rFonts w:ascii="Times New Roman" w:hAnsi="Times New Roman"/>
                <w:b w:val="0"/>
                <w:sz w:val="17"/>
              </w:rPr>
              <w:t>Hugging Face — ai4privacy/pii-masking-300k</w:t>
            </w:r>
          </w:p>
        </w:tc>
      </w:tr>
      <w:tr>
        <w:tc>
          <w:tcPr>
            <w:tcW w:type="dxa" w:w="2880"/>
            <w:vAlign w:val="center"/>
          </w:tcPr>
          <w:p>
            <w:r/>
            <w:r>
              <w:rPr>
                <w:rFonts w:ascii="Times New Roman" w:hAnsi="Times New Roman"/>
                <w:b w:val="0"/>
                <w:sz w:val="17"/>
              </w:rPr>
              <w:t>Approx. total rows</w:t>
            </w:r>
          </w:p>
        </w:tc>
        <w:tc>
          <w:tcPr>
            <w:tcW w:type="dxa" w:w="7056"/>
            <w:vAlign w:val="center"/>
          </w:tcPr>
          <w:p>
            <w:r/>
            <w:r>
              <w:rPr>
                <w:rFonts w:ascii="Times New Roman" w:hAnsi="Times New Roman"/>
                <w:b w:val="0"/>
                <w:sz w:val="17"/>
              </w:rPr>
              <w:t>225,405</w:t>
            </w:r>
          </w:p>
        </w:tc>
      </w:tr>
      <w:tr>
        <w:tc>
          <w:tcPr>
            <w:tcW w:type="dxa" w:w="2880"/>
            <w:vAlign w:val="center"/>
          </w:tcPr>
          <w:p>
            <w:r/>
            <w:r>
              <w:rPr>
                <w:rFonts w:ascii="Times New Roman" w:hAnsi="Times New Roman"/>
                <w:b w:val="0"/>
                <w:sz w:val="17"/>
              </w:rPr>
              <w:t>English validation resource</w:t>
            </w:r>
          </w:p>
        </w:tc>
        <w:tc>
          <w:tcPr>
            <w:tcW w:type="dxa" w:w="7056"/>
            <w:vAlign w:val="center"/>
          </w:tcPr>
          <w:p>
            <w:r/>
            <w:r>
              <w:rPr>
                <w:rFonts w:ascii="Times New Roman" w:hAnsi="Times New Roman"/>
                <w:b w:val="0"/>
                <w:sz w:val="17"/>
              </w:rPr>
              <w:t>English validation file is provided in the dataset repository</w:t>
            </w:r>
          </w:p>
        </w:tc>
      </w:tr>
      <w:tr>
        <w:tc>
          <w:tcPr>
            <w:tcW w:type="dxa" w:w="2880"/>
            <w:vAlign w:val="center"/>
          </w:tcPr>
          <w:p>
            <w:r/>
            <w:r>
              <w:rPr>
                <w:rFonts w:ascii="Times New Roman" w:hAnsi="Times New Roman"/>
                <w:b w:val="0"/>
                <w:sz w:val="17"/>
              </w:rPr>
              <w:t>PII scope</w:t>
            </w:r>
          </w:p>
        </w:tc>
        <w:tc>
          <w:tcPr>
            <w:tcW w:type="dxa" w:w="7056"/>
            <w:vAlign w:val="center"/>
          </w:tcPr>
          <w:p>
            <w:r/>
            <w:r>
              <w:rPr>
                <w:rFonts w:ascii="Times New Roman" w:hAnsi="Times New Roman"/>
                <w:b w:val="0"/>
                <w:sz w:val="17"/>
              </w:rPr>
              <w:t>OpenPII + FinPII; 27 OpenPII classes plus additional finance/insurance classes</w:t>
            </w:r>
          </w:p>
        </w:tc>
      </w:tr>
      <w:tr>
        <w:tc>
          <w:tcPr>
            <w:tcW w:type="dxa" w:w="2880"/>
            <w:vAlign w:val="center"/>
          </w:tcPr>
          <w:p>
            <w:r/>
            <w:r>
              <w:rPr>
                <w:rFonts w:ascii="Times New Roman" w:hAnsi="Times New Roman"/>
                <w:b w:val="0"/>
                <w:sz w:val="17"/>
              </w:rPr>
              <w:t>Text type</w:t>
            </w:r>
          </w:p>
        </w:tc>
        <w:tc>
          <w:tcPr>
            <w:tcW w:type="dxa" w:w="7056"/>
            <w:vAlign w:val="center"/>
          </w:tcPr>
          <w:p>
            <w:r/>
            <w:r>
              <w:rPr>
                <w:rFonts w:ascii="Times New Roman" w:hAnsi="Times New Roman"/>
                <w:b w:val="0"/>
                <w:sz w:val="17"/>
              </w:rPr>
              <w:t>Synthetic unstructured text / privacy masking examples</w:t>
            </w:r>
          </w:p>
        </w:tc>
      </w:tr>
      <w:tr>
        <w:tc>
          <w:tcPr>
            <w:tcW w:type="dxa" w:w="2880"/>
            <w:vAlign w:val="center"/>
          </w:tcPr>
          <w:p>
            <w:r/>
            <w:r>
              <w:rPr>
                <w:rFonts w:ascii="Times New Roman" w:hAnsi="Times New Roman"/>
                <w:b w:val="0"/>
                <w:sz w:val="17"/>
              </w:rPr>
              <w:t>Project use</w:t>
            </w:r>
          </w:p>
        </w:tc>
        <w:tc>
          <w:tcPr>
            <w:tcW w:type="dxa" w:w="7056"/>
            <w:vAlign w:val="center"/>
          </w:tcPr>
          <w:p>
            <w:r/>
            <w:r>
              <w:rPr>
                <w:rFonts w:ascii="Times New Roman" w:hAnsi="Times New Roman"/>
                <w:b w:val="0"/>
                <w:sz w:val="17"/>
              </w:rPr>
              <w:t>Direct PII detection, anonymization, and controlled Stage 2 contextual analysis</w:t>
            </w:r>
          </w:p>
        </w:tc>
      </w:tr>
      <w:tr>
        <w:tc>
          <w:tcPr>
            <w:tcW w:type="dxa" w:w="2880"/>
            <w:vAlign w:val="center"/>
          </w:tcPr>
          <w:p>
            <w:r/>
            <w:r>
              <w:rPr>
                <w:rFonts w:ascii="Times New Roman" w:hAnsi="Times New Roman"/>
                <w:b w:val="0"/>
                <w:sz w:val="17"/>
              </w:rPr>
              <w:t>Final benchmark</w:t>
            </w:r>
          </w:p>
        </w:tc>
        <w:tc>
          <w:tcPr>
            <w:tcW w:type="dxa" w:w="7056"/>
            <w:vAlign w:val="center"/>
          </w:tcPr>
          <w:p>
            <w:r/>
            <w:r>
              <w:rPr>
                <w:rFonts w:ascii="Times New Roman" w:hAnsi="Times New Roman"/>
                <w:b w:val="0"/>
                <w:sz w:val="17"/>
              </w:rPr>
              <w:t>Fixed 100-document stratified evaluation subset</w:t>
            </w:r>
          </w:p>
        </w:tc>
      </w:tr>
      <w:tr>
        <w:tc>
          <w:tcPr>
            <w:tcW w:type="dxa" w:w="2880"/>
            <w:vAlign w:val="center"/>
          </w:tcPr>
          <w:p>
            <w:r/>
            <w:r>
              <w:rPr>
                <w:rFonts w:ascii="Times New Roman" w:hAnsi="Times New Roman"/>
                <w:b w:val="0"/>
                <w:sz w:val="17"/>
              </w:rPr>
              <w:t>License</w:t>
            </w:r>
          </w:p>
        </w:tc>
        <w:tc>
          <w:tcPr>
            <w:tcW w:type="dxa" w:w="7056"/>
            <w:vAlign w:val="center"/>
          </w:tcPr>
          <w:p>
            <w:r/>
            <w:r>
              <w:rPr>
                <w:rFonts w:ascii="Times New Roman" w:hAnsi="Times New Roman"/>
                <w:b w:val="0"/>
                <w:sz w:val="17"/>
              </w:rPr>
              <w:t>Academic research / non-commercial use with required acknowledgment; redistribution/derivatives require permission</w:t>
            </w:r>
          </w:p>
        </w:tc>
      </w:tr>
      <w:tr>
        <w:tc>
          <w:tcPr>
            <w:tcW w:type="dxa" w:w="2880"/>
            <w:vAlign w:val="center"/>
          </w:tcPr>
          <w:p>
            <w:r/>
            <w:r>
              <w:rPr>
                <w:rFonts w:ascii="Times New Roman" w:hAnsi="Times New Roman"/>
                <w:b w:val="0"/>
                <w:sz w:val="17"/>
              </w:rPr>
              <w:t>Key limitation</w:t>
            </w:r>
          </w:p>
        </w:tc>
        <w:tc>
          <w:tcPr>
            <w:tcW w:type="dxa" w:w="7056"/>
            <w:vAlign w:val="center"/>
          </w:tcPr>
          <w:p>
            <w:r/>
            <w:r>
              <w:rPr>
                <w:rFonts w:ascii="Times New Roman" w:hAnsi="Times New Roman"/>
                <w:b w:val="0"/>
                <w:sz w:val="17"/>
              </w:rPr>
              <w:t>The dataset is PII-focused and does not provide ground-truth QI annotations; QI results will therefore be reported as detected-QI analysis.</w:t>
            </w:r>
          </w:p>
        </w:tc>
      </w:tr>
    </w:tbl>
    <w:p/>
    <w:p>
      <w:r>
        <w:t>The dataset's licensing terms will be respected. The project repository will avoid redistributing the dataset itself unless the license explicitly permits it. The dataset will be loaded by identifier or through documented access instructions.</w:t>
      </w:r>
    </w:p>
    <w:p>
      <w:pPr>
        <w:pStyle w:val="Heading1"/>
      </w:pPr>
      <w:r>
        <w:t>11. Evaluation Plan</w:t>
      </w:r>
    </w:p>
    <w:p>
      <w:r>
        <w:t>Because Stage 2 local SLM inference takes approximately one minute per document on the available laptop, the final benchmark will use exactly 100 fixed documents. The subset will be selected reproducibly with seed 42 and will prioritize longer text, multi-PII examples, and naturally occurring contextual attributes where available.</w:t>
      </w:r>
    </w:p>
    <w:tbl>
      <w:tblPr>
        <w:tblStyle w:val="TableGrid"/>
        <w:tblW w:type="auto" w:w="0"/>
        <w:jc w:val="center"/>
        <w:tblLook w:firstColumn="1" w:firstRow="1" w:lastColumn="0" w:lastRow="0" w:noHBand="0" w:noVBand="1" w:val="04A0"/>
      </w:tblPr>
      <w:tblGrid>
        <w:gridCol w:w="3312"/>
        <w:gridCol w:w="3312"/>
        <w:gridCol w:w="3312"/>
      </w:tblGrid>
      <w:tr>
        <w:tc>
          <w:tcPr>
            <w:tcW w:type="dxa" w:w="2232"/>
            <w:vAlign w:val="center"/>
            <w:shd w:fill="D9EAF7"/>
          </w:tcPr>
          <w:p>
            <w:r/>
            <w:r>
              <w:rPr>
                <w:rFonts w:ascii="Times New Roman" w:hAnsi="Times New Roman"/>
                <w:b/>
                <w:sz w:val="17"/>
              </w:rPr>
              <w:t>Evaluation Dimension</w:t>
            </w:r>
          </w:p>
        </w:tc>
        <w:tc>
          <w:tcPr>
            <w:tcW w:type="dxa" w:w="3024"/>
            <w:vAlign w:val="center"/>
            <w:shd w:fill="D9EAF7"/>
          </w:tcPr>
          <w:p>
            <w:r/>
            <w:r>
              <w:rPr>
                <w:rFonts w:ascii="Times New Roman" w:hAnsi="Times New Roman"/>
                <w:b/>
                <w:sz w:val="17"/>
              </w:rPr>
              <w:t>Metrics</w:t>
            </w:r>
          </w:p>
        </w:tc>
        <w:tc>
          <w:tcPr>
            <w:tcW w:type="dxa" w:w="4680"/>
            <w:vAlign w:val="center"/>
            <w:shd w:fill="D9EAF7"/>
          </w:tcPr>
          <w:p>
            <w:r/>
            <w:r>
              <w:rPr>
                <w:rFonts w:ascii="Times New Roman" w:hAnsi="Times New Roman"/>
                <w:b/>
                <w:sz w:val="17"/>
              </w:rPr>
              <w:t>Method</w:t>
            </w:r>
          </w:p>
        </w:tc>
      </w:tr>
      <w:tr>
        <w:tc>
          <w:tcPr>
            <w:tcW w:type="dxa" w:w="2232"/>
            <w:vAlign w:val="center"/>
          </w:tcPr>
          <w:p>
            <w:r/>
            <w:r>
              <w:rPr>
                <w:rFonts w:ascii="Times New Roman" w:hAnsi="Times New Roman"/>
                <w:b w:val="0"/>
                <w:sz w:val="17"/>
              </w:rPr>
              <w:t>Direct PII detection</w:t>
            </w:r>
          </w:p>
        </w:tc>
        <w:tc>
          <w:tcPr>
            <w:tcW w:type="dxa" w:w="3024"/>
            <w:vAlign w:val="center"/>
          </w:tcPr>
          <w:p>
            <w:r/>
            <w:r>
              <w:rPr>
                <w:rFonts w:ascii="Times New Roman" w:hAnsi="Times New Roman"/>
                <w:b w:val="0"/>
                <w:sz w:val="17"/>
              </w:rPr>
              <w:t>Precision, Recall, F1</w:t>
            </w:r>
          </w:p>
        </w:tc>
        <w:tc>
          <w:tcPr>
            <w:tcW w:type="dxa" w:w="4680"/>
            <w:vAlign w:val="center"/>
          </w:tcPr>
          <w:p>
            <w:r/>
            <w:r>
              <w:rPr>
                <w:rFonts w:ascii="Times New Roman" w:hAnsi="Times New Roman"/>
                <w:b w:val="0"/>
                <w:sz w:val="17"/>
              </w:rPr>
              <w:t>Exact and relaxed span matching; per-entity type</w:t>
            </w:r>
          </w:p>
        </w:tc>
      </w:tr>
      <w:tr>
        <w:tc>
          <w:tcPr>
            <w:tcW w:type="dxa" w:w="2232"/>
            <w:vAlign w:val="center"/>
          </w:tcPr>
          <w:p>
            <w:r/>
            <w:r>
              <w:rPr>
                <w:rFonts w:ascii="Times New Roman" w:hAnsi="Times New Roman"/>
                <w:b w:val="0"/>
                <w:sz w:val="17"/>
              </w:rPr>
              <w:t>Residual direct PII</w:t>
            </w:r>
          </w:p>
        </w:tc>
        <w:tc>
          <w:tcPr>
            <w:tcW w:type="dxa" w:w="3024"/>
            <w:vAlign w:val="center"/>
          </w:tcPr>
          <w:p>
            <w:r/>
            <w:r>
              <w:rPr>
                <w:rFonts w:ascii="Times New Roman" w:hAnsi="Times New Roman"/>
                <w:b w:val="0"/>
                <w:sz w:val="17"/>
              </w:rPr>
              <w:t>Leakage rate, removal rate</w:t>
            </w:r>
          </w:p>
        </w:tc>
        <w:tc>
          <w:tcPr>
            <w:tcW w:type="dxa" w:w="4680"/>
            <w:vAlign w:val="center"/>
          </w:tcPr>
          <w:p>
            <w:r/>
            <w:r>
              <w:rPr>
                <w:rFonts w:ascii="Times New Roman" w:hAnsi="Times New Roman"/>
                <w:b w:val="0"/>
                <w:sz w:val="17"/>
              </w:rPr>
              <w:t>Against original AI4Privacy ground-truth values/entities</w:t>
            </w:r>
          </w:p>
        </w:tc>
      </w:tr>
      <w:tr>
        <w:tc>
          <w:tcPr>
            <w:tcW w:type="dxa" w:w="2232"/>
            <w:vAlign w:val="center"/>
          </w:tcPr>
          <w:p>
            <w:r/>
            <w:r>
              <w:rPr>
                <w:rFonts w:ascii="Times New Roman" w:hAnsi="Times New Roman"/>
                <w:b w:val="0"/>
                <w:sz w:val="17"/>
              </w:rPr>
              <w:t>Utility</w:t>
            </w:r>
          </w:p>
        </w:tc>
        <w:tc>
          <w:tcPr>
            <w:tcW w:type="dxa" w:w="3024"/>
            <w:vAlign w:val="center"/>
          </w:tcPr>
          <w:p>
            <w:r/>
            <w:r>
              <w:rPr>
                <w:rFonts w:ascii="Times New Roman" w:hAnsi="Times New Roman"/>
                <w:b w:val="0"/>
                <w:sz w:val="17"/>
              </w:rPr>
              <w:t>ROUGE-L, MiniLM cosine, BERTScore, readability</w:t>
            </w:r>
          </w:p>
        </w:tc>
        <w:tc>
          <w:tcPr>
            <w:tcW w:type="dxa" w:w="4680"/>
            <w:vAlign w:val="center"/>
          </w:tcPr>
          <w:p>
            <w:r/>
            <w:r>
              <w:rPr>
                <w:rFonts w:ascii="Times New Roman" w:hAnsi="Times New Roman"/>
                <w:b w:val="0"/>
                <w:sz w:val="17"/>
              </w:rPr>
              <w:t>Original vs anonymized output</w:t>
            </w:r>
          </w:p>
        </w:tc>
      </w:tr>
      <w:tr>
        <w:tc>
          <w:tcPr>
            <w:tcW w:type="dxa" w:w="2232"/>
            <w:vAlign w:val="center"/>
          </w:tcPr>
          <w:p>
            <w:r/>
            <w:r>
              <w:rPr>
                <w:rFonts w:ascii="Times New Roman" w:hAnsi="Times New Roman"/>
                <w:b w:val="0"/>
                <w:sz w:val="17"/>
              </w:rPr>
              <w:t>QI abstraction</w:t>
            </w:r>
          </w:p>
        </w:tc>
        <w:tc>
          <w:tcPr>
            <w:tcW w:type="dxa" w:w="3024"/>
            <w:vAlign w:val="center"/>
          </w:tcPr>
          <w:p>
            <w:r/>
            <w:r>
              <w:rPr>
                <w:rFonts w:ascii="Times New Roman" w:hAnsi="Times New Roman"/>
                <w:b w:val="0"/>
                <w:sz w:val="17"/>
              </w:rPr>
              <w:t>Detected QI count, residual risk, mitigation/exposure rates</w:t>
            </w:r>
          </w:p>
        </w:tc>
        <w:tc>
          <w:tcPr>
            <w:tcW w:type="dxa" w:w="4680"/>
            <w:vAlign w:val="center"/>
          </w:tcPr>
          <w:p>
            <w:r/>
            <w:r>
              <w:rPr>
                <w:rFonts w:ascii="Times New Roman" w:hAnsi="Times New Roman"/>
                <w:b w:val="0"/>
                <w:sz w:val="17"/>
              </w:rPr>
              <w:t>No QI P/R/F1 because no QI ground truth exists</w:t>
            </w:r>
          </w:p>
        </w:tc>
      </w:tr>
      <w:tr>
        <w:tc>
          <w:tcPr>
            <w:tcW w:type="dxa" w:w="2232"/>
            <w:vAlign w:val="center"/>
          </w:tcPr>
          <w:p>
            <w:r/>
            <w:r>
              <w:rPr>
                <w:rFonts w:ascii="Times New Roman" w:hAnsi="Times New Roman"/>
                <w:b w:val="0"/>
                <w:sz w:val="17"/>
              </w:rPr>
              <w:t>Guardrail</w:t>
            </w:r>
          </w:p>
        </w:tc>
        <w:tc>
          <w:tcPr>
            <w:tcW w:type="dxa" w:w="3024"/>
            <w:vAlign w:val="center"/>
          </w:tcPr>
          <w:p>
            <w:r/>
            <w:r>
              <w:rPr>
                <w:rFonts w:ascii="Times New Roman" w:hAnsi="Times New Roman"/>
                <w:b w:val="0"/>
                <w:sz w:val="17"/>
              </w:rPr>
              <w:t>Acceptance, rejection, fallback, score distributions</w:t>
            </w:r>
          </w:p>
        </w:tc>
        <w:tc>
          <w:tcPr>
            <w:tcW w:type="dxa" w:w="4680"/>
            <w:vAlign w:val="center"/>
          </w:tcPr>
          <w:p>
            <w:r/>
            <w:r>
              <w:rPr>
                <w:rFonts w:ascii="Times New Roman" w:hAnsi="Times New Roman"/>
                <w:b w:val="0"/>
                <w:sz w:val="17"/>
              </w:rPr>
              <w:t>Composite vs single cosine ablation</w:t>
            </w:r>
          </w:p>
        </w:tc>
      </w:tr>
      <w:tr>
        <w:tc>
          <w:tcPr>
            <w:tcW w:type="dxa" w:w="2232"/>
            <w:vAlign w:val="center"/>
          </w:tcPr>
          <w:p>
            <w:r/>
            <w:r>
              <w:rPr>
                <w:rFonts w:ascii="Times New Roman" w:hAnsi="Times New Roman"/>
                <w:b w:val="0"/>
                <w:sz w:val="17"/>
              </w:rPr>
              <w:t>Qualitative</w:t>
            </w:r>
          </w:p>
        </w:tc>
        <w:tc>
          <w:tcPr>
            <w:tcW w:type="dxa" w:w="3024"/>
            <w:vAlign w:val="center"/>
          </w:tcPr>
          <w:p>
            <w:r/>
            <w:r>
              <w:rPr>
                <w:rFonts w:ascii="Times New Roman" w:hAnsi="Times New Roman"/>
                <w:b w:val="0"/>
                <w:sz w:val="17"/>
              </w:rPr>
              <w:t>Error/failure analysis</w:t>
            </w:r>
          </w:p>
        </w:tc>
        <w:tc>
          <w:tcPr>
            <w:tcW w:type="dxa" w:w="4680"/>
            <w:vAlign w:val="center"/>
          </w:tcPr>
          <w:p>
            <w:r/>
            <w:r>
              <w:rPr>
                <w:rFonts w:ascii="Times New Roman" w:hAnsi="Times New Roman"/>
                <w:b w:val="0"/>
                <w:sz w:val="17"/>
              </w:rPr>
              <w:t>Under-generalization, over-generalization, semantic drift, QI exposure</w:t>
            </w:r>
          </w:p>
        </w:tc>
      </w:tr>
    </w:tbl>
    <w:p/>
    <w:p>
      <w:pPr>
        <w:pStyle w:val="Heading2"/>
      </w:pPr>
      <w:r>
        <w:t>11.1 Baselines</w:t>
      </w:r>
    </w:p>
    <w:p>
      <w:pPr>
        <w:pStyle w:val="ListBullet"/>
        <w:spacing w:after="60"/>
      </w:pPr>
      <w:r>
        <w:t>Rigid Redaction: detected entities replaced with [REDACTED].</w:t>
      </w:r>
    </w:p>
    <w:p>
      <w:pPr>
        <w:pStyle w:val="ListBullet"/>
        <w:spacing w:after="60"/>
      </w:pPr>
      <w:r>
        <w:t>Microsoft Presidio: privacy-oriented recognizers and anonymization operators.</w:t>
      </w:r>
    </w:p>
    <w:p>
      <w:pPr>
        <w:pStyle w:val="ListBullet"/>
        <w:spacing w:after="60"/>
      </w:pPr>
      <w:r>
        <w:t>Proposed Stage 1: hybrid direct-PII detector with realistic deterministic surrogates.</w:t>
      </w:r>
    </w:p>
    <w:p>
      <w:pPr>
        <w:pStyle w:val="ListBullet"/>
        <w:spacing w:after="60"/>
      </w:pPr>
      <w:r>
        <w:t>Proposed Stage 2: Stage 1 plus contextual QI generalization and three-way guardrail.</w:t>
      </w:r>
    </w:p>
    <w:p>
      <w:pPr>
        <w:pStyle w:val="Heading2"/>
      </w:pPr>
      <w:r>
        <w:t>11.2 Ablation Studies</w:t>
      </w:r>
    </w:p>
    <w:p>
      <w:pPr>
        <w:pStyle w:val="ListBullet"/>
        <w:spacing w:after="60"/>
      </w:pPr>
      <w:r>
        <w:t>Stage 1 only versus Stage 1 + Stage 2.</w:t>
      </w:r>
    </w:p>
    <w:p>
      <w:pPr>
        <w:pStyle w:val="ListBullet"/>
        <w:spacing w:after="60"/>
      </w:pPr>
      <w:r>
        <w:t>Single semantic threshold (cosine ≥ 0.80) versus the three-way composite guardrail.</w:t>
      </w:r>
    </w:p>
    <w:p>
      <w:pPr>
        <w:pStyle w:val="ListBullet"/>
        <w:spacing w:after="60"/>
      </w:pPr>
      <w:r>
        <w:t>SLM modification-list-based QI assessment versus independent deterministic QI assessment, where feasible using cached candidates.</w:t>
      </w:r>
    </w:p>
    <w:p>
      <w:pPr>
        <w:pStyle w:val="ListBullet"/>
        <w:spacing w:after="60"/>
      </w:pPr>
      <w:r>
        <w:t>Threshold/weight sensitivity analysis using a separate development subset where available.</w:t>
      </w:r>
    </w:p>
    <w:p>
      <w:pPr>
        <w:pStyle w:val="Heading1"/>
      </w:pPr>
      <w:r>
        <w:t>12. Feasibility Analysis</w:t>
      </w:r>
    </w:p>
    <w:tbl>
      <w:tblPr>
        <w:tblStyle w:val="TableGrid"/>
        <w:tblW w:type="auto" w:w="0"/>
        <w:jc w:val="center"/>
        <w:tblLook w:firstColumn="1" w:firstRow="1" w:lastColumn="0" w:lastRow="0" w:noHBand="0" w:noVBand="1" w:val="04A0"/>
      </w:tblPr>
      <w:tblGrid>
        <w:gridCol w:w="3312"/>
        <w:gridCol w:w="3312"/>
        <w:gridCol w:w="3312"/>
      </w:tblGrid>
      <w:tr>
        <w:tc>
          <w:tcPr>
            <w:tcW w:type="dxa" w:w="1728"/>
            <w:vAlign w:val="center"/>
            <w:shd w:fill="D9EAF7"/>
          </w:tcPr>
          <w:p>
            <w:r/>
            <w:r>
              <w:rPr>
                <w:rFonts w:ascii="Times New Roman" w:hAnsi="Times New Roman"/>
                <w:b/>
                <w:sz w:val="16"/>
              </w:rPr>
              <w:t>Area</w:t>
            </w:r>
          </w:p>
        </w:tc>
        <w:tc>
          <w:tcPr>
            <w:tcW w:type="dxa" w:w="4320"/>
            <w:vAlign w:val="center"/>
            <w:shd w:fill="D9EAF7"/>
          </w:tcPr>
          <w:p>
            <w:r/>
            <w:r>
              <w:rPr>
                <w:rFonts w:ascii="Times New Roman" w:hAnsi="Times New Roman"/>
                <w:b/>
                <w:sz w:val="16"/>
              </w:rPr>
              <w:t>Available Resource</w:t>
            </w:r>
          </w:p>
        </w:tc>
        <w:tc>
          <w:tcPr>
            <w:tcW w:type="dxa" w:w="3888"/>
            <w:vAlign w:val="center"/>
            <w:shd w:fill="D9EAF7"/>
          </w:tcPr>
          <w:p>
            <w:r/>
            <w:r>
              <w:rPr>
                <w:rFonts w:ascii="Times New Roman" w:hAnsi="Times New Roman"/>
                <w:b/>
                <w:sz w:val="16"/>
              </w:rPr>
              <w:t>Mitigation / Plan</w:t>
            </w:r>
          </w:p>
        </w:tc>
      </w:tr>
      <w:tr>
        <w:tc>
          <w:tcPr>
            <w:tcW w:type="dxa" w:w="1728"/>
            <w:vAlign w:val="center"/>
          </w:tcPr>
          <w:p>
            <w:r/>
            <w:r>
              <w:rPr>
                <w:rFonts w:ascii="Times New Roman" w:hAnsi="Times New Roman"/>
                <w:b w:val="0"/>
                <w:sz w:val="16"/>
              </w:rPr>
              <w:t>Data</w:t>
            </w:r>
          </w:p>
        </w:tc>
        <w:tc>
          <w:tcPr>
            <w:tcW w:type="dxa" w:w="4320"/>
            <w:vAlign w:val="center"/>
          </w:tcPr>
          <w:p>
            <w:r/>
            <w:r>
              <w:rPr>
                <w:rFonts w:ascii="Times New Roman" w:hAnsi="Times New Roman"/>
                <w:b w:val="0"/>
                <w:sz w:val="16"/>
              </w:rPr>
              <w:t>AI4Privacy dataset is publicly accessible for academic use under its stated license.</w:t>
            </w:r>
          </w:p>
        </w:tc>
        <w:tc>
          <w:tcPr>
            <w:tcW w:type="dxa" w:w="3888"/>
            <w:vAlign w:val="center"/>
          </w:tcPr>
          <w:p>
            <w:r/>
            <w:r>
              <w:rPr>
                <w:rFonts w:ascii="Times New Roman" w:hAnsi="Times New Roman"/>
                <w:b w:val="0"/>
                <w:sz w:val="16"/>
              </w:rPr>
              <w:t>Use only permitted academic use; do not redistribute raw dataset.</w:t>
            </w:r>
          </w:p>
        </w:tc>
      </w:tr>
      <w:tr>
        <w:tc>
          <w:tcPr>
            <w:tcW w:type="dxa" w:w="1728"/>
            <w:vAlign w:val="center"/>
          </w:tcPr>
          <w:p>
            <w:r/>
            <w:r>
              <w:rPr>
                <w:rFonts w:ascii="Times New Roman" w:hAnsi="Times New Roman"/>
                <w:b w:val="0"/>
                <w:sz w:val="16"/>
              </w:rPr>
              <w:t>Models</w:t>
            </w:r>
          </w:p>
        </w:tc>
        <w:tc>
          <w:tcPr>
            <w:tcW w:type="dxa" w:w="4320"/>
            <w:vAlign w:val="center"/>
          </w:tcPr>
          <w:p>
            <w:r/>
            <w:r>
              <w:rPr>
                <w:rFonts w:ascii="Times New Roman" w:hAnsi="Times New Roman"/>
                <w:b w:val="0"/>
                <w:sz w:val="16"/>
              </w:rPr>
              <w:t>Stage 1 uses regex + BERT NER; Stage 2 uses local Qwen 2.5 1.5B through Ollama.</w:t>
            </w:r>
          </w:p>
        </w:tc>
        <w:tc>
          <w:tcPr>
            <w:tcW w:type="dxa" w:w="3888"/>
            <w:vAlign w:val="center"/>
          </w:tcPr>
          <w:p>
            <w:r/>
            <w:r>
              <w:rPr>
                <w:rFonts w:ascii="Times New Roman" w:hAnsi="Times New Roman"/>
                <w:b w:val="0"/>
                <w:sz w:val="16"/>
              </w:rPr>
              <w:t>Local inference avoids sending sensitive text to external APIs.</w:t>
            </w:r>
          </w:p>
        </w:tc>
      </w:tr>
      <w:tr>
        <w:tc>
          <w:tcPr>
            <w:tcW w:type="dxa" w:w="1728"/>
            <w:vAlign w:val="center"/>
          </w:tcPr>
          <w:p>
            <w:r/>
            <w:r>
              <w:rPr>
                <w:rFonts w:ascii="Times New Roman" w:hAnsi="Times New Roman"/>
                <w:b w:val="0"/>
                <w:sz w:val="16"/>
              </w:rPr>
              <w:t>Embedding</w:t>
            </w:r>
          </w:p>
        </w:tc>
        <w:tc>
          <w:tcPr>
            <w:tcW w:type="dxa" w:w="4320"/>
            <w:vAlign w:val="center"/>
          </w:tcPr>
          <w:p>
            <w:r/>
            <w:r>
              <w:rPr>
                <w:rFonts w:ascii="Times New Roman" w:hAnsi="Times New Roman"/>
                <w:b w:val="0"/>
                <w:sz w:val="16"/>
              </w:rPr>
              <w:t>SentenceTransformers all-MiniLM-L6-v2.</w:t>
            </w:r>
          </w:p>
        </w:tc>
        <w:tc>
          <w:tcPr>
            <w:tcW w:type="dxa" w:w="3888"/>
            <w:vAlign w:val="center"/>
          </w:tcPr>
          <w:p>
            <w:r/>
            <w:r>
              <w:rPr>
                <w:rFonts w:ascii="Times New Roman" w:hAnsi="Times New Roman"/>
                <w:b w:val="0"/>
                <w:sz w:val="16"/>
              </w:rPr>
              <w:t>Lightweight CPU-compatible semantic evaluation.</w:t>
            </w:r>
          </w:p>
        </w:tc>
      </w:tr>
      <w:tr>
        <w:tc>
          <w:tcPr>
            <w:tcW w:type="dxa" w:w="1728"/>
            <w:vAlign w:val="center"/>
          </w:tcPr>
          <w:p>
            <w:r/>
            <w:r>
              <w:rPr>
                <w:rFonts w:ascii="Times New Roman" w:hAnsi="Times New Roman"/>
                <w:b w:val="0"/>
                <w:sz w:val="16"/>
              </w:rPr>
              <w:t>Hardware</w:t>
            </w:r>
          </w:p>
        </w:tc>
        <w:tc>
          <w:tcPr>
            <w:tcW w:type="dxa" w:w="4320"/>
            <w:vAlign w:val="center"/>
          </w:tcPr>
          <w:p>
            <w:r/>
            <w:r>
              <w:rPr>
                <w:rFonts w:ascii="Times New Roman" w:hAnsi="Times New Roman"/>
                <w:b w:val="0"/>
                <w:sz w:val="16"/>
              </w:rPr>
              <w:t>Development is designed for a consumer laptop with limited GPU capability.</w:t>
            </w:r>
          </w:p>
        </w:tc>
        <w:tc>
          <w:tcPr>
            <w:tcW w:type="dxa" w:w="3888"/>
            <w:vAlign w:val="center"/>
          </w:tcPr>
          <w:p>
            <w:r/>
            <w:r>
              <w:rPr>
                <w:rFonts w:ascii="Times New Roman" w:hAnsi="Times New Roman"/>
                <w:b w:val="0"/>
                <w:sz w:val="16"/>
              </w:rPr>
              <w:t>Use quantized/local SLM; cache inference results; final benchmark limited to 100 documents.</w:t>
            </w:r>
          </w:p>
        </w:tc>
      </w:tr>
      <w:tr>
        <w:tc>
          <w:tcPr>
            <w:tcW w:type="dxa" w:w="1728"/>
            <w:vAlign w:val="center"/>
          </w:tcPr>
          <w:p>
            <w:r/>
            <w:r>
              <w:rPr>
                <w:rFonts w:ascii="Times New Roman" w:hAnsi="Times New Roman"/>
                <w:b w:val="0"/>
                <w:sz w:val="16"/>
              </w:rPr>
              <w:t>Runtime</w:t>
            </w:r>
          </w:p>
        </w:tc>
        <w:tc>
          <w:tcPr>
            <w:tcW w:type="dxa" w:w="4320"/>
            <w:vAlign w:val="center"/>
          </w:tcPr>
          <w:p>
            <w:r/>
            <w:r>
              <w:rPr>
                <w:rFonts w:ascii="Times New Roman" w:hAnsi="Times New Roman"/>
                <w:b w:val="0"/>
                <w:sz w:val="16"/>
              </w:rPr>
              <w:t>Stage 2 is approximately 1 minute/document.</w:t>
            </w:r>
          </w:p>
        </w:tc>
        <w:tc>
          <w:tcPr>
            <w:tcW w:type="dxa" w:w="3888"/>
            <w:vAlign w:val="center"/>
          </w:tcPr>
          <w:p>
            <w:r/>
            <w:r>
              <w:rPr>
                <w:rFonts w:ascii="Times New Roman" w:hAnsi="Times New Roman"/>
                <w:b w:val="0"/>
                <w:sz w:val="16"/>
              </w:rPr>
              <w:t>Use incremental JSON cache and resumable evaluation.</w:t>
            </w:r>
          </w:p>
        </w:tc>
      </w:tr>
      <w:tr>
        <w:tc>
          <w:tcPr>
            <w:tcW w:type="dxa" w:w="1728"/>
            <w:vAlign w:val="center"/>
          </w:tcPr>
          <w:p>
            <w:r/>
            <w:r>
              <w:rPr>
                <w:rFonts w:ascii="Times New Roman" w:hAnsi="Times New Roman"/>
                <w:b w:val="0"/>
                <w:sz w:val="16"/>
              </w:rPr>
              <w:t>Software</w:t>
            </w:r>
          </w:p>
        </w:tc>
        <w:tc>
          <w:tcPr>
            <w:tcW w:type="dxa" w:w="4320"/>
            <w:vAlign w:val="center"/>
          </w:tcPr>
          <w:p>
            <w:r/>
            <w:r>
              <w:rPr>
                <w:rFonts w:ascii="Times New Roman" w:hAnsi="Times New Roman"/>
                <w:b w:val="0"/>
                <w:sz w:val="16"/>
              </w:rPr>
              <w:t>Python, Transformers, SentenceTransformers, Ollama, Faker, Presidio, Streamlit.</w:t>
            </w:r>
          </w:p>
        </w:tc>
        <w:tc>
          <w:tcPr>
            <w:tcW w:type="dxa" w:w="3888"/>
            <w:vAlign w:val="center"/>
          </w:tcPr>
          <w:p>
            <w:r/>
            <w:r>
              <w:rPr>
                <w:rFonts w:ascii="Times New Roman" w:hAnsi="Times New Roman"/>
                <w:b w:val="0"/>
                <w:sz w:val="16"/>
              </w:rPr>
              <w:t>Open-source/local components; pin versions for reproducibility.</w:t>
            </w:r>
          </w:p>
        </w:tc>
      </w:tr>
    </w:tbl>
    <w:p/>
    <w:p>
      <w:pPr>
        <w:pStyle w:val="Heading1"/>
      </w:pPr>
      <w:r>
        <w:t>13. Scope and Boundaries</w:t>
      </w:r>
    </w:p>
    <w:p>
      <w:pPr>
        <w:pStyle w:val="Heading2"/>
      </w:pPr>
      <w:r>
        <w:t>13.1 In Scope</w:t>
      </w:r>
    </w:p>
    <w:p>
      <w:pPr>
        <w:pStyle w:val="ListBullet"/>
        <w:spacing w:after="60"/>
      </w:pPr>
      <w:r>
        <w:t>English unstructured text.</w:t>
      </w:r>
    </w:p>
    <w:p>
      <w:pPr>
        <w:pStyle w:val="ListBullet"/>
        <w:spacing w:after="60"/>
      </w:pPr>
      <w:r>
        <w:t>Direct PII detection and synthetic replacement.</w:t>
      </w:r>
    </w:p>
    <w:p>
      <w:pPr>
        <w:pStyle w:val="ListBullet"/>
        <w:spacing w:after="60"/>
      </w:pPr>
      <w:r>
        <w:t>Contextual QI detection and hierarchical generalization.</w:t>
      </w:r>
    </w:p>
    <w:p>
      <w:pPr>
        <w:pStyle w:val="ListBullet"/>
        <w:spacing w:after="60"/>
      </w:pPr>
      <w:r>
        <w:t>Compound/relational QIs.</w:t>
      </w:r>
    </w:p>
    <w:p>
      <w:pPr>
        <w:pStyle w:val="ListBullet"/>
        <w:spacing w:after="60"/>
      </w:pPr>
      <w:r>
        <w:t>Semantic drift prevention.</w:t>
      </w:r>
    </w:p>
    <w:p>
      <w:pPr>
        <w:pStyle w:val="ListBullet"/>
        <w:spacing w:after="60"/>
      </w:pPr>
      <w:r>
        <w:t>Privacy-utility evaluation.</w:t>
      </w:r>
    </w:p>
    <w:p>
      <w:pPr>
        <w:pStyle w:val="ListBullet"/>
        <w:spacing w:after="60"/>
      </w:pPr>
      <w:r>
        <w:t>Comparison against rigid redaction and Presidio.</w:t>
      </w:r>
    </w:p>
    <w:p>
      <w:pPr>
        <w:pStyle w:val="ListBullet"/>
        <w:spacing w:after="60"/>
      </w:pPr>
      <w:r>
        <w:t>Local SLM deployment and reproducible benchmarking.</w:t>
      </w:r>
    </w:p>
    <w:p>
      <w:pPr>
        <w:pStyle w:val="Heading2"/>
      </w:pPr>
      <w:r>
        <w:t>13.2 Explicitly Out of Scope</w:t>
      </w:r>
    </w:p>
    <w:p>
      <w:pPr>
        <w:pStyle w:val="ListBullet"/>
        <w:spacing w:after="60"/>
      </w:pPr>
      <w:r>
        <w:t>Formal differential privacy guarantees.</w:t>
      </w:r>
    </w:p>
    <w:p>
      <w:pPr>
        <w:pStyle w:val="ListBullet"/>
        <w:spacing w:after="60"/>
      </w:pPr>
      <w:r>
        <w:t>A mathematically proven re-identification probability.</w:t>
      </w:r>
    </w:p>
    <w:p>
      <w:pPr>
        <w:pStyle w:val="ListBullet"/>
        <w:spacing w:after="60"/>
      </w:pPr>
      <w:r>
        <w:t>Guaranteed protection against every possible external linkage attack.</w:t>
      </w:r>
    </w:p>
    <w:p>
      <w:pPr>
        <w:pStyle w:val="ListBullet"/>
        <w:spacing w:after="60"/>
      </w:pPr>
      <w:r>
        <w:t>Training a new large language model from scratch.</w:t>
      </w:r>
    </w:p>
    <w:p>
      <w:pPr>
        <w:pStyle w:val="ListBullet"/>
        <w:spacing w:after="60"/>
      </w:pPr>
      <w:r>
        <w:t>Full multilingual evaluation.</w:t>
      </w:r>
    </w:p>
    <w:p>
      <w:pPr>
        <w:pStyle w:val="ListBullet"/>
        <w:spacing w:after="60"/>
      </w:pPr>
      <w:r>
        <w:t>Medical-data-specific validation using restricted datasets.</w:t>
      </w:r>
    </w:p>
    <w:p>
      <w:pPr>
        <w:pStyle w:val="ListBullet"/>
        <w:spacing w:after="60"/>
      </w:pPr>
      <w:r>
        <w:t>Claiming QI detection Precision/Recall/F1 without manually verified QI ground truth.</w:t>
      </w:r>
    </w:p>
    <w:p>
      <w:pPr>
        <w:pStyle w:val="ListBullet"/>
        <w:spacing w:after="60"/>
      </w:pPr>
      <w:r>
        <w:t>Redistribution of the AI4Privacy dataset.</w:t>
      </w:r>
    </w:p>
    <w:p>
      <w:pPr>
        <w:pStyle w:val="Heading1"/>
      </w:pPr>
      <w:r>
        <w:t>14. Risk Register and Mitigation</w:t>
      </w:r>
    </w:p>
    <w:tbl>
      <w:tblPr>
        <w:tblStyle w:val="TableGrid"/>
        <w:tblW w:type="auto" w:w="0"/>
        <w:jc w:val="center"/>
        <w:tblLook w:firstColumn="1" w:firstRow="1" w:lastColumn="0" w:lastRow="0" w:noHBand="0" w:noVBand="1" w:val="04A0"/>
      </w:tblPr>
      <w:tblGrid>
        <w:gridCol w:w="3312"/>
        <w:gridCol w:w="3312"/>
        <w:gridCol w:w="3312"/>
      </w:tblGrid>
      <w:tr>
        <w:tc>
          <w:tcPr>
            <w:tcW w:type="dxa" w:w="2376"/>
            <w:vAlign w:val="center"/>
            <w:shd w:fill="D9EAF7"/>
          </w:tcPr>
          <w:p>
            <w:r/>
            <w:r>
              <w:rPr>
                <w:rFonts w:ascii="Times New Roman" w:hAnsi="Times New Roman"/>
                <w:b/>
                <w:sz w:val="16"/>
              </w:rPr>
              <w:t>Risk</w:t>
            </w:r>
          </w:p>
        </w:tc>
        <w:tc>
          <w:tcPr>
            <w:tcW w:type="dxa" w:w="3456"/>
            <w:vAlign w:val="center"/>
            <w:shd w:fill="D9EAF7"/>
          </w:tcPr>
          <w:p>
            <w:r/>
            <w:r>
              <w:rPr>
                <w:rFonts w:ascii="Times New Roman" w:hAnsi="Times New Roman"/>
                <w:b/>
                <w:sz w:val="16"/>
              </w:rPr>
              <w:t>Potential Impact</w:t>
            </w:r>
          </w:p>
        </w:tc>
        <w:tc>
          <w:tcPr>
            <w:tcW w:type="dxa" w:w="4104"/>
            <w:vAlign w:val="center"/>
            <w:shd w:fill="D9EAF7"/>
          </w:tcPr>
          <w:p>
            <w:r/>
            <w:r>
              <w:rPr>
                <w:rFonts w:ascii="Times New Roman" w:hAnsi="Times New Roman"/>
                <w:b/>
                <w:sz w:val="16"/>
              </w:rPr>
              <w:t>Mitigation</w:t>
            </w:r>
          </w:p>
        </w:tc>
      </w:tr>
      <w:tr>
        <w:tc>
          <w:tcPr>
            <w:tcW w:type="dxa" w:w="2376"/>
            <w:vAlign w:val="center"/>
          </w:tcPr>
          <w:p>
            <w:r/>
            <w:r>
              <w:rPr>
                <w:rFonts w:ascii="Times New Roman" w:hAnsi="Times New Roman"/>
                <w:b w:val="0"/>
                <w:sz w:val="16"/>
              </w:rPr>
              <w:t>Limited QI-rich examples</w:t>
            </w:r>
          </w:p>
        </w:tc>
        <w:tc>
          <w:tcPr>
            <w:tcW w:type="dxa" w:w="3456"/>
            <w:vAlign w:val="center"/>
          </w:tcPr>
          <w:p>
            <w:r/>
            <w:r>
              <w:rPr>
                <w:rFonts w:ascii="Times New Roman" w:hAnsi="Times New Roman"/>
                <w:b w:val="0"/>
                <w:sz w:val="16"/>
              </w:rPr>
              <w:t>AI4Privacy is primarily a direct-PII dataset.</w:t>
            </w:r>
          </w:p>
        </w:tc>
        <w:tc>
          <w:tcPr>
            <w:tcW w:type="dxa" w:w="4104"/>
            <w:vAlign w:val="center"/>
          </w:tcPr>
          <w:p>
            <w:r/>
            <w:r>
              <w:rPr>
                <w:rFonts w:ascii="Times New Roman" w:hAnsi="Times New Roman"/>
                <w:b w:val="0"/>
                <w:sz w:val="16"/>
              </w:rPr>
              <w:t>Select longer/multi-PII examples; report QI analysis as detected-QI analysis; avoid overclaiming.</w:t>
            </w:r>
          </w:p>
        </w:tc>
      </w:tr>
      <w:tr>
        <w:tc>
          <w:tcPr>
            <w:tcW w:type="dxa" w:w="2376"/>
            <w:vAlign w:val="center"/>
          </w:tcPr>
          <w:p>
            <w:r/>
            <w:r>
              <w:rPr>
                <w:rFonts w:ascii="Times New Roman" w:hAnsi="Times New Roman"/>
                <w:b w:val="0"/>
                <w:sz w:val="16"/>
              </w:rPr>
              <w:t>SLM inference latency</w:t>
            </w:r>
          </w:p>
        </w:tc>
        <w:tc>
          <w:tcPr>
            <w:tcW w:type="dxa" w:w="3456"/>
            <w:vAlign w:val="center"/>
          </w:tcPr>
          <w:p>
            <w:r/>
            <w:r>
              <w:rPr>
                <w:rFonts w:ascii="Times New Roman" w:hAnsi="Times New Roman"/>
                <w:b w:val="0"/>
                <w:sz w:val="16"/>
              </w:rPr>
              <w:t>~1 min/document on laptop.</w:t>
            </w:r>
          </w:p>
        </w:tc>
        <w:tc>
          <w:tcPr>
            <w:tcW w:type="dxa" w:w="4104"/>
            <w:vAlign w:val="center"/>
          </w:tcPr>
          <w:p>
            <w:r/>
            <w:r>
              <w:rPr>
                <w:rFonts w:ascii="Times New Roman" w:hAnsi="Times New Roman"/>
                <w:b w:val="0"/>
                <w:sz w:val="16"/>
              </w:rPr>
              <w:t>Quantized local model, 100-document final benchmark, caching/resume.</w:t>
            </w:r>
          </w:p>
        </w:tc>
      </w:tr>
      <w:tr>
        <w:tc>
          <w:tcPr>
            <w:tcW w:type="dxa" w:w="2376"/>
            <w:vAlign w:val="center"/>
          </w:tcPr>
          <w:p>
            <w:r/>
            <w:r>
              <w:rPr>
                <w:rFonts w:ascii="Times New Roman" w:hAnsi="Times New Roman"/>
                <w:b w:val="0"/>
                <w:sz w:val="16"/>
              </w:rPr>
              <w:t>SLM hallucination / semantic drift</w:t>
            </w:r>
          </w:p>
        </w:tc>
        <w:tc>
          <w:tcPr>
            <w:tcW w:type="dxa" w:w="3456"/>
            <w:vAlign w:val="center"/>
          </w:tcPr>
          <w:p>
            <w:r/>
            <w:r>
              <w:rPr>
                <w:rFonts w:ascii="Times New Roman" w:hAnsi="Times New Roman"/>
                <w:b w:val="0"/>
                <w:sz w:val="16"/>
              </w:rPr>
              <w:t>Generated rewrite may alter meaning.</w:t>
            </w:r>
          </w:p>
        </w:tc>
        <w:tc>
          <w:tcPr>
            <w:tcW w:type="dxa" w:w="4104"/>
            <w:vAlign w:val="center"/>
          </w:tcPr>
          <w:p>
            <w:r/>
            <w:r>
              <w:rPr>
                <w:rFonts w:ascii="Times New Roman" w:hAnsi="Times New Roman"/>
                <w:b w:val="0"/>
                <w:sz w:val="16"/>
              </w:rPr>
              <w:t>Semantic similarity floor + readability score + Stage 1 fallback.</w:t>
            </w:r>
          </w:p>
        </w:tc>
      </w:tr>
      <w:tr>
        <w:tc>
          <w:tcPr>
            <w:tcW w:type="dxa" w:w="2376"/>
            <w:vAlign w:val="center"/>
          </w:tcPr>
          <w:p>
            <w:r/>
            <w:r>
              <w:rPr>
                <w:rFonts w:ascii="Times New Roman" w:hAnsi="Times New Roman"/>
                <w:b w:val="0"/>
                <w:sz w:val="16"/>
              </w:rPr>
              <w:t>Residual QI exposure</w:t>
            </w:r>
          </w:p>
        </w:tc>
        <w:tc>
          <w:tcPr>
            <w:tcW w:type="dxa" w:w="3456"/>
            <w:vAlign w:val="center"/>
          </w:tcPr>
          <w:p>
            <w:r/>
            <w:r>
              <w:rPr>
                <w:rFonts w:ascii="Times New Roman" w:hAnsi="Times New Roman"/>
                <w:b w:val="0"/>
                <w:sz w:val="16"/>
              </w:rPr>
              <w:t>SLM may preserve identifying detail.</w:t>
            </w:r>
          </w:p>
        </w:tc>
        <w:tc>
          <w:tcPr>
            <w:tcW w:type="dxa" w:w="4104"/>
            <w:vAlign w:val="center"/>
          </w:tcPr>
          <w:p>
            <w:r/>
            <w:r>
              <w:rPr>
                <w:rFonts w:ascii="Times New Roman" w:hAnsi="Times New Roman"/>
                <w:b w:val="0"/>
                <w:sz w:val="16"/>
              </w:rPr>
              <w:t>Independent QI detector + residual-risk score + QI safety floor.</w:t>
            </w:r>
          </w:p>
        </w:tc>
      </w:tr>
      <w:tr>
        <w:tc>
          <w:tcPr>
            <w:tcW w:type="dxa" w:w="2376"/>
            <w:vAlign w:val="center"/>
          </w:tcPr>
          <w:p>
            <w:r/>
            <w:r>
              <w:rPr>
                <w:rFonts w:ascii="Times New Roman" w:hAnsi="Times New Roman"/>
                <w:b w:val="0"/>
                <w:sz w:val="16"/>
              </w:rPr>
              <w:t>Over-generalization</w:t>
            </w:r>
          </w:p>
        </w:tc>
        <w:tc>
          <w:tcPr>
            <w:tcW w:type="dxa" w:w="3456"/>
            <w:vAlign w:val="center"/>
          </w:tcPr>
          <w:p>
            <w:r/>
            <w:r>
              <w:rPr>
                <w:rFonts w:ascii="Times New Roman" w:hAnsi="Times New Roman"/>
                <w:b w:val="0"/>
                <w:sz w:val="16"/>
              </w:rPr>
              <w:t>Useful details may be unnecessarily removed.</w:t>
            </w:r>
          </w:p>
        </w:tc>
        <w:tc>
          <w:tcPr>
            <w:tcW w:type="dxa" w:w="4104"/>
            <w:vAlign w:val="center"/>
          </w:tcPr>
          <w:p>
            <w:r/>
            <w:r>
              <w:rPr>
                <w:rFonts w:ascii="Times New Roman" w:hAnsi="Times New Roman"/>
                <w:b w:val="0"/>
                <w:sz w:val="16"/>
              </w:rPr>
              <w:t>Composite utility score and error analysis.</w:t>
            </w:r>
          </w:p>
        </w:tc>
      </w:tr>
      <w:tr>
        <w:tc>
          <w:tcPr>
            <w:tcW w:type="dxa" w:w="2376"/>
            <w:vAlign w:val="center"/>
          </w:tcPr>
          <w:p>
            <w:r/>
            <w:r>
              <w:rPr>
                <w:rFonts w:ascii="Times New Roman" w:hAnsi="Times New Roman"/>
                <w:b w:val="0"/>
                <w:sz w:val="16"/>
              </w:rPr>
              <w:t>Threshold sensitivity</w:t>
            </w:r>
          </w:p>
        </w:tc>
        <w:tc>
          <w:tcPr>
            <w:tcW w:type="dxa" w:w="3456"/>
            <w:vAlign w:val="center"/>
          </w:tcPr>
          <w:p>
            <w:r/>
            <w:r>
              <w:rPr>
                <w:rFonts w:ascii="Times New Roman" w:hAnsi="Times New Roman"/>
                <w:b w:val="0"/>
                <w:sz w:val="16"/>
              </w:rPr>
              <w:t>Provisional thresholds may not generalize.</w:t>
            </w:r>
          </w:p>
        </w:tc>
        <w:tc>
          <w:tcPr>
            <w:tcW w:type="dxa" w:w="4104"/>
            <w:vAlign w:val="center"/>
          </w:tcPr>
          <w:p>
            <w:r/>
            <w:r>
              <w:rPr>
                <w:rFonts w:ascii="Times New Roman" w:hAnsi="Times New Roman"/>
                <w:b w:val="0"/>
                <w:sz w:val="16"/>
              </w:rPr>
              <w:t>Development-set tuning and ablation/sensitivity analysis.</w:t>
            </w:r>
          </w:p>
        </w:tc>
      </w:tr>
      <w:tr>
        <w:tc>
          <w:tcPr>
            <w:tcW w:type="dxa" w:w="2376"/>
            <w:vAlign w:val="center"/>
          </w:tcPr>
          <w:p>
            <w:r/>
            <w:r>
              <w:rPr>
                <w:rFonts w:ascii="Times New Roman" w:hAnsi="Times New Roman"/>
                <w:b w:val="0"/>
                <w:sz w:val="16"/>
              </w:rPr>
              <w:t>Dataset licensing</w:t>
            </w:r>
          </w:p>
        </w:tc>
        <w:tc>
          <w:tcPr>
            <w:tcW w:type="dxa" w:w="3456"/>
            <w:vAlign w:val="center"/>
          </w:tcPr>
          <w:p>
            <w:r/>
            <w:r>
              <w:rPr>
                <w:rFonts w:ascii="Times New Roman" w:hAnsi="Times New Roman"/>
                <w:b w:val="0"/>
                <w:sz w:val="16"/>
              </w:rPr>
              <w:t>Academic/non-commercial restrictions.</w:t>
            </w:r>
          </w:p>
        </w:tc>
        <w:tc>
          <w:tcPr>
            <w:tcW w:type="dxa" w:w="4104"/>
            <w:vAlign w:val="center"/>
          </w:tcPr>
          <w:p>
            <w:r/>
            <w:r>
              <w:rPr>
                <w:rFonts w:ascii="Times New Roman" w:hAnsi="Times New Roman"/>
                <w:b w:val="0"/>
                <w:sz w:val="16"/>
              </w:rPr>
              <w:t>Acknowledge dataset; do not redistribute raw data or unlicensed derivatives.</w:t>
            </w:r>
          </w:p>
        </w:tc>
      </w:tr>
      <w:tr>
        <w:tc>
          <w:tcPr>
            <w:tcW w:type="dxa" w:w="2376"/>
            <w:vAlign w:val="center"/>
          </w:tcPr>
          <w:p>
            <w:r/>
            <w:r>
              <w:rPr>
                <w:rFonts w:ascii="Times New Roman" w:hAnsi="Times New Roman"/>
                <w:b w:val="0"/>
                <w:sz w:val="16"/>
              </w:rPr>
              <w:t>False confidence from QI score</w:t>
            </w:r>
          </w:p>
        </w:tc>
        <w:tc>
          <w:tcPr>
            <w:tcW w:type="dxa" w:w="3456"/>
            <w:vAlign w:val="center"/>
          </w:tcPr>
          <w:p>
            <w:r/>
            <w:r>
              <w:rPr>
                <w:rFonts w:ascii="Times New Roman" w:hAnsi="Times New Roman"/>
                <w:b w:val="0"/>
                <w:sz w:val="16"/>
              </w:rPr>
              <w:t>Score is not formal privacy proof.</w:t>
            </w:r>
          </w:p>
        </w:tc>
        <w:tc>
          <w:tcPr>
            <w:tcW w:type="dxa" w:w="4104"/>
            <w:vAlign w:val="center"/>
          </w:tcPr>
          <w:p>
            <w:r/>
            <w:r>
              <w:rPr>
                <w:rFonts w:ascii="Times New Roman" w:hAnsi="Times New Roman"/>
                <w:b w:val="0"/>
                <w:sz w:val="16"/>
              </w:rPr>
              <w:t>Explicit limitation and, if feasible later, empirical linkage testing.</w:t>
            </w:r>
          </w:p>
        </w:tc>
      </w:tr>
    </w:tbl>
    <w:p/>
    <w:p>
      <w:pPr>
        <w:pStyle w:val="Heading1"/>
      </w:pPr>
      <w:r>
        <w:t>15. Ethical, Legal, and Privacy Considerations</w:t>
      </w:r>
    </w:p>
    <w:p>
      <w:pPr>
        <w:pStyle w:val="ListBullet"/>
        <w:spacing w:after="60"/>
      </w:pPr>
      <w:r>
        <w:t>The project concerns privacy-sensitive text and therefore treats privacy leakage as a primary safety concern.</w:t>
      </w:r>
    </w:p>
    <w:p>
      <w:pPr>
        <w:pStyle w:val="ListBullet"/>
        <w:spacing w:after="60"/>
      </w:pPr>
      <w:r>
        <w:t>The selected AI4Privacy dataset is synthetic according to its dataset documentation, reducing exposure to real individuals during experimentation.</w:t>
      </w:r>
    </w:p>
    <w:p>
      <w:pPr>
        <w:pStyle w:val="ListBullet"/>
        <w:spacing w:after="60"/>
      </w:pPr>
      <w:r>
        <w:t>The dataset license requires academic/non-commercial use and acknowledgment; these conditions will be followed.</w:t>
      </w:r>
    </w:p>
    <w:p>
      <w:pPr>
        <w:pStyle w:val="ListBullet"/>
        <w:spacing w:after="60"/>
      </w:pPr>
      <w:r>
        <w:t>The system will not transmit document contents to external commercial APIs; Stage 2 inference is designed to run locally through Ollama.</w:t>
      </w:r>
    </w:p>
    <w:p>
      <w:pPr>
        <w:pStyle w:val="ListBullet"/>
        <w:spacing w:after="60"/>
      </w:pPr>
      <w:r>
        <w:t>The project will not claim that anonymization makes data absolutely anonymous.</w:t>
      </w:r>
    </w:p>
    <w:p>
      <w:pPr>
        <w:pStyle w:val="ListBullet"/>
        <w:spacing w:after="60"/>
      </w:pPr>
      <w:r>
        <w:t>Any future re-identification experiment, if performed, will use controlled synthetic/authorized data and will be designed solely to measure system robustness.</w:t>
      </w:r>
    </w:p>
    <w:p>
      <w:r>
        <w:t>Ethical/legal status: no real patient or employee records are planned for the primary experiments. The main compliance requirement is adherence to the AI4Privacy dataset license and responsible handling of derived evaluation artifacts.</w:t>
      </w:r>
    </w:p>
    <w:p>
      <w:pPr>
        <w:pStyle w:val="Heading1"/>
      </w:pPr>
      <w:r>
        <w:t>16. Tentative Timeline / Gantt Plan</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3816"/>
            <w:vAlign w:val="center"/>
            <w:shd w:fill="D9EAF7"/>
          </w:tcPr>
          <w:p>
            <w:r/>
            <w:r>
              <w:rPr>
                <w:rFonts w:ascii="Times New Roman" w:hAnsi="Times New Roman"/>
                <w:b/>
                <w:sz w:val="15"/>
              </w:rPr>
              <w:t>Activity</w:t>
            </w:r>
          </w:p>
        </w:tc>
        <w:tc>
          <w:tcPr>
            <w:tcW w:type="dxa" w:w="1440"/>
            <w:vAlign w:val="center"/>
            <w:shd w:fill="D9EAF7"/>
          </w:tcPr>
          <w:p>
            <w:r/>
            <w:r>
              <w:rPr>
                <w:rFonts w:ascii="Times New Roman" w:hAnsi="Times New Roman"/>
                <w:b/>
                <w:sz w:val="15"/>
              </w:rPr>
              <w:t>Time</w:t>
            </w:r>
          </w:p>
        </w:tc>
        <w:tc>
          <w:tcPr>
            <w:tcW w:type="dxa" w:w="1080"/>
            <w:vAlign w:val="center"/>
            <w:shd w:fill="D9EAF7"/>
          </w:tcPr>
          <w:p>
            <w:r/>
            <w:r>
              <w:rPr>
                <w:rFonts w:ascii="Times New Roman" w:hAnsi="Times New Roman"/>
                <w:b/>
                <w:sz w:val="15"/>
              </w:rPr>
              <w:t>Review 0</w:t>
            </w:r>
          </w:p>
        </w:tc>
        <w:tc>
          <w:tcPr>
            <w:tcW w:type="dxa" w:w="1080"/>
            <w:vAlign w:val="center"/>
            <w:shd w:fill="D9EAF7"/>
          </w:tcPr>
          <w:p>
            <w:r/>
            <w:r>
              <w:rPr>
                <w:rFonts w:ascii="Times New Roman" w:hAnsi="Times New Roman"/>
                <w:b/>
                <w:sz w:val="15"/>
              </w:rPr>
              <w:t>Review 1</w:t>
            </w:r>
          </w:p>
        </w:tc>
        <w:tc>
          <w:tcPr>
            <w:tcW w:type="dxa" w:w="1080"/>
            <w:vAlign w:val="center"/>
            <w:shd w:fill="D9EAF7"/>
          </w:tcPr>
          <w:p>
            <w:r/>
            <w:r>
              <w:rPr>
                <w:rFonts w:ascii="Times New Roman" w:hAnsi="Times New Roman"/>
                <w:b/>
                <w:sz w:val="15"/>
              </w:rPr>
              <w:t>Review 2</w:t>
            </w:r>
          </w:p>
        </w:tc>
        <w:tc>
          <w:tcPr>
            <w:tcW w:type="dxa" w:w="1080"/>
            <w:vAlign w:val="center"/>
            <w:shd w:fill="D9EAF7"/>
          </w:tcPr>
          <w:p>
            <w:r/>
            <w:r>
              <w:rPr>
                <w:rFonts w:ascii="Times New Roman" w:hAnsi="Times New Roman"/>
                <w:b/>
                <w:sz w:val="15"/>
              </w:rPr>
              <w:t>Final</w:t>
            </w:r>
          </w:p>
        </w:tc>
      </w:tr>
      <w:tr>
        <w:tc>
          <w:tcPr>
            <w:tcW w:type="dxa" w:w="3816"/>
            <w:vAlign w:val="center"/>
          </w:tcPr>
          <w:p>
            <w:r/>
            <w:r>
              <w:rPr>
                <w:rFonts w:ascii="Times New Roman" w:hAnsi="Times New Roman"/>
                <w:b w:val="0"/>
                <w:sz w:val="15"/>
              </w:rPr>
              <w:t>Topic finalization + literature survey</w:t>
            </w:r>
          </w:p>
        </w:tc>
        <w:tc>
          <w:tcPr>
            <w:tcW w:type="dxa" w:w="1440"/>
            <w:vAlign w:val="center"/>
          </w:tcPr>
          <w:p>
            <w:r/>
            <w:r>
              <w:rPr>
                <w:rFonts w:ascii="Times New Roman" w:hAnsi="Times New Roman"/>
                <w:b w:val="0"/>
                <w:sz w:val="15"/>
              </w:rPr>
              <w:t>Weeks 1–2</w:t>
            </w:r>
          </w:p>
        </w:tc>
        <w:tc>
          <w:tcPr>
            <w:tcW w:type="dxa" w:w="1080"/>
            <w:vAlign w:val="center"/>
          </w:tcPr>
          <w:p>
            <w:r/>
            <w:r>
              <w:rPr>
                <w:rFonts w:ascii="Times New Roman" w:hAnsi="Times New Roman"/>
                <w:b w:val="0"/>
                <w:sz w:val="15"/>
              </w:rPr>
              <w:t>●</w:t>
            </w:r>
          </w:p>
        </w:tc>
        <w:tc>
          <w:tcPr>
            <w:tcW w:type="dxa" w:w="1080"/>
            <w:vAlign w:val="center"/>
          </w:tcPr>
          <w:p>
            <w:r/>
            <w:r>
              <w:rPr>
                <w:rFonts w:ascii="Times New Roman" w:hAnsi="Times New Roman"/>
                <w:b w:val="0"/>
                <w:sz w:val="15"/>
              </w:rPr>
              <w:t>●</w:t>
            </w:r>
          </w:p>
        </w:tc>
        <w:tc>
          <w:tcPr>
            <w:tcW w:type="dxa" w:w="1080"/>
            <w:vAlign w:val="center"/>
          </w:tcPr>
          <w:p>
            <w:r/>
            <w:r>
              <w:rPr>
                <w:rFonts w:ascii="Times New Roman" w:hAnsi="Times New Roman"/>
                <w:b w:val="0"/>
                <w:sz w:val="15"/>
              </w:rPr>
            </w:r>
          </w:p>
        </w:tc>
        <w:tc>
          <w:tcPr>
            <w:tcW w:type="dxa" w:w="1080"/>
            <w:vAlign w:val="center"/>
          </w:tcPr>
          <w:p>
            <w:r/>
            <w:r>
              <w:rPr>
                <w:rFonts w:ascii="Times New Roman" w:hAnsi="Times New Roman"/>
                <w:b w:val="0"/>
                <w:sz w:val="15"/>
              </w:rPr>
            </w:r>
          </w:p>
        </w:tc>
      </w:tr>
      <w:tr>
        <w:tc>
          <w:tcPr>
            <w:tcW w:type="dxa" w:w="3816"/>
            <w:vAlign w:val="center"/>
          </w:tcPr>
          <w:p>
            <w:r/>
            <w:r>
              <w:rPr>
                <w:rFonts w:ascii="Times New Roman" w:hAnsi="Times New Roman"/>
                <w:b w:val="0"/>
                <w:sz w:val="15"/>
              </w:rPr>
              <w:t>Review 0 submission / approval</w:t>
            </w:r>
          </w:p>
        </w:tc>
        <w:tc>
          <w:tcPr>
            <w:tcW w:type="dxa" w:w="1440"/>
            <w:vAlign w:val="center"/>
          </w:tcPr>
          <w:p>
            <w:r/>
            <w:r>
              <w:rPr>
                <w:rFonts w:ascii="Times New Roman" w:hAnsi="Times New Roman"/>
                <w:b w:val="0"/>
                <w:sz w:val="15"/>
              </w:rPr>
              <w:t>Week 2</w:t>
            </w:r>
          </w:p>
        </w:tc>
        <w:tc>
          <w:tcPr>
            <w:tcW w:type="dxa" w:w="1080"/>
            <w:vAlign w:val="center"/>
          </w:tcPr>
          <w:p>
            <w:r/>
            <w:r>
              <w:rPr>
                <w:rFonts w:ascii="Times New Roman" w:hAnsi="Times New Roman"/>
                <w:b w:val="0"/>
                <w:sz w:val="15"/>
              </w:rPr>
              <w:t>●</w:t>
            </w:r>
          </w:p>
        </w:tc>
        <w:tc>
          <w:tcPr>
            <w:tcW w:type="dxa" w:w="1080"/>
            <w:vAlign w:val="center"/>
          </w:tcPr>
          <w:p>
            <w:r/>
            <w:r>
              <w:rPr>
                <w:rFonts w:ascii="Times New Roman" w:hAnsi="Times New Roman"/>
                <w:b w:val="0"/>
                <w:sz w:val="15"/>
              </w:rPr>
            </w:r>
          </w:p>
        </w:tc>
        <w:tc>
          <w:tcPr>
            <w:tcW w:type="dxa" w:w="1080"/>
            <w:vAlign w:val="center"/>
          </w:tcPr>
          <w:p>
            <w:r/>
            <w:r>
              <w:rPr>
                <w:rFonts w:ascii="Times New Roman" w:hAnsi="Times New Roman"/>
                <w:b w:val="0"/>
                <w:sz w:val="15"/>
              </w:rPr>
            </w:r>
          </w:p>
        </w:tc>
        <w:tc>
          <w:tcPr>
            <w:tcW w:type="dxa" w:w="1080"/>
            <w:vAlign w:val="center"/>
          </w:tcPr>
          <w:p>
            <w:r/>
            <w:r>
              <w:rPr>
                <w:rFonts w:ascii="Times New Roman" w:hAnsi="Times New Roman"/>
                <w:b w:val="0"/>
                <w:sz w:val="15"/>
              </w:rPr>
            </w:r>
          </w:p>
        </w:tc>
      </w:tr>
      <w:tr>
        <w:tc>
          <w:tcPr>
            <w:tcW w:type="dxa" w:w="3816"/>
            <w:vAlign w:val="center"/>
          </w:tcPr>
          <w:p>
            <w:r/>
            <w:r>
              <w:rPr>
                <w:rFonts w:ascii="Times New Roman" w:hAnsi="Times New Roman"/>
                <w:b w:val="0"/>
                <w:sz w:val="15"/>
              </w:rPr>
              <w:t>Detailed methodology + architecture lock</w:t>
            </w:r>
          </w:p>
        </w:tc>
        <w:tc>
          <w:tcPr>
            <w:tcW w:type="dxa" w:w="1440"/>
            <w:vAlign w:val="center"/>
          </w:tcPr>
          <w:p>
            <w:r/>
            <w:r>
              <w:rPr>
                <w:rFonts w:ascii="Times New Roman" w:hAnsi="Times New Roman"/>
                <w:b w:val="0"/>
                <w:sz w:val="15"/>
              </w:rPr>
              <w:t>Weeks 3–5</w:t>
            </w:r>
          </w:p>
        </w:tc>
        <w:tc>
          <w:tcPr>
            <w:tcW w:type="dxa" w:w="1080"/>
            <w:vAlign w:val="center"/>
          </w:tcPr>
          <w:p>
            <w:r/>
            <w:r>
              <w:rPr>
                <w:rFonts w:ascii="Times New Roman" w:hAnsi="Times New Roman"/>
                <w:b w:val="0"/>
                <w:sz w:val="15"/>
              </w:rPr>
            </w:r>
          </w:p>
        </w:tc>
        <w:tc>
          <w:tcPr>
            <w:tcW w:type="dxa" w:w="1080"/>
            <w:vAlign w:val="center"/>
          </w:tcPr>
          <w:p>
            <w:r/>
            <w:r>
              <w:rPr>
                <w:rFonts w:ascii="Times New Roman" w:hAnsi="Times New Roman"/>
                <w:b w:val="0"/>
                <w:sz w:val="15"/>
              </w:rPr>
              <w:t>●</w:t>
            </w:r>
          </w:p>
        </w:tc>
        <w:tc>
          <w:tcPr>
            <w:tcW w:type="dxa" w:w="1080"/>
            <w:vAlign w:val="center"/>
          </w:tcPr>
          <w:p>
            <w:r/>
            <w:r>
              <w:rPr>
                <w:rFonts w:ascii="Times New Roman" w:hAnsi="Times New Roman"/>
                <w:b w:val="0"/>
                <w:sz w:val="15"/>
              </w:rPr>
              <w:t>●</w:t>
            </w:r>
          </w:p>
        </w:tc>
        <w:tc>
          <w:tcPr>
            <w:tcW w:type="dxa" w:w="1080"/>
            <w:vAlign w:val="center"/>
          </w:tcPr>
          <w:p>
            <w:r/>
            <w:r>
              <w:rPr>
                <w:rFonts w:ascii="Times New Roman" w:hAnsi="Times New Roman"/>
                <w:b w:val="0"/>
                <w:sz w:val="15"/>
              </w:rPr>
            </w:r>
          </w:p>
        </w:tc>
      </w:tr>
      <w:tr>
        <w:tc>
          <w:tcPr>
            <w:tcW w:type="dxa" w:w="3816"/>
            <w:vAlign w:val="center"/>
          </w:tcPr>
          <w:p>
            <w:r/>
            <w:r>
              <w:rPr>
                <w:rFonts w:ascii="Times New Roman" w:hAnsi="Times New Roman"/>
                <w:b w:val="0"/>
                <w:sz w:val="15"/>
              </w:rPr>
              <w:t>Stage 1 implementation + testing</w:t>
            </w:r>
          </w:p>
        </w:tc>
        <w:tc>
          <w:tcPr>
            <w:tcW w:type="dxa" w:w="1440"/>
            <w:vAlign w:val="center"/>
          </w:tcPr>
          <w:p>
            <w:r/>
            <w:r>
              <w:rPr>
                <w:rFonts w:ascii="Times New Roman" w:hAnsi="Times New Roman"/>
                <w:b w:val="0"/>
                <w:sz w:val="15"/>
              </w:rPr>
              <w:t>Weeks 4–7</w:t>
            </w:r>
          </w:p>
        </w:tc>
        <w:tc>
          <w:tcPr>
            <w:tcW w:type="dxa" w:w="1080"/>
            <w:vAlign w:val="center"/>
          </w:tcPr>
          <w:p>
            <w:r/>
            <w:r>
              <w:rPr>
                <w:rFonts w:ascii="Times New Roman" w:hAnsi="Times New Roman"/>
                <w:b w:val="0"/>
                <w:sz w:val="15"/>
              </w:rPr>
            </w:r>
          </w:p>
        </w:tc>
        <w:tc>
          <w:tcPr>
            <w:tcW w:type="dxa" w:w="1080"/>
            <w:vAlign w:val="center"/>
          </w:tcPr>
          <w:p>
            <w:r/>
            <w:r>
              <w:rPr>
                <w:rFonts w:ascii="Times New Roman" w:hAnsi="Times New Roman"/>
                <w:b w:val="0"/>
                <w:sz w:val="15"/>
              </w:rPr>
              <w:t>●</w:t>
            </w:r>
          </w:p>
        </w:tc>
        <w:tc>
          <w:tcPr>
            <w:tcW w:type="dxa" w:w="1080"/>
            <w:vAlign w:val="center"/>
          </w:tcPr>
          <w:p>
            <w:r/>
            <w:r>
              <w:rPr>
                <w:rFonts w:ascii="Times New Roman" w:hAnsi="Times New Roman"/>
                <w:b w:val="0"/>
                <w:sz w:val="15"/>
              </w:rPr>
              <w:t>●</w:t>
            </w:r>
          </w:p>
        </w:tc>
        <w:tc>
          <w:tcPr>
            <w:tcW w:type="dxa" w:w="1080"/>
            <w:vAlign w:val="center"/>
          </w:tcPr>
          <w:p>
            <w:r/>
            <w:r>
              <w:rPr>
                <w:rFonts w:ascii="Times New Roman" w:hAnsi="Times New Roman"/>
                <w:b w:val="0"/>
                <w:sz w:val="15"/>
              </w:rPr>
            </w:r>
          </w:p>
        </w:tc>
      </w:tr>
      <w:tr>
        <w:tc>
          <w:tcPr>
            <w:tcW w:type="dxa" w:w="3816"/>
            <w:vAlign w:val="center"/>
          </w:tcPr>
          <w:p>
            <w:r/>
            <w:r>
              <w:rPr>
                <w:rFonts w:ascii="Times New Roman" w:hAnsi="Times New Roman"/>
                <w:b w:val="0"/>
                <w:sz w:val="15"/>
              </w:rPr>
              <w:t>Stage 2 + QI detector + guardrail</w:t>
            </w:r>
          </w:p>
        </w:tc>
        <w:tc>
          <w:tcPr>
            <w:tcW w:type="dxa" w:w="1440"/>
            <w:vAlign w:val="center"/>
          </w:tcPr>
          <w:p>
            <w:r/>
            <w:r>
              <w:rPr>
                <w:rFonts w:ascii="Times New Roman" w:hAnsi="Times New Roman"/>
                <w:b w:val="0"/>
                <w:sz w:val="15"/>
              </w:rPr>
              <w:t>Weeks 6–10</w:t>
            </w:r>
          </w:p>
        </w:tc>
        <w:tc>
          <w:tcPr>
            <w:tcW w:type="dxa" w:w="1080"/>
            <w:vAlign w:val="center"/>
          </w:tcPr>
          <w:p>
            <w:r/>
            <w:r>
              <w:rPr>
                <w:rFonts w:ascii="Times New Roman" w:hAnsi="Times New Roman"/>
                <w:b w:val="0"/>
                <w:sz w:val="15"/>
              </w:rPr>
            </w:r>
          </w:p>
        </w:tc>
        <w:tc>
          <w:tcPr>
            <w:tcW w:type="dxa" w:w="1080"/>
            <w:vAlign w:val="center"/>
          </w:tcPr>
          <w:p>
            <w:r/>
            <w:r>
              <w:rPr>
                <w:rFonts w:ascii="Times New Roman" w:hAnsi="Times New Roman"/>
                <w:b w:val="0"/>
                <w:sz w:val="15"/>
              </w:rPr>
              <w:t>●</w:t>
            </w:r>
          </w:p>
        </w:tc>
        <w:tc>
          <w:tcPr>
            <w:tcW w:type="dxa" w:w="1080"/>
            <w:vAlign w:val="center"/>
          </w:tcPr>
          <w:p>
            <w:r/>
            <w:r>
              <w:rPr>
                <w:rFonts w:ascii="Times New Roman" w:hAnsi="Times New Roman"/>
                <w:b w:val="0"/>
                <w:sz w:val="15"/>
              </w:rPr>
              <w:t>●</w:t>
            </w:r>
          </w:p>
        </w:tc>
        <w:tc>
          <w:tcPr>
            <w:tcW w:type="dxa" w:w="1080"/>
            <w:vAlign w:val="center"/>
          </w:tcPr>
          <w:p>
            <w:r/>
            <w:r>
              <w:rPr>
                <w:rFonts w:ascii="Times New Roman" w:hAnsi="Times New Roman"/>
                <w:b w:val="0"/>
                <w:sz w:val="15"/>
              </w:rPr>
            </w:r>
          </w:p>
        </w:tc>
      </w:tr>
      <w:tr>
        <w:tc>
          <w:tcPr>
            <w:tcW w:type="dxa" w:w="3816"/>
            <w:vAlign w:val="center"/>
          </w:tcPr>
          <w:p>
            <w:r/>
            <w:r>
              <w:rPr>
                <w:rFonts w:ascii="Times New Roman" w:hAnsi="Times New Roman"/>
                <w:b w:val="0"/>
                <w:sz w:val="15"/>
              </w:rPr>
              <w:t>Review 1</w:t>
            </w:r>
          </w:p>
        </w:tc>
        <w:tc>
          <w:tcPr>
            <w:tcW w:type="dxa" w:w="1440"/>
            <w:vAlign w:val="center"/>
          </w:tcPr>
          <w:p>
            <w:r/>
            <w:r>
              <w:rPr>
                <w:rFonts w:ascii="Times New Roman" w:hAnsi="Times New Roman"/>
                <w:b w:val="0"/>
                <w:sz w:val="15"/>
              </w:rPr>
              <w:t>Week 10</w:t>
            </w:r>
          </w:p>
        </w:tc>
        <w:tc>
          <w:tcPr>
            <w:tcW w:type="dxa" w:w="1080"/>
            <w:vAlign w:val="center"/>
          </w:tcPr>
          <w:p>
            <w:r/>
            <w:r>
              <w:rPr>
                <w:rFonts w:ascii="Times New Roman" w:hAnsi="Times New Roman"/>
                <w:b w:val="0"/>
                <w:sz w:val="15"/>
              </w:rPr>
            </w:r>
          </w:p>
        </w:tc>
        <w:tc>
          <w:tcPr>
            <w:tcW w:type="dxa" w:w="1080"/>
            <w:vAlign w:val="center"/>
          </w:tcPr>
          <w:p>
            <w:r/>
            <w:r>
              <w:rPr>
                <w:rFonts w:ascii="Times New Roman" w:hAnsi="Times New Roman"/>
                <w:b w:val="0"/>
                <w:sz w:val="15"/>
              </w:rPr>
              <w:t>●</w:t>
            </w:r>
          </w:p>
        </w:tc>
        <w:tc>
          <w:tcPr>
            <w:tcW w:type="dxa" w:w="1080"/>
            <w:vAlign w:val="center"/>
          </w:tcPr>
          <w:p>
            <w:r/>
            <w:r>
              <w:rPr>
                <w:rFonts w:ascii="Times New Roman" w:hAnsi="Times New Roman"/>
                <w:b w:val="0"/>
                <w:sz w:val="15"/>
              </w:rPr>
            </w:r>
          </w:p>
        </w:tc>
        <w:tc>
          <w:tcPr>
            <w:tcW w:type="dxa" w:w="1080"/>
            <w:vAlign w:val="center"/>
          </w:tcPr>
          <w:p>
            <w:r/>
            <w:r>
              <w:rPr>
                <w:rFonts w:ascii="Times New Roman" w:hAnsi="Times New Roman"/>
                <w:b w:val="0"/>
                <w:sz w:val="15"/>
              </w:rPr>
            </w:r>
          </w:p>
        </w:tc>
      </w:tr>
      <w:tr>
        <w:tc>
          <w:tcPr>
            <w:tcW w:type="dxa" w:w="3816"/>
            <w:vAlign w:val="center"/>
          </w:tcPr>
          <w:p>
            <w:r/>
            <w:r>
              <w:rPr>
                <w:rFonts w:ascii="Times New Roman" w:hAnsi="Times New Roman"/>
                <w:b w:val="0"/>
                <w:sz w:val="15"/>
              </w:rPr>
              <w:t>Evaluation pipeline + baselines</w:t>
            </w:r>
          </w:p>
        </w:tc>
        <w:tc>
          <w:tcPr>
            <w:tcW w:type="dxa" w:w="1440"/>
            <w:vAlign w:val="center"/>
          </w:tcPr>
          <w:p>
            <w:r/>
            <w:r>
              <w:rPr>
                <w:rFonts w:ascii="Times New Roman" w:hAnsi="Times New Roman"/>
                <w:b w:val="0"/>
                <w:sz w:val="15"/>
              </w:rPr>
              <w:t>Weeks 10–13</w:t>
            </w:r>
          </w:p>
        </w:tc>
        <w:tc>
          <w:tcPr>
            <w:tcW w:type="dxa" w:w="1080"/>
            <w:vAlign w:val="center"/>
          </w:tcPr>
          <w:p>
            <w:r/>
            <w:r>
              <w:rPr>
                <w:rFonts w:ascii="Times New Roman" w:hAnsi="Times New Roman"/>
                <w:b w:val="0"/>
                <w:sz w:val="15"/>
              </w:rPr>
            </w:r>
          </w:p>
        </w:tc>
        <w:tc>
          <w:tcPr>
            <w:tcW w:type="dxa" w:w="1080"/>
            <w:vAlign w:val="center"/>
          </w:tcPr>
          <w:p>
            <w:r/>
            <w:r>
              <w:rPr>
                <w:rFonts w:ascii="Times New Roman" w:hAnsi="Times New Roman"/>
                <w:b w:val="0"/>
                <w:sz w:val="15"/>
              </w:rPr>
            </w:r>
          </w:p>
        </w:tc>
        <w:tc>
          <w:tcPr>
            <w:tcW w:type="dxa" w:w="1080"/>
            <w:vAlign w:val="center"/>
          </w:tcPr>
          <w:p>
            <w:r/>
            <w:r>
              <w:rPr>
                <w:rFonts w:ascii="Times New Roman" w:hAnsi="Times New Roman"/>
                <w:b w:val="0"/>
                <w:sz w:val="15"/>
              </w:rPr>
              <w:t>●</w:t>
            </w:r>
          </w:p>
        </w:tc>
        <w:tc>
          <w:tcPr>
            <w:tcW w:type="dxa" w:w="1080"/>
            <w:vAlign w:val="center"/>
          </w:tcPr>
          <w:p>
            <w:r/>
            <w:r>
              <w:rPr>
                <w:rFonts w:ascii="Times New Roman" w:hAnsi="Times New Roman"/>
                <w:b w:val="0"/>
                <w:sz w:val="15"/>
              </w:rPr>
            </w:r>
          </w:p>
        </w:tc>
      </w:tr>
      <w:tr>
        <w:tc>
          <w:tcPr>
            <w:tcW w:type="dxa" w:w="3816"/>
            <w:vAlign w:val="center"/>
          </w:tcPr>
          <w:p>
            <w:r/>
            <w:r>
              <w:rPr>
                <w:rFonts w:ascii="Times New Roman" w:hAnsi="Times New Roman"/>
                <w:b w:val="0"/>
                <w:sz w:val="15"/>
              </w:rPr>
              <w:t>100-document benchmark + ablation</w:t>
            </w:r>
          </w:p>
        </w:tc>
        <w:tc>
          <w:tcPr>
            <w:tcW w:type="dxa" w:w="1440"/>
            <w:vAlign w:val="center"/>
          </w:tcPr>
          <w:p>
            <w:r/>
            <w:r>
              <w:rPr>
                <w:rFonts w:ascii="Times New Roman" w:hAnsi="Times New Roman"/>
                <w:b w:val="0"/>
                <w:sz w:val="15"/>
              </w:rPr>
              <w:t>Weeks 13–15</w:t>
            </w:r>
          </w:p>
        </w:tc>
        <w:tc>
          <w:tcPr>
            <w:tcW w:type="dxa" w:w="1080"/>
            <w:vAlign w:val="center"/>
          </w:tcPr>
          <w:p>
            <w:r/>
            <w:r>
              <w:rPr>
                <w:rFonts w:ascii="Times New Roman" w:hAnsi="Times New Roman"/>
                <w:b w:val="0"/>
                <w:sz w:val="15"/>
              </w:rPr>
            </w:r>
          </w:p>
        </w:tc>
        <w:tc>
          <w:tcPr>
            <w:tcW w:type="dxa" w:w="1080"/>
            <w:vAlign w:val="center"/>
          </w:tcPr>
          <w:p>
            <w:r/>
            <w:r>
              <w:rPr>
                <w:rFonts w:ascii="Times New Roman" w:hAnsi="Times New Roman"/>
                <w:b w:val="0"/>
                <w:sz w:val="15"/>
              </w:rPr>
            </w:r>
          </w:p>
        </w:tc>
        <w:tc>
          <w:tcPr>
            <w:tcW w:type="dxa" w:w="1080"/>
            <w:vAlign w:val="center"/>
          </w:tcPr>
          <w:p>
            <w:r/>
            <w:r>
              <w:rPr>
                <w:rFonts w:ascii="Times New Roman" w:hAnsi="Times New Roman"/>
                <w:b w:val="0"/>
                <w:sz w:val="15"/>
              </w:rPr>
              <w:t>●</w:t>
            </w:r>
          </w:p>
        </w:tc>
        <w:tc>
          <w:tcPr>
            <w:tcW w:type="dxa" w:w="1080"/>
            <w:vAlign w:val="center"/>
          </w:tcPr>
          <w:p>
            <w:r/>
            <w:r>
              <w:rPr>
                <w:rFonts w:ascii="Times New Roman" w:hAnsi="Times New Roman"/>
                <w:b w:val="0"/>
                <w:sz w:val="15"/>
              </w:rPr>
            </w:r>
          </w:p>
        </w:tc>
      </w:tr>
      <w:tr>
        <w:tc>
          <w:tcPr>
            <w:tcW w:type="dxa" w:w="3816"/>
            <w:vAlign w:val="center"/>
          </w:tcPr>
          <w:p>
            <w:r/>
            <w:r>
              <w:rPr>
                <w:rFonts w:ascii="Times New Roman" w:hAnsi="Times New Roman"/>
                <w:b w:val="0"/>
                <w:sz w:val="15"/>
              </w:rPr>
              <w:t>Error analysis + preliminary results</w:t>
            </w:r>
          </w:p>
        </w:tc>
        <w:tc>
          <w:tcPr>
            <w:tcW w:type="dxa" w:w="1440"/>
            <w:vAlign w:val="center"/>
          </w:tcPr>
          <w:p>
            <w:r/>
            <w:r>
              <w:rPr>
                <w:rFonts w:ascii="Times New Roman" w:hAnsi="Times New Roman"/>
                <w:b w:val="0"/>
                <w:sz w:val="15"/>
              </w:rPr>
              <w:t>Weeks 15–17</w:t>
            </w:r>
          </w:p>
        </w:tc>
        <w:tc>
          <w:tcPr>
            <w:tcW w:type="dxa" w:w="1080"/>
            <w:vAlign w:val="center"/>
          </w:tcPr>
          <w:p>
            <w:r/>
            <w:r>
              <w:rPr>
                <w:rFonts w:ascii="Times New Roman" w:hAnsi="Times New Roman"/>
                <w:b w:val="0"/>
                <w:sz w:val="15"/>
              </w:rPr>
            </w:r>
          </w:p>
        </w:tc>
        <w:tc>
          <w:tcPr>
            <w:tcW w:type="dxa" w:w="1080"/>
            <w:vAlign w:val="center"/>
          </w:tcPr>
          <w:p>
            <w:r/>
            <w:r>
              <w:rPr>
                <w:rFonts w:ascii="Times New Roman" w:hAnsi="Times New Roman"/>
                <w:b w:val="0"/>
                <w:sz w:val="15"/>
              </w:rPr>
            </w:r>
          </w:p>
        </w:tc>
        <w:tc>
          <w:tcPr>
            <w:tcW w:type="dxa" w:w="1080"/>
            <w:vAlign w:val="center"/>
          </w:tcPr>
          <w:p>
            <w:r/>
            <w:r>
              <w:rPr>
                <w:rFonts w:ascii="Times New Roman" w:hAnsi="Times New Roman"/>
                <w:b w:val="0"/>
                <w:sz w:val="15"/>
              </w:rPr>
              <w:t>●</w:t>
            </w:r>
          </w:p>
        </w:tc>
        <w:tc>
          <w:tcPr>
            <w:tcW w:type="dxa" w:w="1080"/>
            <w:vAlign w:val="center"/>
          </w:tcPr>
          <w:p>
            <w:r/>
            <w:r>
              <w:rPr>
                <w:rFonts w:ascii="Times New Roman" w:hAnsi="Times New Roman"/>
                <w:b w:val="0"/>
                <w:sz w:val="15"/>
              </w:rPr>
              <w:t>●</w:t>
            </w:r>
          </w:p>
        </w:tc>
      </w:tr>
      <w:tr>
        <w:tc>
          <w:tcPr>
            <w:tcW w:type="dxa" w:w="3816"/>
            <w:vAlign w:val="center"/>
          </w:tcPr>
          <w:p>
            <w:r/>
            <w:r>
              <w:rPr>
                <w:rFonts w:ascii="Times New Roman" w:hAnsi="Times New Roman"/>
                <w:b w:val="0"/>
                <w:sz w:val="15"/>
              </w:rPr>
              <w:t>Review 2</w:t>
            </w:r>
          </w:p>
        </w:tc>
        <w:tc>
          <w:tcPr>
            <w:tcW w:type="dxa" w:w="1440"/>
            <w:vAlign w:val="center"/>
          </w:tcPr>
          <w:p>
            <w:r/>
            <w:r>
              <w:rPr>
                <w:rFonts w:ascii="Times New Roman" w:hAnsi="Times New Roman"/>
                <w:b w:val="0"/>
                <w:sz w:val="15"/>
              </w:rPr>
              <w:t>Week 17</w:t>
            </w:r>
          </w:p>
        </w:tc>
        <w:tc>
          <w:tcPr>
            <w:tcW w:type="dxa" w:w="1080"/>
            <w:vAlign w:val="center"/>
          </w:tcPr>
          <w:p>
            <w:r/>
            <w:r>
              <w:rPr>
                <w:rFonts w:ascii="Times New Roman" w:hAnsi="Times New Roman"/>
                <w:b w:val="0"/>
                <w:sz w:val="15"/>
              </w:rPr>
            </w:r>
          </w:p>
        </w:tc>
        <w:tc>
          <w:tcPr>
            <w:tcW w:type="dxa" w:w="1080"/>
            <w:vAlign w:val="center"/>
          </w:tcPr>
          <w:p>
            <w:r/>
            <w:r>
              <w:rPr>
                <w:rFonts w:ascii="Times New Roman" w:hAnsi="Times New Roman"/>
                <w:b w:val="0"/>
                <w:sz w:val="15"/>
              </w:rPr>
            </w:r>
          </w:p>
        </w:tc>
        <w:tc>
          <w:tcPr>
            <w:tcW w:type="dxa" w:w="1080"/>
            <w:vAlign w:val="center"/>
          </w:tcPr>
          <w:p>
            <w:r/>
            <w:r>
              <w:rPr>
                <w:rFonts w:ascii="Times New Roman" w:hAnsi="Times New Roman"/>
                <w:b w:val="0"/>
                <w:sz w:val="15"/>
              </w:rPr>
              <w:t>●</w:t>
            </w:r>
          </w:p>
        </w:tc>
        <w:tc>
          <w:tcPr>
            <w:tcW w:type="dxa" w:w="1080"/>
            <w:vAlign w:val="center"/>
          </w:tcPr>
          <w:p>
            <w:r/>
            <w:r>
              <w:rPr>
                <w:rFonts w:ascii="Times New Roman" w:hAnsi="Times New Roman"/>
                <w:b w:val="0"/>
                <w:sz w:val="15"/>
              </w:rPr>
            </w:r>
          </w:p>
        </w:tc>
      </w:tr>
      <w:tr>
        <w:tc>
          <w:tcPr>
            <w:tcW w:type="dxa" w:w="3816"/>
            <w:vAlign w:val="center"/>
          </w:tcPr>
          <w:p>
            <w:r/>
            <w:r>
              <w:rPr>
                <w:rFonts w:ascii="Times New Roman" w:hAnsi="Times New Roman"/>
                <w:b w:val="0"/>
                <w:sz w:val="15"/>
              </w:rPr>
              <w:t>Final experiments + documentation</w:t>
            </w:r>
          </w:p>
        </w:tc>
        <w:tc>
          <w:tcPr>
            <w:tcW w:type="dxa" w:w="1440"/>
            <w:vAlign w:val="center"/>
          </w:tcPr>
          <w:p>
            <w:r/>
            <w:r>
              <w:rPr>
                <w:rFonts w:ascii="Times New Roman" w:hAnsi="Times New Roman"/>
                <w:b w:val="0"/>
                <w:sz w:val="15"/>
              </w:rPr>
              <w:t>Weeks 18–21</w:t>
            </w:r>
          </w:p>
        </w:tc>
        <w:tc>
          <w:tcPr>
            <w:tcW w:type="dxa" w:w="1080"/>
            <w:vAlign w:val="center"/>
          </w:tcPr>
          <w:p>
            <w:r/>
            <w:r>
              <w:rPr>
                <w:rFonts w:ascii="Times New Roman" w:hAnsi="Times New Roman"/>
                <w:b w:val="0"/>
                <w:sz w:val="15"/>
              </w:rPr>
            </w:r>
          </w:p>
        </w:tc>
        <w:tc>
          <w:tcPr>
            <w:tcW w:type="dxa" w:w="1080"/>
            <w:vAlign w:val="center"/>
          </w:tcPr>
          <w:p>
            <w:r/>
            <w:r>
              <w:rPr>
                <w:rFonts w:ascii="Times New Roman" w:hAnsi="Times New Roman"/>
                <w:b w:val="0"/>
                <w:sz w:val="15"/>
              </w:rPr>
            </w:r>
          </w:p>
        </w:tc>
        <w:tc>
          <w:tcPr>
            <w:tcW w:type="dxa" w:w="1080"/>
            <w:vAlign w:val="center"/>
          </w:tcPr>
          <w:p>
            <w:r/>
            <w:r>
              <w:rPr>
                <w:rFonts w:ascii="Times New Roman" w:hAnsi="Times New Roman"/>
                <w:b w:val="0"/>
                <w:sz w:val="15"/>
              </w:rPr>
            </w:r>
          </w:p>
        </w:tc>
        <w:tc>
          <w:tcPr>
            <w:tcW w:type="dxa" w:w="1080"/>
            <w:vAlign w:val="center"/>
          </w:tcPr>
          <w:p>
            <w:r/>
            <w:r>
              <w:rPr>
                <w:rFonts w:ascii="Times New Roman" w:hAnsi="Times New Roman"/>
                <w:b w:val="0"/>
                <w:sz w:val="15"/>
              </w:rPr>
              <w:t>●</w:t>
            </w:r>
          </w:p>
        </w:tc>
      </w:tr>
      <w:tr>
        <w:tc>
          <w:tcPr>
            <w:tcW w:type="dxa" w:w="3816"/>
            <w:vAlign w:val="center"/>
          </w:tcPr>
          <w:p>
            <w:r/>
            <w:r>
              <w:rPr>
                <w:rFonts w:ascii="Times New Roman" w:hAnsi="Times New Roman"/>
                <w:b w:val="0"/>
                <w:sz w:val="15"/>
              </w:rPr>
              <w:t>Final report + paper + presentation</w:t>
            </w:r>
          </w:p>
        </w:tc>
        <w:tc>
          <w:tcPr>
            <w:tcW w:type="dxa" w:w="1440"/>
            <w:vAlign w:val="center"/>
          </w:tcPr>
          <w:p>
            <w:r/>
            <w:r>
              <w:rPr>
                <w:rFonts w:ascii="Times New Roman" w:hAnsi="Times New Roman"/>
                <w:b w:val="0"/>
                <w:sz w:val="15"/>
              </w:rPr>
              <w:t>Weeks 21–24</w:t>
            </w:r>
          </w:p>
        </w:tc>
        <w:tc>
          <w:tcPr>
            <w:tcW w:type="dxa" w:w="1080"/>
            <w:vAlign w:val="center"/>
          </w:tcPr>
          <w:p>
            <w:r/>
            <w:r>
              <w:rPr>
                <w:rFonts w:ascii="Times New Roman" w:hAnsi="Times New Roman"/>
                <w:b w:val="0"/>
                <w:sz w:val="15"/>
              </w:rPr>
            </w:r>
          </w:p>
        </w:tc>
        <w:tc>
          <w:tcPr>
            <w:tcW w:type="dxa" w:w="1080"/>
            <w:vAlign w:val="center"/>
          </w:tcPr>
          <w:p>
            <w:r/>
            <w:r>
              <w:rPr>
                <w:rFonts w:ascii="Times New Roman" w:hAnsi="Times New Roman"/>
                <w:b w:val="0"/>
                <w:sz w:val="15"/>
              </w:rPr>
            </w:r>
          </w:p>
        </w:tc>
        <w:tc>
          <w:tcPr>
            <w:tcW w:type="dxa" w:w="1080"/>
            <w:vAlign w:val="center"/>
          </w:tcPr>
          <w:p>
            <w:r/>
            <w:r>
              <w:rPr>
                <w:rFonts w:ascii="Times New Roman" w:hAnsi="Times New Roman"/>
                <w:b w:val="0"/>
                <w:sz w:val="15"/>
              </w:rPr>
            </w:r>
          </w:p>
        </w:tc>
        <w:tc>
          <w:tcPr>
            <w:tcW w:type="dxa" w:w="1080"/>
            <w:vAlign w:val="center"/>
          </w:tcPr>
          <w:p>
            <w:r/>
            <w:r>
              <w:rPr>
                <w:rFonts w:ascii="Times New Roman" w:hAnsi="Times New Roman"/>
                <w:b w:val="0"/>
                <w:sz w:val="15"/>
              </w:rPr>
              <w:t>●</w:t>
            </w:r>
          </w:p>
        </w:tc>
      </w:tr>
      <w:tr>
        <w:tc>
          <w:tcPr>
            <w:tcW w:type="dxa" w:w="3816"/>
            <w:vAlign w:val="center"/>
          </w:tcPr>
          <w:p>
            <w:r/>
            <w:r>
              <w:rPr>
                <w:rFonts w:ascii="Times New Roman" w:hAnsi="Times New Roman"/>
                <w:b w:val="0"/>
                <w:sz w:val="15"/>
              </w:rPr>
              <w:t>Final Review</w:t>
            </w:r>
          </w:p>
        </w:tc>
        <w:tc>
          <w:tcPr>
            <w:tcW w:type="dxa" w:w="1440"/>
            <w:vAlign w:val="center"/>
          </w:tcPr>
          <w:p>
            <w:r/>
            <w:r>
              <w:rPr>
                <w:rFonts w:ascii="Times New Roman" w:hAnsi="Times New Roman"/>
                <w:b w:val="0"/>
                <w:sz w:val="15"/>
              </w:rPr>
              <w:t>Week 24</w:t>
            </w:r>
          </w:p>
        </w:tc>
        <w:tc>
          <w:tcPr>
            <w:tcW w:type="dxa" w:w="1080"/>
            <w:vAlign w:val="center"/>
          </w:tcPr>
          <w:p>
            <w:r/>
            <w:r>
              <w:rPr>
                <w:rFonts w:ascii="Times New Roman" w:hAnsi="Times New Roman"/>
                <w:b w:val="0"/>
                <w:sz w:val="15"/>
              </w:rPr>
            </w:r>
          </w:p>
        </w:tc>
        <w:tc>
          <w:tcPr>
            <w:tcW w:type="dxa" w:w="1080"/>
            <w:vAlign w:val="center"/>
          </w:tcPr>
          <w:p>
            <w:r/>
            <w:r>
              <w:rPr>
                <w:rFonts w:ascii="Times New Roman" w:hAnsi="Times New Roman"/>
                <w:b w:val="0"/>
                <w:sz w:val="15"/>
              </w:rPr>
            </w:r>
          </w:p>
        </w:tc>
        <w:tc>
          <w:tcPr>
            <w:tcW w:type="dxa" w:w="1080"/>
            <w:vAlign w:val="center"/>
          </w:tcPr>
          <w:p>
            <w:r/>
            <w:r>
              <w:rPr>
                <w:rFonts w:ascii="Times New Roman" w:hAnsi="Times New Roman"/>
                <w:b w:val="0"/>
                <w:sz w:val="15"/>
              </w:rPr>
            </w:r>
          </w:p>
        </w:tc>
        <w:tc>
          <w:tcPr>
            <w:tcW w:type="dxa" w:w="1080"/>
            <w:vAlign w:val="center"/>
          </w:tcPr>
          <w:p>
            <w:r/>
            <w:r>
              <w:rPr>
                <w:rFonts w:ascii="Times New Roman" w:hAnsi="Times New Roman"/>
                <w:b w:val="0"/>
                <w:sz w:val="15"/>
              </w:rPr>
              <w:t>●</w:t>
            </w:r>
          </w:p>
        </w:tc>
      </w:tr>
    </w:tbl>
    <w:p/>
    <w:p>
      <w:pPr>
        <w:pStyle w:val="Heading1"/>
      </w:pPr>
      <w:r>
        <w:t>17. Expected Deliverables</w:t>
      </w:r>
    </w:p>
    <w:p>
      <w:pPr>
        <w:pStyle w:val="ListNumber"/>
        <w:spacing w:after="60"/>
      </w:pPr>
      <w:r>
        <w:t>Working two-stage anonymization prototype.</w:t>
      </w:r>
    </w:p>
    <w:p>
      <w:pPr>
        <w:pStyle w:val="ListNumber"/>
        <w:spacing w:after="60"/>
      </w:pPr>
      <w:r>
        <w:t>Streamlit demonstration interface showing original, Stage 1, Stage 2, QI analysis, and guardrail telemetry.</w:t>
      </w:r>
    </w:p>
    <w:p>
      <w:pPr>
        <w:pStyle w:val="ListNumber"/>
        <w:spacing w:after="60"/>
      </w:pPr>
      <w:r>
        <w:t>Reproducible evaluation runner and fixed 100-document benchmark manifest.</w:t>
      </w:r>
    </w:p>
    <w:p>
      <w:pPr>
        <w:pStyle w:val="ListNumber"/>
        <w:spacing w:after="60"/>
      </w:pPr>
      <w:r>
        <w:t>Comparative privacy and utility results against rigid redaction and Presidio.</w:t>
      </w:r>
    </w:p>
    <w:p>
      <w:pPr>
        <w:pStyle w:val="ListNumber"/>
        <w:spacing w:after="60"/>
      </w:pPr>
      <w:r>
        <w:t>Ablation study comparing the original cosine threshold with the composite guardrail.</w:t>
      </w:r>
    </w:p>
    <w:p>
      <w:pPr>
        <w:pStyle w:val="ListNumber"/>
        <w:spacing w:after="60"/>
      </w:pPr>
      <w:r>
        <w:t>Error analysis and documented limitations.</w:t>
      </w:r>
    </w:p>
    <w:p>
      <w:pPr>
        <w:pStyle w:val="ListNumber"/>
        <w:spacing w:after="60"/>
      </w:pPr>
      <w:r>
        <w:t>Source code repository with README, requirements/environment information, tests, and reproducible commands.</w:t>
      </w:r>
    </w:p>
    <w:p>
      <w:pPr>
        <w:pStyle w:val="ListNumber"/>
        <w:spacing w:after="60"/>
      </w:pPr>
      <w:r>
        <w:t>Final project report and conference/workshop-style paper draft.</w:t>
      </w:r>
    </w:p>
    <w:p>
      <w:pPr>
        <w:pStyle w:val="Heading1"/>
      </w:pPr>
      <w:r>
        <w:t>18. Tentative Publication Plan</w:t>
      </w:r>
    </w:p>
    <w:p>
      <w:r>
        <w:t>The project is intended to be developed toward a workshop/conference paper in privacy-preserving NLP, trustworthy NLP, or applied NLP. Candidate venues include the Privacy in Natural Language Processing (PrivateNLP) workshop, TrustNLP, or a comparable privacy/NLP venue, subject to the final experimental strength and submission deadlines.</w:t>
      </w:r>
    </w:p>
    <w:p>
      <w:r>
        <w:t>The publication plan is tentative and will be finalized after Review 1 when the literature survey, methodology, and early results have been validated.</w:t>
      </w:r>
    </w:p>
    <w:p>
      <w:pPr>
        <w:pStyle w:val="Heading1"/>
      </w:pPr>
      <w:r>
        <w:t>19. Review 0 Compliance Checklist</w:t>
      </w:r>
    </w:p>
    <w:tbl>
      <w:tblPr>
        <w:tblStyle w:val="TableGrid"/>
        <w:tblW w:type="auto" w:w="0"/>
        <w:jc w:val="center"/>
        <w:tblLook w:firstColumn="1" w:firstRow="1" w:lastColumn="0" w:lastRow="0" w:noHBand="0" w:noVBand="1" w:val="04A0"/>
      </w:tblPr>
      <w:tblGrid>
        <w:gridCol w:w="3312"/>
        <w:gridCol w:w="3312"/>
        <w:gridCol w:w="3312"/>
      </w:tblGrid>
      <w:tr>
        <w:tc>
          <w:tcPr>
            <w:tcW w:type="dxa" w:w="4032"/>
            <w:vAlign w:val="center"/>
            <w:shd w:fill="D9EAF7"/>
          </w:tcPr>
          <w:p>
            <w:r/>
            <w:r>
              <w:rPr>
                <w:rFonts w:ascii="Times New Roman" w:hAnsi="Times New Roman"/>
                <w:b/>
                <w:sz w:val="16"/>
              </w:rPr>
              <w:t>Review 0 Requirement</w:t>
            </w:r>
          </w:p>
        </w:tc>
        <w:tc>
          <w:tcPr>
            <w:tcW w:type="dxa" w:w="1152"/>
            <w:vAlign w:val="center"/>
            <w:shd w:fill="D9EAF7"/>
          </w:tcPr>
          <w:p>
            <w:r/>
            <w:r>
              <w:rPr>
                <w:rFonts w:ascii="Times New Roman" w:hAnsi="Times New Roman"/>
                <w:b/>
                <w:sz w:val="16"/>
              </w:rPr>
              <w:t>Status</w:t>
            </w:r>
          </w:p>
        </w:tc>
        <w:tc>
          <w:tcPr>
            <w:tcW w:type="dxa" w:w="4320"/>
            <w:vAlign w:val="center"/>
            <w:shd w:fill="D9EAF7"/>
          </w:tcPr>
          <w:p>
            <w:r/>
            <w:r>
              <w:rPr>
                <w:rFonts w:ascii="Times New Roman" w:hAnsi="Times New Roman"/>
                <w:b/>
                <w:sz w:val="16"/>
              </w:rPr>
              <w:t>Evidence in Document</w:t>
            </w:r>
          </w:p>
        </w:tc>
      </w:tr>
      <w:tr>
        <w:tc>
          <w:tcPr>
            <w:tcW w:type="dxa" w:w="4032"/>
            <w:vAlign w:val="center"/>
          </w:tcPr>
          <w:p>
            <w:r/>
            <w:r>
              <w:rPr>
                <w:rFonts w:ascii="Times New Roman" w:hAnsi="Times New Roman"/>
                <w:b w:val="0"/>
                <w:sz w:val="16"/>
              </w:rPr>
              <w:t>Title + 1–2 sentence problem statement</w:t>
            </w:r>
          </w:p>
        </w:tc>
        <w:tc>
          <w:tcPr>
            <w:tcW w:type="dxa" w:w="1152"/>
            <w:vAlign w:val="center"/>
          </w:tcPr>
          <w:p>
            <w:r/>
            <w:r>
              <w:rPr>
                <w:rFonts w:ascii="Times New Roman" w:hAnsi="Times New Roman"/>
                <w:b w:val="0"/>
                <w:sz w:val="16"/>
              </w:rPr>
              <w:t>✓</w:t>
            </w:r>
          </w:p>
        </w:tc>
        <w:tc>
          <w:tcPr>
            <w:tcW w:type="dxa" w:w="4320"/>
            <w:vAlign w:val="center"/>
          </w:tcPr>
          <w:p>
            <w:r/>
            <w:r>
              <w:rPr>
                <w:rFonts w:ascii="Times New Roman" w:hAnsi="Times New Roman"/>
                <w:b w:val="0"/>
                <w:sz w:val="16"/>
              </w:rPr>
              <w:t>Clearly defined</w:t>
            </w:r>
          </w:p>
        </w:tc>
      </w:tr>
      <w:tr>
        <w:tc>
          <w:tcPr>
            <w:tcW w:type="dxa" w:w="4032"/>
            <w:vAlign w:val="center"/>
          </w:tcPr>
          <w:p>
            <w:r/>
            <w:r>
              <w:rPr>
                <w:rFonts w:ascii="Times New Roman" w:hAnsi="Times New Roman"/>
                <w:b w:val="0"/>
                <w:sz w:val="16"/>
              </w:rPr>
              <w:t>Motivation and significance</w:t>
            </w:r>
          </w:p>
        </w:tc>
        <w:tc>
          <w:tcPr>
            <w:tcW w:type="dxa" w:w="1152"/>
            <w:vAlign w:val="center"/>
          </w:tcPr>
          <w:p>
            <w:r/>
            <w:r>
              <w:rPr>
                <w:rFonts w:ascii="Times New Roman" w:hAnsi="Times New Roman"/>
                <w:b w:val="0"/>
                <w:sz w:val="16"/>
              </w:rPr>
              <w:t>✓</w:t>
            </w:r>
          </w:p>
        </w:tc>
        <w:tc>
          <w:tcPr>
            <w:tcW w:type="dxa" w:w="4320"/>
            <w:vAlign w:val="center"/>
          </w:tcPr>
          <w:p>
            <w:r/>
            <w:r>
              <w:rPr>
                <w:rFonts w:ascii="Times New Roman" w:hAnsi="Times New Roman"/>
                <w:b w:val="0"/>
                <w:sz w:val="16"/>
              </w:rPr>
              <w:t>Privacy, utility, downstream NLP</w:t>
            </w:r>
          </w:p>
        </w:tc>
      </w:tr>
      <w:tr>
        <w:tc>
          <w:tcPr>
            <w:tcW w:type="dxa" w:w="4032"/>
            <w:vAlign w:val="center"/>
          </w:tcPr>
          <w:p>
            <w:r/>
            <w:r>
              <w:rPr>
                <w:rFonts w:ascii="Times New Roman" w:hAnsi="Times New Roman"/>
                <w:b w:val="0"/>
                <w:sz w:val="16"/>
              </w:rPr>
              <w:t>15–20 recent papers; ≥5 from 2023 onward</w:t>
            </w:r>
          </w:p>
        </w:tc>
        <w:tc>
          <w:tcPr>
            <w:tcW w:type="dxa" w:w="1152"/>
            <w:vAlign w:val="center"/>
          </w:tcPr>
          <w:p>
            <w:r/>
            <w:r>
              <w:rPr>
                <w:rFonts w:ascii="Times New Roman" w:hAnsi="Times New Roman"/>
                <w:b w:val="0"/>
                <w:sz w:val="16"/>
              </w:rPr>
              <w:t>✓</w:t>
            </w:r>
          </w:p>
        </w:tc>
        <w:tc>
          <w:tcPr>
            <w:tcW w:type="dxa" w:w="4320"/>
            <w:vAlign w:val="center"/>
          </w:tcPr>
          <w:p>
            <w:r/>
            <w:r>
              <w:rPr>
                <w:rFonts w:ascii="Times New Roman" w:hAnsi="Times New Roman"/>
                <w:b w:val="0"/>
                <w:sz w:val="16"/>
              </w:rPr>
              <w:t>16-paper preliminary survey; 2023–2025 coverage</w:t>
            </w:r>
          </w:p>
        </w:tc>
      </w:tr>
      <w:tr>
        <w:tc>
          <w:tcPr>
            <w:tcW w:type="dxa" w:w="4032"/>
            <w:vAlign w:val="center"/>
          </w:tcPr>
          <w:p>
            <w:r/>
            <w:r>
              <w:rPr>
                <w:rFonts w:ascii="Times New Roman" w:hAnsi="Times New Roman"/>
                <w:b w:val="0"/>
                <w:sz w:val="16"/>
              </w:rPr>
              <w:t>Research/industry gap</w:t>
            </w:r>
          </w:p>
        </w:tc>
        <w:tc>
          <w:tcPr>
            <w:tcW w:type="dxa" w:w="1152"/>
            <w:vAlign w:val="center"/>
          </w:tcPr>
          <w:p>
            <w:r/>
            <w:r>
              <w:rPr>
                <w:rFonts w:ascii="Times New Roman" w:hAnsi="Times New Roman"/>
                <w:b w:val="0"/>
                <w:sz w:val="16"/>
              </w:rPr>
              <w:t>✓</w:t>
            </w:r>
          </w:p>
        </w:tc>
        <w:tc>
          <w:tcPr>
            <w:tcW w:type="dxa" w:w="4320"/>
            <w:vAlign w:val="center"/>
          </w:tcPr>
          <w:p>
            <w:r/>
            <w:r>
              <w:rPr>
                <w:rFonts w:ascii="Times New Roman" w:hAnsi="Times New Roman"/>
                <w:b w:val="0"/>
                <w:sz w:val="16"/>
              </w:rPr>
              <w:t>Direct PII vs contextual QI + independent guardrail</w:t>
            </w:r>
          </w:p>
        </w:tc>
      </w:tr>
      <w:tr>
        <w:tc>
          <w:tcPr>
            <w:tcW w:type="dxa" w:w="4032"/>
            <w:vAlign w:val="center"/>
          </w:tcPr>
          <w:p>
            <w:r/>
            <w:r>
              <w:rPr>
                <w:rFonts w:ascii="Times New Roman" w:hAnsi="Times New Roman"/>
                <w:b w:val="0"/>
                <w:sz w:val="16"/>
              </w:rPr>
              <w:t>3–5 SMART objectives</w:t>
            </w:r>
          </w:p>
        </w:tc>
        <w:tc>
          <w:tcPr>
            <w:tcW w:type="dxa" w:w="1152"/>
            <w:vAlign w:val="center"/>
          </w:tcPr>
          <w:p>
            <w:r/>
            <w:r>
              <w:rPr>
                <w:rFonts w:ascii="Times New Roman" w:hAnsi="Times New Roman"/>
                <w:b w:val="0"/>
                <w:sz w:val="16"/>
              </w:rPr>
              <w:t>✓</w:t>
            </w:r>
          </w:p>
        </w:tc>
        <w:tc>
          <w:tcPr>
            <w:tcW w:type="dxa" w:w="4320"/>
            <w:vAlign w:val="center"/>
          </w:tcPr>
          <w:p>
            <w:r/>
            <w:r>
              <w:rPr>
                <w:rFonts w:ascii="Times New Roman" w:hAnsi="Times New Roman"/>
                <w:b w:val="0"/>
                <w:sz w:val="16"/>
              </w:rPr>
              <w:t>5 objectives</w:t>
            </w:r>
          </w:p>
        </w:tc>
      </w:tr>
      <w:tr>
        <w:tc>
          <w:tcPr>
            <w:tcW w:type="dxa" w:w="4032"/>
            <w:vAlign w:val="center"/>
          </w:tcPr>
          <w:p>
            <w:r/>
            <w:r>
              <w:rPr>
                <w:rFonts w:ascii="Times New Roman" w:hAnsi="Times New Roman"/>
                <w:b w:val="0"/>
                <w:sz w:val="16"/>
              </w:rPr>
              <w:t>Novelty/contribution</w:t>
            </w:r>
          </w:p>
        </w:tc>
        <w:tc>
          <w:tcPr>
            <w:tcW w:type="dxa" w:w="1152"/>
            <w:vAlign w:val="center"/>
          </w:tcPr>
          <w:p>
            <w:r/>
            <w:r>
              <w:rPr>
                <w:rFonts w:ascii="Times New Roman" w:hAnsi="Times New Roman"/>
                <w:b w:val="0"/>
                <w:sz w:val="16"/>
              </w:rPr>
              <w:t>✓</w:t>
            </w:r>
          </w:p>
        </w:tc>
        <w:tc>
          <w:tcPr>
            <w:tcW w:type="dxa" w:w="4320"/>
            <w:vAlign w:val="center"/>
          </w:tcPr>
          <w:p>
            <w:r/>
            <w:r>
              <w:rPr>
                <w:rFonts w:ascii="Times New Roman" w:hAnsi="Times New Roman"/>
                <w:b w:val="0"/>
                <w:sz w:val="16"/>
              </w:rPr>
              <w:t>Two-stage architecture + independent QI layer + guardrail</w:t>
            </w:r>
          </w:p>
        </w:tc>
      </w:tr>
      <w:tr>
        <w:tc>
          <w:tcPr>
            <w:tcW w:type="dxa" w:w="4032"/>
            <w:vAlign w:val="center"/>
          </w:tcPr>
          <w:p>
            <w:r/>
            <w:r>
              <w:rPr>
                <w:rFonts w:ascii="Times New Roman" w:hAnsi="Times New Roman"/>
                <w:b w:val="0"/>
                <w:sz w:val="16"/>
              </w:rPr>
              <w:t>Feasibility: data/tools/compute</w:t>
            </w:r>
          </w:p>
        </w:tc>
        <w:tc>
          <w:tcPr>
            <w:tcW w:type="dxa" w:w="1152"/>
            <w:vAlign w:val="center"/>
          </w:tcPr>
          <w:p>
            <w:r/>
            <w:r>
              <w:rPr>
                <w:rFonts w:ascii="Times New Roman" w:hAnsi="Times New Roman"/>
                <w:b w:val="0"/>
                <w:sz w:val="16"/>
              </w:rPr>
              <w:t>✓</w:t>
            </w:r>
          </w:p>
        </w:tc>
        <w:tc>
          <w:tcPr>
            <w:tcW w:type="dxa" w:w="4320"/>
            <w:vAlign w:val="center"/>
          </w:tcPr>
          <w:p>
            <w:r/>
            <w:r>
              <w:rPr>
                <w:rFonts w:ascii="Times New Roman" w:hAnsi="Times New Roman"/>
                <w:b w:val="0"/>
                <w:sz w:val="16"/>
              </w:rPr>
              <w:t>AI4Privacy + local SLM + lightweight embedding</w:t>
            </w:r>
          </w:p>
        </w:tc>
      </w:tr>
      <w:tr>
        <w:tc>
          <w:tcPr>
            <w:tcW w:type="dxa" w:w="4032"/>
            <w:vAlign w:val="center"/>
          </w:tcPr>
          <w:p>
            <w:r/>
            <w:r>
              <w:rPr>
                <w:rFonts w:ascii="Times New Roman" w:hAnsi="Times New Roman"/>
                <w:b w:val="0"/>
                <w:sz w:val="16"/>
              </w:rPr>
              <w:t>Scope boundaries</w:t>
            </w:r>
          </w:p>
        </w:tc>
        <w:tc>
          <w:tcPr>
            <w:tcW w:type="dxa" w:w="1152"/>
            <w:vAlign w:val="center"/>
          </w:tcPr>
          <w:p>
            <w:r/>
            <w:r>
              <w:rPr>
                <w:rFonts w:ascii="Times New Roman" w:hAnsi="Times New Roman"/>
                <w:b w:val="0"/>
                <w:sz w:val="16"/>
              </w:rPr>
              <w:t>✓</w:t>
            </w:r>
          </w:p>
        </w:tc>
        <w:tc>
          <w:tcPr>
            <w:tcW w:type="dxa" w:w="4320"/>
            <w:vAlign w:val="center"/>
          </w:tcPr>
          <w:p>
            <w:r/>
            <w:r>
              <w:rPr>
                <w:rFonts w:ascii="Times New Roman" w:hAnsi="Times New Roman"/>
                <w:b w:val="0"/>
                <w:sz w:val="16"/>
              </w:rPr>
              <w:t>Explicit in/out-of-scope</w:t>
            </w:r>
          </w:p>
        </w:tc>
      </w:tr>
      <w:tr>
        <w:tc>
          <w:tcPr>
            <w:tcW w:type="dxa" w:w="4032"/>
            <w:vAlign w:val="center"/>
          </w:tcPr>
          <w:p>
            <w:r/>
            <w:r>
              <w:rPr>
                <w:rFonts w:ascii="Times New Roman" w:hAnsi="Times New Roman"/>
                <w:b w:val="0"/>
                <w:sz w:val="16"/>
              </w:rPr>
              <w:t>Dataset size/source/license</w:t>
            </w:r>
          </w:p>
        </w:tc>
        <w:tc>
          <w:tcPr>
            <w:tcW w:type="dxa" w:w="1152"/>
            <w:vAlign w:val="center"/>
          </w:tcPr>
          <w:p>
            <w:r/>
            <w:r>
              <w:rPr>
                <w:rFonts w:ascii="Times New Roman" w:hAnsi="Times New Roman"/>
                <w:b w:val="0"/>
                <w:sz w:val="16"/>
              </w:rPr>
              <w:t>✓</w:t>
            </w:r>
          </w:p>
        </w:tc>
        <w:tc>
          <w:tcPr>
            <w:tcW w:type="dxa" w:w="4320"/>
            <w:vAlign w:val="center"/>
          </w:tcPr>
          <w:p>
            <w:r/>
            <w:r>
              <w:rPr>
                <w:rFonts w:ascii="Times New Roman" w:hAnsi="Times New Roman"/>
                <w:b w:val="0"/>
                <w:sz w:val="16"/>
              </w:rPr>
              <w:t>225,405 rows; Hugging Face; academic license</w:t>
            </w:r>
          </w:p>
        </w:tc>
      </w:tr>
      <w:tr>
        <w:tc>
          <w:tcPr>
            <w:tcW w:type="dxa" w:w="4032"/>
            <w:vAlign w:val="center"/>
          </w:tcPr>
          <w:p>
            <w:r/>
            <w:r>
              <w:rPr>
                <w:rFonts w:ascii="Times New Roman" w:hAnsi="Times New Roman"/>
                <w:b w:val="0"/>
                <w:sz w:val="16"/>
              </w:rPr>
              <w:t>Tentative timeline for 4 reviews</w:t>
            </w:r>
          </w:p>
        </w:tc>
        <w:tc>
          <w:tcPr>
            <w:tcW w:type="dxa" w:w="1152"/>
            <w:vAlign w:val="center"/>
          </w:tcPr>
          <w:p>
            <w:r/>
            <w:r>
              <w:rPr>
                <w:rFonts w:ascii="Times New Roman" w:hAnsi="Times New Roman"/>
                <w:b w:val="0"/>
                <w:sz w:val="16"/>
              </w:rPr>
              <w:t>✓</w:t>
            </w:r>
          </w:p>
        </w:tc>
        <w:tc>
          <w:tcPr>
            <w:tcW w:type="dxa" w:w="4320"/>
            <w:vAlign w:val="center"/>
          </w:tcPr>
          <w:p>
            <w:r/>
            <w:r>
              <w:rPr>
                <w:rFonts w:ascii="Times New Roman" w:hAnsi="Times New Roman"/>
                <w:b w:val="0"/>
                <w:sz w:val="16"/>
              </w:rPr>
              <w:t>24-week plan</w:t>
            </w:r>
          </w:p>
        </w:tc>
      </w:tr>
      <w:tr>
        <w:tc>
          <w:tcPr>
            <w:tcW w:type="dxa" w:w="4032"/>
            <w:vAlign w:val="center"/>
          </w:tcPr>
          <w:p>
            <w:r/>
            <w:r>
              <w:rPr>
                <w:rFonts w:ascii="Times New Roman" w:hAnsi="Times New Roman"/>
                <w:b w:val="0"/>
                <w:sz w:val="16"/>
              </w:rPr>
              <w:t>Ethical/legal considerations</w:t>
            </w:r>
          </w:p>
        </w:tc>
        <w:tc>
          <w:tcPr>
            <w:tcW w:type="dxa" w:w="1152"/>
            <w:vAlign w:val="center"/>
          </w:tcPr>
          <w:p>
            <w:r/>
            <w:r>
              <w:rPr>
                <w:rFonts w:ascii="Times New Roman" w:hAnsi="Times New Roman"/>
                <w:b w:val="0"/>
                <w:sz w:val="16"/>
              </w:rPr>
              <w:t>✓</w:t>
            </w:r>
          </w:p>
        </w:tc>
        <w:tc>
          <w:tcPr>
            <w:tcW w:type="dxa" w:w="4320"/>
            <w:vAlign w:val="center"/>
          </w:tcPr>
          <w:p>
            <w:r/>
            <w:r>
              <w:rPr>
                <w:rFonts w:ascii="Times New Roman" w:hAnsi="Times New Roman"/>
                <w:b w:val="0"/>
                <w:sz w:val="16"/>
              </w:rPr>
              <w:t>Synthetic dataset + license + local processing</w:t>
            </w:r>
          </w:p>
        </w:tc>
      </w:tr>
      <w:tr>
        <w:tc>
          <w:tcPr>
            <w:tcW w:type="dxa" w:w="4032"/>
            <w:vAlign w:val="center"/>
          </w:tcPr>
          <w:p>
            <w:r/>
            <w:r>
              <w:rPr>
                <w:rFonts w:ascii="Times New Roman" w:hAnsi="Times New Roman"/>
                <w:b w:val="0"/>
                <w:sz w:val="16"/>
              </w:rPr>
              <w:t>Guide/panel decision</w:t>
            </w:r>
          </w:p>
        </w:tc>
        <w:tc>
          <w:tcPr>
            <w:tcW w:type="dxa" w:w="1152"/>
            <w:vAlign w:val="center"/>
          </w:tcPr>
          <w:p>
            <w:r/>
            <w:r>
              <w:rPr>
                <w:rFonts w:ascii="Times New Roman" w:hAnsi="Times New Roman"/>
                <w:b w:val="0"/>
                <w:sz w:val="16"/>
              </w:rPr>
              <w:t>Pending</w:t>
            </w:r>
          </w:p>
        </w:tc>
        <w:tc>
          <w:tcPr>
            <w:tcW w:type="dxa" w:w="4320"/>
            <w:vAlign w:val="center"/>
          </w:tcPr>
          <w:p>
            <w:r/>
            <w:r>
              <w:rPr>
                <w:rFonts w:ascii="Times New Roman" w:hAnsi="Times New Roman"/>
                <w:b w:val="0"/>
                <w:sz w:val="16"/>
              </w:rPr>
              <w:t>To be completed during institutional review</w:t>
            </w:r>
          </w:p>
        </w:tc>
      </w:tr>
    </w:tbl>
    <w:p/>
    <w:p>
      <w:pPr>
        <w:pStyle w:val="Heading1"/>
      </w:pPr>
      <w:r>
        <w:t>20. Review 0 Decision / Approval</w:t>
      </w:r>
    </w:p>
    <w:p>
      <w:r>
        <w:t>Guide Comments:</w:t>
      </w:r>
    </w:p>
    <w:p>
      <w:r>
        <w:br/>
        <w:br/>
        <w:t>_________________________________________________________________________________________________________</w:t>
      </w:r>
    </w:p>
    <w:p>
      <w:r>
        <w:br/>
        <w:t>_________________________________________________________________________________________________________</w:t>
      </w:r>
    </w:p>
    <w:p>
      <w:r>
        <w:br/>
        <w:t>Panel Decision:    ☐ GO        ☐ GO WITH CONDITIONS        ☐ REVISE / RESUBMIT</w:t>
      </w:r>
    </w:p>
    <w:p>
      <w:r>
        <w:br/>
        <w:t>Guide Signature: ______________________________    Date: ________________</w:t>
      </w:r>
    </w:p>
    <w:p>
      <w:r>
        <w:t>Panel / Coordinator Signature: ______________________________    Date: ________________</w:t>
      </w:r>
    </w:p>
    <w:p>
      <w:r>
        <w:br w:type="page"/>
      </w:r>
    </w:p>
    <w:p>
      <w:pPr>
        <w:pStyle w:val="Heading1"/>
      </w:pPr>
      <w:r>
        <w:t>References</w:t>
      </w:r>
    </w:p>
    <w:p>
      <w:pPr>
        <w:spacing w:after="100"/>
      </w:pPr>
      <w:r>
        <w:t>[1] T. Yang, X. Zhu, and I. Gurevych, “Robust Utility-Preserving Text Anonymization Based on Large Language Models,” Proceedings of the 63rd Annual Meeting of the Association for Computational Linguistics (ACL), 2025, pp. 28922–28941. DOI: 10.18653/v1/2025.acl-long.1404.</w:t>
      </w:r>
    </w:p>
    <w:p>
      <w:pPr>
        <w:spacing w:after="100"/>
      </w:pPr>
      <w:r>
        <w:t>[2] J. X. Morris, T. R. Campion Jr., S. L. Nutheti, Y. Peng, A. Raj, R. Zabih, and C. L. Cole, “DIRI: Adversarial Patient Reidentification with Large Language Models for Evaluating Clinical Text Anonymization,” AMIA Joint Summits on Translational Science Proceedings, 2025, pp. 355–364.</w:t>
      </w:r>
    </w:p>
    <w:p>
      <w:pPr>
        <w:spacing w:after="100"/>
      </w:pPr>
      <w:r>
        <w:t>[3] B. Manzanares-Salor and D. Sánchez, “A comparative analysis, enhancement and evaluation of text anonymization with pre-trained Large Language Models,” Expert Systems with Applications, vol. 297, 129474, 2026. DOI: 10.1016/j.eswa.2025.129474.</w:t>
      </w:r>
    </w:p>
    <w:p>
      <w:pPr>
        <w:spacing w:after="100"/>
      </w:pPr>
      <w:r>
        <w:t>[4] B. Manzanares-Salor, D. Sánchez, and P. Lison, “Evaluating the disclosure risk of anonymized documents via a machine learning-based re-identification attack,” Data Mining and Knowledge Discovery, vol. 38, pp. 4040–4075, 2024. DOI: 10.1007/s10618-024-01066-3.</w:t>
      </w:r>
    </w:p>
    <w:p>
      <w:pPr>
        <w:spacing w:after="100"/>
      </w:pPr>
      <w:r>
        <w:t>[5] D. Pissarra et al., “Unlocking the Potential of Large Language Models for Clinical Text Anonymization: A Comparative Study,” Proceedings of the Fifth Workshop on Privacy in Natural Language Processing, 2024, pp. 74–84.</w:t>
      </w:r>
    </w:p>
    <w:p>
      <w:pPr>
        <w:spacing w:after="100"/>
      </w:pPr>
      <w:r>
        <w:t>[6] A. Kovačević, B. Bašaragin, N. Milošević, and G. Nenadić, “De-identification of clinical free text using natural language processing: A systematic review of current approaches,” Artificial Intelligence in Medicine, vol. 151, 102845, 2024. DOI: 10.1016/j.artmed.2024.102845.</w:t>
      </w:r>
    </w:p>
    <w:p>
      <w:pPr>
        <w:spacing w:after="100"/>
      </w:pPr>
      <w:r>
        <w:t>[7] A. R. Sarkar, Y.-S. Chuang, N. Mohammed, and X. Jiang, “De-identification is not enough: a comparison between de-identified and synthetic clinical notes,” Scientific Reports, vol. 14, 29669, 2024. DOI: 10.1038/s41598-024-81170-y.</w:t>
      </w:r>
    </w:p>
    <w:p>
      <w:pPr>
        <w:spacing w:after="100"/>
      </w:pPr>
      <w:r>
        <w:t>[8] S. Meisenbacher and F. Matthes, “Thinking Outside of the Differential Privacy Box: A Case Study in Text Privatization with Language Model Prompting,” Proceedings of EMNLP, 2024, pp. 5656–5665. DOI: 10.18653/v1/2024.emnlp-main.324.</w:t>
      </w:r>
    </w:p>
    <w:p>
      <w:pPr>
        <w:spacing w:after="100"/>
      </w:pPr>
      <w:r>
        <w:t>[9] A. Nyffenegger, M. Stürmer, and J. Niklaus, “Anonymity at Risk? Assessing Re-Identification Capabilities of Large Language Models in Court Decisions,” Findings of NAACL, 2024.</w:t>
      </w:r>
    </w:p>
    <w:p>
      <w:pPr>
        <w:spacing w:after="100"/>
      </w:pPr>
      <w:r>
        <w:t>[10] E. Im et al., “Exploring the tradeoff between data privacy and utility with a clinical data analysis use case,” BMC Medical Informatics and Decision Making, vol. 24, 147, 2024. DOI: 10.1186/s12911-024-02545-9.</w:t>
      </w:r>
    </w:p>
    <w:p>
      <w:pPr>
        <w:spacing w:after="100"/>
      </w:pPr>
      <w:r>
        <w:t>[11] O. Yermilov, V. Raheja, and A. Chernodub, “Privacy- and Utility-Preserving NLP with Anonymized data: A case study of Pseudonymization,” Proceedings of TrustNLP, 2023, pp. 232–241. DOI: 10.18653/v1/2023.trustnlp-1.20.</w:t>
      </w:r>
    </w:p>
    <w:p>
      <w:pPr>
        <w:spacing w:after="100"/>
      </w:pPr>
      <w:r>
        <w:t>[12] I. Ben Cheikh Larbi, A. Burchardt, and R. Roller, “Clinical Text Anonymization, its Influence on Downstream NLP Tasks and the Risk of Re-Identification,” Proceedings of the EACL Student Research Workshop, 2023, pp. 105–111. DOI: 10.18653/v1/2023.eacl-srw.11.</w:t>
      </w:r>
    </w:p>
    <w:p>
      <w:pPr>
        <w:spacing w:after="100"/>
      </w:pPr>
      <w:r>
        <w:t>[13] C. Patsakis and N. Lykousas, “Man vs the machine in the struggle for effective text anonymisation in the age of large language models,” Scientific Reports, vol. 13, 16026, 2023. DOI: 10.1038/s41598-023-42977-3.</w:t>
      </w:r>
    </w:p>
    <w:p>
      <w:pPr>
        <w:spacing w:after="100"/>
      </w:pPr>
      <w:r>
        <w:t>[14] I. Habernal, F. Mireshghallah, P. Thaine, S. Ghanavati, and O. Feyisetan, “Privacy-Preserving Natural Language Processing,” Proceedings of EACL Tutorial Abstracts, 2023, pp. 27–30. DOI: 10.18653/v1/2023.eacl-tutorials.6.</w:t>
      </w:r>
    </w:p>
    <w:p>
      <w:pPr>
        <w:spacing w:after="100"/>
      </w:pPr>
      <w:r>
        <w:t>[15] I. Pilán, P. Lison, L. Øvrelid, A. Papadopoulou, D. Sánchez, and M. Batet, “The Text Anonymization Benchmark (TAB): A Dedicated Corpus and Evaluation Framework for Text Anonymization,” Computational Linguistics, vol. 48, no. 4, pp. 1053–1101, 2022. DOI: 10.1162/coli_a_00458.</w:t>
      </w:r>
    </w:p>
    <w:p>
      <w:pPr>
        <w:spacing w:after="100"/>
      </w:pPr>
      <w:r>
        <w:t>[16] S. Sousa and R. Kern, “How to keep text private? A systematic review of deep learning methods for privacy-preserving natural language processing,” Artificial Intelligence Review, vol. 56, pp. 1427–1492, 2023. DOI: 10.1007/s10462-022-10204-6.</w:t>
      </w:r>
    </w:p>
    <w:p>
      <w:pPr>
        <w:pStyle w:val="Heading2"/>
      </w:pPr>
      <w:r>
        <w:t>Dataset Reference</w:t>
      </w:r>
    </w:p>
    <w:p>
      <w:r>
        <w:t>AI4Privacy, “ai4privacy/pii-masking-300k,” Hugging Face Datasets, DOI: 10.57967/hf/1995. Dataset documentation and license accessed for project planning in August 2026.</w:t>
      </w:r>
    </w:p>
    <w:p/>
    <w:p>
      <w:pPr>
        <w:pStyle w:val="SmallNote"/>
      </w:pPr>
      <w:r>
        <w:t>Document preparation note: This Review 0 submission is based on the 2026 M.Tech project review checklist and the current project architecture/evaluation plan. Numerical benchmark results are intentionally not presented as final results because the 100-document benchmark is a planned experiment at Review 0.</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Submission Draft — Review 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M.Tech Project — Review 0 | Text Anonymization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Times New Roman" w:hAnsi="Times New Roman"/>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