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40" w:line="259" w:lineRule="auto"/>
      </w:pPr>
      <w:r>
        <w:rPr>
          <w:rFonts w:ascii="Arial" w:hAnsi="Arial"/>
          <w:b w:val="0"/>
          <w:i w:val="0"/>
          <w:color w:val="A6813D"/>
          <w:sz w:val="17"/>
        </w:rPr>
        <w:t>NEBIOT  /  PROJECT DOCUMENTATION</w:t>
      </w:r>
    </w:p>
    <w:p>
      <w:pPr>
        <w:jc w:val="center"/>
      </w:pPr>
      <w:r>
        <w:drawing>
          <wp:inline xmlns:a="http://schemas.openxmlformats.org/drawingml/2006/main" xmlns:pic="http://schemas.openxmlformats.org/drawingml/2006/picture">
            <wp:extent cx="5760720" cy="1918365"/>
            <wp:docPr id="1" name="Picture 1" descr="NEBIOT English logo"/>
            <wp:cNvGraphicFramePr>
              <a:graphicFrameLocks noChangeAspect="1"/>
            </wp:cNvGraphicFramePr>
            <a:graphic>
              <a:graphicData uri="http://schemas.openxmlformats.org/drawingml/2006/picture">
                <pic:pic>
                  <pic:nvPicPr>
                    <pic:cNvPr id="0" name="NEBIOT-English-6000px.png"/>
                    <pic:cNvPicPr/>
                  </pic:nvPicPr>
                  <pic:blipFill>
                    <a:blip r:embed="rId11"/>
                    <a:stretch>
                      <a:fillRect/>
                    </a:stretch>
                  </pic:blipFill>
                  <pic:spPr>
                    <a:xfrm>
                      <a:off x="0" y="0"/>
                      <a:ext cx="5760720" cy="1918365"/>
                    </a:xfrm>
                    <a:prstGeom prst="rect"/>
                  </pic:spPr>
                </pic:pic>
              </a:graphicData>
            </a:graphic>
          </wp:inline>
        </w:drawing>
      </w:r>
    </w:p>
    <w:p>
      <w:pPr>
        <w:keepNext w:val="0"/>
        <w:spacing w:after="180" w:line="259" w:lineRule="auto"/>
      </w:pPr>
      <w:r>
        <w:rPr>
          <w:rFonts w:ascii="Arial" w:hAnsi="Arial"/>
          <w:b w:val="0"/>
          <w:i w:val="0"/>
          <w:color w:val="62716E"/>
          <w:sz w:val="16"/>
        </w:rPr>
        <w:t>Program authority: Nuevo Estándar Biotropical — NEBIOT S.A.S.</w:t>
      </w:r>
    </w:p>
    <w:p>
      <w:pPr>
        <w:pStyle w:val="Title"/>
        <w:spacing w:after="160"/>
        <w:pBdr>
          <w:bottom w:val="single" w:sz="8" w:color="A6813D" w:space="5"/>
        </w:pBdr>
      </w:pPr>
      <w:r>
        <w:t>Monitoring Report</w:t>
      </w:r>
    </w:p>
    <w:p>
      <w:pPr>
        <w:keepNext w:val="0"/>
        <w:spacing w:after="180" w:line="259" w:lineRule="auto"/>
      </w:pPr>
      <w:r>
        <w:rPr>
          <w:rFonts w:ascii="Arial" w:hAnsi="Arial"/>
          <w:b w:val="0"/>
          <w:i/>
          <w:color w:val="215F52"/>
          <w:sz w:val="21"/>
        </w:rPr>
        <w:t>Implementation, evidence and period-specific environmental accounts</w:t>
      </w:r>
    </w:p>
    <w:p>
      <w:pPr>
        <w:keepNext w:val="0"/>
        <w:spacing w:after="260" w:line="259" w:lineRule="auto"/>
      </w:pPr>
      <w:r>
        <w:rPr>
          <w:rFonts w:ascii="Arial" w:hAnsi="Arial"/>
          <w:b w:val="0"/>
          <w:i w:val="0"/>
          <w:color w:val="62716E"/>
          <w:sz w:val="17"/>
        </w:rPr>
        <w:t>Governing standard: NEBIOT 0.8.2   |   Template edition 1.3</w:t>
      </w:r>
    </w:p>
    <w:p>
      <w:pPr>
        <w:keepNext w:val="0"/>
        <w:spacing w:after="200" w:line="259" w:lineRule="auto"/>
      </w:pPr>
      <w:r>
        <w:rPr>
          <w:rFonts w:ascii="Arial" w:hAnsi="Arial"/>
          <w:b w:val="0"/>
          <w:i/>
          <w:color w:val="215F52"/>
          <w:sz w:val="32"/>
        </w:rPr>
        <w:t>[PROJECT NAME]</w:t>
      </w:r>
    </w:p>
    <w:p>
      <w:pPr>
        <w:spacing w:after="80"/>
      </w:pPr>
      <w:r>
        <w:rPr>
          <w:rFonts w:ascii="Arial" w:hAnsi="Arial"/>
          <w:b/>
          <w:i w:val="0"/>
          <w:color w:val="243A36"/>
          <w:sz w:val="18"/>
        </w:rPr>
        <w:t xml:space="preserve">Project ID: </w:t>
      </w:r>
      <w:r>
        <w:rPr>
          <w:rFonts w:ascii="Arial" w:hAnsi="Arial"/>
          <w:b w:val="0"/>
          <w:i/>
          <w:color w:val="62716E"/>
          <w:sz w:val="18"/>
        </w:rPr>
        <w:t>[Enter]</w:t>
      </w:r>
    </w:p>
    <w:p>
      <w:pPr>
        <w:spacing w:after="80"/>
      </w:pPr>
      <w:r>
        <w:rPr>
          <w:rFonts w:ascii="Arial" w:hAnsi="Arial"/>
          <w:b/>
          <w:i w:val="0"/>
          <w:color w:val="243A36"/>
          <w:sz w:val="18"/>
        </w:rPr>
        <w:t xml:space="preserve">Country / jurisdiction: </w:t>
      </w:r>
      <w:r>
        <w:rPr>
          <w:rFonts w:ascii="Arial" w:hAnsi="Arial"/>
          <w:b w:val="0"/>
          <w:i/>
          <w:color w:val="62716E"/>
          <w:sz w:val="18"/>
        </w:rPr>
        <w:t>[Enter]</w:t>
      </w:r>
    </w:p>
    <w:p>
      <w:pPr>
        <w:spacing w:after="80"/>
      </w:pPr>
      <w:r>
        <w:rPr>
          <w:rFonts w:ascii="Arial" w:hAnsi="Arial"/>
          <w:b/>
          <w:i w:val="0"/>
          <w:color w:val="243A36"/>
          <w:sz w:val="18"/>
        </w:rPr>
        <w:t xml:space="preserve">Project document version: </w:t>
      </w:r>
      <w:r>
        <w:rPr>
          <w:rFonts w:ascii="Arial" w:hAnsi="Arial"/>
          <w:b w:val="0"/>
          <w:i/>
          <w:color w:val="62716E"/>
          <w:sz w:val="18"/>
        </w:rPr>
        <w:t>[Enter]</w:t>
      </w:r>
    </w:p>
    <w:p>
      <w:pPr>
        <w:spacing w:after="80"/>
      </w:pPr>
      <w:r>
        <w:rPr>
          <w:rFonts w:ascii="Arial" w:hAnsi="Arial"/>
          <w:b/>
          <w:i w:val="0"/>
          <w:color w:val="243A36"/>
          <w:sz w:val="18"/>
        </w:rPr>
        <w:t xml:space="preserve">Issue date (YYYY-MM-DD): </w:t>
      </w:r>
      <w:r>
        <w:rPr>
          <w:rFonts w:ascii="Arial" w:hAnsi="Arial"/>
          <w:b w:val="0"/>
          <w:i/>
          <w:color w:val="62716E"/>
          <w:sz w:val="18"/>
        </w:rPr>
        <w:t>[Enter]</w:t>
      </w:r>
    </w:p>
    <w:p>
      <w:pPr>
        <w:spacing w:after="40"/>
      </w:pPr>
      <w:r>
        <w:rPr>
          <w:rFonts w:ascii="Arial" w:hAnsi="Arial" w:eastAsia="Arial" w:cs="Arial"/>
          <w:b/>
          <w:color w:val="243A36"/>
          <w:sz w:val="18"/>
        </w:rPr>
        <w:t xml:space="preserve">Monitoring interval: </w:t>
      </w:r>
      <w:sdt>
        <w:sdtPr>
          <w:id w:val="1002"/>
          <w:alias w:val="MR-interval"/>
          <w:tag w:val="MR-interval"/>
          <w:text w:multiLine="1"/>
        </w:sdtPr>
        <w:sdtContent>
          <w:r>
            <w:rPr>
              <w:rFonts w:ascii="Arial" w:hAnsi="Arial"/>
              <w:color w:val="62716E"/>
              <w:sz w:val="18"/>
            </w:rPr>
            <w:t>[Start — end; interval convention]</w:t>
          </w:r>
        </w:sdtContent>
      </w:sdt>
    </w:p>
    <w:p>
      <w:pPr>
        <w:spacing w:after="40"/>
      </w:pPr>
      <w:r>
        <w:rPr>
          <w:rFonts w:ascii="Arial" w:hAnsi="Arial" w:eastAsia="Arial" w:cs="Arial"/>
          <w:b/>
          <w:color w:val="243A36"/>
          <w:sz w:val="18"/>
        </w:rPr>
        <w:t xml:space="preserve">Report number: </w:t>
      </w:r>
      <w:sdt>
        <w:sdtPr>
          <w:id w:val="1001"/>
          <w:alias w:val="MR-number"/>
          <w:tag w:val="MR-number"/>
          <w:text w:multiLine="1"/>
        </w:sdtPr>
        <w:sdtContent>
          <w:r>
            <w:rPr>
              <w:rFonts w:ascii="Arial" w:hAnsi="Arial"/>
              <w:color w:val="62716E"/>
              <w:sz w:val="18"/>
            </w:rPr>
            <w:t>[Complete]</w:t>
          </w:r>
        </w:sdtContent>
      </w:sdt>
    </w:p>
    <w:p>
      <w:pPr>
        <w:keepNext w:val="0"/>
        <w:spacing w:after="100" w:line="259" w:lineRule="auto"/>
      </w:pPr>
      <w:r>
        <w:rPr>
          <w:rFonts w:ascii="Arial" w:hAnsi="Arial"/>
          <w:b w:val="0"/>
          <w:i w:val="0"/>
          <w:color w:val="215F52"/>
          <w:sz w:val="21"/>
        </w:rPr>
        <w:t>Implementing organizations and stakeholders</w:t>
      </w:r>
    </w:p>
    <w:tbl>
      <w:tblPr>
        <w:tblW w:type="auto" w:w="0"/>
        <w:jc w:val="center"/>
        <w:tblLayout w:type="fixed"/>
        <w:tblLook w:firstColumn="1" w:firstRow="1" w:lastColumn="0" w:lastRow="0" w:noHBand="0" w:noVBand="1" w:val="04A0"/>
      </w:tblPr>
      <w:tblGrid>
        <w:gridCol w:w="3249"/>
        <w:gridCol w:w="3249"/>
        <w:gridCol w:w="3249"/>
      </w:tblGrid>
      <w:tr>
        <w:trPr>
          <w:trHeight w:val="1296" w:hRule="atLeast"/>
        </w:trPr>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IMPLEMENTING ENTITY</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PROJECT PROPONENT</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RIGHTS HOLDERS / STAKEHOLDERS</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r>
    </w:tbl>
    <w:p>
      <w:pPr>
        <w:keepNext w:val="0"/>
        <w:spacing w:after="160" w:line="259" w:lineRule="auto"/>
      </w:pPr>
      <w:r>
        <w:rPr>
          <w:rFonts w:ascii="Arial" w:hAnsi="Arial"/>
          <w:b w:val="0"/>
          <w:i w:val="0"/>
          <w:color w:val="62716E"/>
          <w:sz w:val="16"/>
        </w:rPr>
        <w:t>Use authorized logos and identify each organization’s actual role. Logo display does not establish consent, project ownership, endorsement, validation or admission. Remove unused partner spaces from the completed submission.</w:t>
      </w:r>
    </w:p>
    <w:p>
      <w:pPr>
        <w:keepNext w:val="0"/>
        <w:spacing w:after="100" w:line="259" w:lineRule="auto"/>
      </w:pPr>
      <w:r>
        <w:rPr>
          <w:rFonts w:ascii="Arial" w:hAnsi="Arial"/>
          <w:b w:val="0"/>
          <w:i w:val="0"/>
          <w:color w:val="62716E"/>
          <w:sz w:val="15"/>
        </w:rPr>
        <w:t>The English logo wording is a translation, not a separate legal entity.</w:t>
      </w:r>
    </w:p>
    <w:p>
      <w:r>
        <w:br w:type="page"/>
      </w:r>
    </w:p>
    <w:p>
      <w:pPr>
        <w:keepNext/>
        <w:spacing w:after="100"/>
      </w:pPr>
      <w:r>
        <w:rPr>
          <w:rFonts w:ascii="Arial" w:hAnsi="Arial" w:eastAsia="Arial" w:cs="Arial"/>
          <w:b w:val="0"/>
          <w:color w:val="215F52"/>
          <w:sz w:val="46"/>
        </w:rPr>
        <w:t>License and use of this template</w:t>
      </w:r>
    </w:p>
    <w:p>
      <w:pPr>
        <w:spacing w:after="100"/>
      </w:pPr>
      <w:r>
        <w:rPr>
          <w:rFonts w:ascii="Arial" w:hAnsi="Arial" w:eastAsia="Arial" w:cs="Arial"/>
          <w:b w:val="0"/>
          <w:color w:val="243A36"/>
          <w:sz w:val="19"/>
        </w:rPr>
        <w:t>This document is issued by Nuevo Estándar Biotropical—NEBIOT S.A.S. Henry Arellano-Peña is the methodological author of NEB001 and NEB002. Rights in NEBIOT's protected materials remain with their respective rights holders. Commercial use, reproduction, adaptation, redistribution, and sublicensing of protected material are subject to the applicable license or specific written permission from the authorized rights holder; permissions for use within the NEBIOT program shall be recorded in FRM-07 under S-21. Access to this document does not itself grant a commercial license, transfer ownership, authorize sublicensing, confer program admission, or authorize certification or issuance of environmental units. Supporting publications and third-party data, software, and images retain their respective licenses and attribution requirements; existing lawful permissions and uses permitted by applicable law remain unaffected. Authorized independent reviewers shall receive the access necessary for inspection, recalculation, and reporting under S-22, subject to the applicable permissions and confidentiality safeguards.</w:t>
      </w:r>
    </w:p>
    <w:p>
      <w:pPr>
        <w:spacing w:after="100"/>
      </w:pPr>
      <w:r>
        <w:rPr>
          <w:rFonts w:ascii="Arial" w:hAnsi="Arial" w:eastAsia="Arial" w:cs="Arial"/>
          <w:b/>
          <w:color w:val="215F52"/>
          <w:sz w:val="21"/>
        </w:rPr>
        <w:t>Completion instructions</w:t>
      </w:r>
    </w:p>
    <w:p>
      <w:pPr>
        <w:spacing w:after="100"/>
      </w:pPr>
      <w:r>
        <w:rPr>
          <w:rFonts w:ascii="Arial" w:hAnsi="Arial" w:eastAsia="Arial" w:cs="Arial"/>
          <w:b w:val="0"/>
          <w:color w:val="243A36"/>
          <w:sz w:val="19"/>
        </w:rPr>
        <w:t>Complete the bracketed fields and expand tables as needed. Use an explicit missing-data status rather than zero; justify non-applicability. Identify each value as observed, modeled, assumed, projected, verified or authorized. Preserve adverse outcomes and unresolved findings. Record the exact PD, Ex-Ante, Ex-Post and workbook versions. Cross-references do not replace evidence of implementation during this interval.</w:t>
      </w:r>
    </w:p>
    <w:p>
      <w:pPr>
        <w:spacing w:after="100"/>
      </w:pPr>
      <w:r>
        <w:rPr>
          <w:rFonts w:ascii="Arial" w:hAnsi="Arial" w:eastAsia="Arial" w:cs="Arial"/>
          <w:b/>
          <w:color w:val="215F52"/>
          <w:sz w:val="21"/>
        </w:rPr>
        <w:t>Reference and scope</w:t>
      </w:r>
    </w:p>
    <w:p>
      <w:pPr>
        <w:spacing w:after="100"/>
      </w:pPr>
      <w:r>
        <w:rPr>
          <w:rFonts w:ascii="Arial" w:hAnsi="Arial" w:eastAsia="Arial" w:cs="Arial"/>
          <w:b w:val="0"/>
          <w:color w:val="243A36"/>
          <w:sz w:val="18"/>
        </w:rPr>
        <w:t>Governing basis: NEBIOT Standard 0.8.2 [1]. The PD [2], Ex-Ante [3] and Ex-Post [4] templates and Environmental Accounts [5] retain edition 1.2. Clause, equation, AP and FRM identifiers refer to [1]; report table identifiers are navigation labels, not new requirements. Use the approved project versions and profile. Complete references appear after the crosswalk.</w:t>
      </w:r>
    </w:p>
    <w:p>
      <w:pPr>
        <w:spacing w:after="100"/>
      </w:pPr>
      <w:r>
        <w:rPr>
          <w:rFonts w:ascii="Arial" w:hAnsi="Arial" w:eastAsia="Arial" w:cs="Arial"/>
          <w:b w:val="0"/>
          <w:color w:val="243A36"/>
          <w:sz w:val="18"/>
        </w:rPr>
        <w:t>PD means Project Description; EA denotes the dated Ex-Ante Estimate; EP denotes the Ex-Post Outcome Report; MR identifies this Monitoring Report. Use the Ex-Post report as an attached or embedded quantitative annex, not an additional quantity. NEBIOT provides contracted technical services; the proponent and implementing entity retain their S-25 duties. The OVV controls independent assessment. S-26 applies to exceptional NEBIOT interests.</w:t>
      </w:r>
    </w:p>
    <w:p>
      <w:pPr>
        <w:keepNext/>
        <w:pageBreakBefore/>
        <w:spacing w:after="100"/>
      </w:pPr>
      <w:r>
        <w:rPr>
          <w:rFonts w:ascii="Arial" w:hAnsi="Arial" w:eastAsia="Arial" w:cs="Arial"/>
          <w:b w:val="0"/>
          <w:color w:val="215F52"/>
          <w:sz w:val="46"/>
        </w:rPr>
        <w:t>Document control</w:t>
      </w:r>
    </w:p>
    <w:p>
      <w:pPr>
        <w:spacing w:after="100"/>
      </w:pPr>
      <w:r>
        <w:rPr>
          <w:rFonts w:ascii="Arial" w:hAnsi="Arial" w:eastAsia="Arial" w:cs="Arial"/>
          <w:b w:val="0"/>
          <w:color w:val="215F52"/>
          <w:sz w:val="18"/>
        </w:rPr>
        <w:t>Complete one report for the stated monitoring interval. Preserve the governing PD, the frozen forecast and the reported account as separately identified records. This report supports monitoring submission; it is not an independent verification opinion or a unit-issuance decision.</w:t>
      </w:r>
    </w:p>
    <w:p>
      <w:pPr>
        <w:keepNext/>
        <w:spacing w:after="100"/>
      </w:pPr>
      <w:r>
        <w:rPr>
          <w:rFonts w:ascii="Arial" w:hAnsi="Arial" w:eastAsia="Arial" w:cs="Arial"/>
          <w:b/>
          <w:color w:val="215F52"/>
          <w:sz w:val="20"/>
        </w:rPr>
        <w:t>MR-CTRL / Report record</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3515"/>
        <w:gridCol w:w="6225"/>
      </w:tblGrid>
      <w:tr>
        <w:trPr>
          <w:tblHeader/>
        </w:trPr>
        <w:tc>
          <w:tcPr>
            <w:tcW w:type="dxa" w:w="3515"/>
            <w:vAlign w:val="center"/>
            <w:shd w:fill="F1F5F2"/>
          </w:tcPr>
          <w:p>
            <w:pPr>
              <w:keepNext/>
              <w:spacing w:after="20"/>
            </w:pPr>
            <w:r>
              <w:rPr>
                <w:rFonts w:ascii="Arial" w:hAnsi="Arial" w:eastAsia="Arial" w:cs="Arial"/>
                <w:b/>
                <w:color w:val="215F52"/>
                <w:sz w:val="17"/>
              </w:rPr>
              <w:t>Field</w:t>
            </w:r>
          </w:p>
        </w:tc>
        <w:tc>
          <w:tcPr>
            <w:tcW w:type="dxa" w:w="6225"/>
            <w:vAlign w:val="center"/>
            <w:shd w:fill="F1F5F2"/>
          </w:tcPr>
          <w:p>
            <w:pPr>
              <w:keepNext/>
              <w:spacing w:after="20"/>
            </w:pPr>
            <w:r>
              <w:rPr>
                <w:rFonts w:ascii="Arial" w:hAnsi="Arial" w:eastAsia="Arial" w:cs="Arial"/>
                <w:b/>
                <w:color w:val="215F52"/>
                <w:sz w:val="17"/>
              </w:rPr>
              <w:t>Record</w:t>
            </w:r>
          </w:p>
        </w:tc>
      </w:tr>
      <w:tr>
        <w:trPr>
          <w:trHeight w:val="442" w:hRule="atLeast"/>
        </w:trPr>
        <w:tc>
          <w:tcPr>
            <w:tcW w:type="dxa" w:w="3515"/>
            <w:vAlign w:val="top"/>
          </w:tcPr>
          <w:p>
            <w:pPr>
              <w:keepNext w:val="0"/>
              <w:spacing w:after="20"/>
            </w:pPr>
            <w:r>
              <w:rPr>
                <w:rFonts w:ascii="Arial" w:hAnsi="Arial" w:eastAsia="Arial" w:cs="Arial"/>
                <w:b w:val="0"/>
                <w:color w:val="243A36"/>
                <w:sz w:val="17"/>
              </w:rPr>
              <w:t>Template / governing standard</w:t>
            </w:r>
          </w:p>
        </w:tc>
        <w:tc>
          <w:tcPr>
            <w:tcW w:type="dxa" w:w="6225"/>
            <w:vAlign w:val="top"/>
          </w:tcPr>
          <w:p>
            <w:pPr>
              <w:keepNext w:val="0"/>
              <w:spacing w:after="20"/>
            </w:pPr>
            <w:r>
              <w:rPr>
                <w:rFonts w:ascii="Arial" w:hAnsi="Arial" w:eastAsia="Arial" w:cs="Arial"/>
                <w:b w:val="0"/>
                <w:color w:val="243A36"/>
                <w:sz w:val="17"/>
              </w:rPr>
              <w:t>MONITORING / 1.3 / EN; NEBIOT 0.8.2</w:t>
            </w:r>
          </w:p>
        </w:tc>
      </w:tr>
      <w:tr>
        <w:trPr>
          <w:trHeight w:val="442" w:hRule="atLeast"/>
        </w:trPr>
        <w:tc>
          <w:tcPr>
            <w:tcW w:type="dxa" w:w="3515"/>
            <w:vAlign w:val="top"/>
          </w:tcPr>
          <w:p>
            <w:pPr>
              <w:keepNext w:val="0"/>
              <w:spacing w:after="20"/>
            </w:pPr>
            <w:r>
              <w:rPr>
                <w:rFonts w:ascii="Arial" w:hAnsi="Arial" w:eastAsia="Arial" w:cs="Arial"/>
                <w:b w:val="0"/>
                <w:color w:val="243A36"/>
                <w:sz w:val="17"/>
              </w:rPr>
              <w:t>Project name and identifier</w:t>
            </w:r>
          </w:p>
        </w:tc>
        <w:tc>
          <w:tcPr>
            <w:tcW w:type="dxa" w:w="6225"/>
            <w:vAlign w:val="top"/>
          </w:tcPr>
          <w:p>
            <w:pPr>
              <w:keepNext w:val="0"/>
              <w:spacing w:after="20"/>
            </w:pPr>
            <w:sdt>
              <w:sdtPr>
                <w:id w:val="1003"/>
                <w:alias w:val="MR-CTRL-R2-C2"/>
                <w:tag w:val="MR-CTRL-R2-C2"/>
                <w:text w:multiLine="1"/>
              </w:sdtPr>
              <w:sdtContent>
                <w:r>
                  <w:rPr>
                    <w:rFonts w:ascii="Arial" w:hAnsi="Arial"/>
                    <w:color w:val="62716E"/>
                    <w:sz w:val="18"/>
                  </w:rPr>
                  <w:t>[Complete]</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Monitoring report number and project revision</w:t>
            </w:r>
          </w:p>
        </w:tc>
        <w:tc>
          <w:tcPr>
            <w:tcW w:type="dxa" w:w="6225"/>
            <w:vAlign w:val="top"/>
          </w:tcPr>
          <w:p>
            <w:pPr>
              <w:keepNext w:val="0"/>
              <w:spacing w:after="20"/>
            </w:pPr>
            <w:sdt>
              <w:sdtPr>
                <w:id w:val="1004"/>
                <w:alias w:val="MR-CTRL-R3-C2"/>
                <w:tag w:val="MR-CTRL-R3-C2"/>
                <w:text w:multiLine="1"/>
              </w:sdtPr>
              <w:sdtContent>
                <w:r>
                  <w:rPr>
                    <w:rFonts w:ascii="Arial" w:hAnsi="Arial"/>
                    <w:color w:val="62716E"/>
                    <w:sz w:val="18"/>
                  </w:rPr>
                  <w:t>[Complete]</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Monitoring start and end / interval convention</w:t>
            </w:r>
          </w:p>
        </w:tc>
        <w:tc>
          <w:tcPr>
            <w:tcW w:type="dxa" w:w="6225"/>
            <w:vAlign w:val="top"/>
          </w:tcPr>
          <w:p>
            <w:pPr>
              <w:keepNext w:val="0"/>
              <w:spacing w:after="20"/>
            </w:pPr>
            <w:sdt>
              <w:sdtPr>
                <w:id w:val="1005"/>
                <w:alias w:val="MR-CTRL-R4-C2"/>
                <w:tag w:val="MR-CTRL-R4-C2"/>
                <w:text w:multiLine="1"/>
              </w:sdtPr>
              <w:sdtContent>
                <w:r>
                  <w:rPr>
                    <w:rFonts w:ascii="Arial" w:hAnsi="Arial"/>
                    <w:color w:val="62716E"/>
                    <w:sz w:val="18"/>
                  </w:rPr>
                  <w:t>[Complete]</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Evidence cut-off / submission date</w:t>
            </w:r>
          </w:p>
        </w:tc>
        <w:tc>
          <w:tcPr>
            <w:tcW w:type="dxa" w:w="6225"/>
            <w:vAlign w:val="top"/>
          </w:tcPr>
          <w:p>
            <w:pPr>
              <w:keepNext w:val="0"/>
              <w:spacing w:after="20"/>
            </w:pPr>
            <w:sdt>
              <w:sdtPr>
                <w:id w:val="1006"/>
                <w:alias w:val="MR-CTRL-R5-C2"/>
                <w:tag w:val="MR-CTRL-R5-C2"/>
                <w:text w:multiLine="1"/>
              </w:sdtPr>
              <w:sdtContent>
                <w:r>
                  <w:rPr>
                    <w:rFonts w:ascii="Arial" w:hAnsi="Arial"/>
                    <w:color w:val="62716E"/>
                    <w:sz w:val="18"/>
                  </w:rPr>
                  <w:t>[Complete]</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PD / EA / EP / workbook versions</w:t>
            </w:r>
          </w:p>
        </w:tc>
        <w:tc>
          <w:tcPr>
            <w:tcW w:type="dxa" w:w="6225"/>
            <w:vAlign w:val="top"/>
          </w:tcPr>
          <w:p>
            <w:pPr>
              <w:keepNext w:val="0"/>
              <w:spacing w:after="20"/>
            </w:pPr>
            <w:sdt>
              <w:sdtPr>
                <w:id w:val="1007"/>
                <w:alias w:val="MR-CTRL-R6-C2"/>
                <w:tag w:val="MR-CTRL-R6-C2"/>
                <w:text w:multiLine="1"/>
              </w:sdtPr>
              <w:sdtContent>
                <w:r>
                  <w:rPr>
                    <w:rFonts w:ascii="Arial" w:hAnsi="Arial"/>
                    <w:color w:val="62716E"/>
                    <w:sz w:val="18"/>
                  </w:rPr>
                  <w:t>[Complete]</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Prepared by / reviewed by / submitted by</w:t>
            </w:r>
          </w:p>
        </w:tc>
        <w:tc>
          <w:tcPr>
            <w:tcW w:type="dxa" w:w="6225"/>
            <w:vAlign w:val="top"/>
          </w:tcPr>
          <w:p>
            <w:pPr>
              <w:keepNext w:val="0"/>
              <w:spacing w:after="20"/>
            </w:pPr>
            <w:sdt>
              <w:sdtPr>
                <w:id w:val="1008"/>
                <w:alias w:val="MR-CTRL-R7-C2"/>
                <w:tag w:val="MR-CTRL-R7-C2"/>
                <w:text w:multiLine="1"/>
              </w:sdtPr>
              <w:sdtContent>
                <w:r>
                  <w:rPr>
                    <w:rFonts w:ascii="Arial" w:hAnsi="Arial"/>
                    <w:color w:val="62716E"/>
                    <w:sz w:val="18"/>
                  </w:rPr>
                  <w:t>[Complete]</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Distribution, access and restrictions</w:t>
            </w:r>
          </w:p>
        </w:tc>
        <w:tc>
          <w:tcPr>
            <w:tcW w:type="dxa" w:w="6225"/>
            <w:vAlign w:val="top"/>
          </w:tcPr>
          <w:p>
            <w:pPr>
              <w:keepNext w:val="0"/>
              <w:spacing w:after="20"/>
            </w:pPr>
            <w:sdt>
              <w:sdtPr>
                <w:id w:val="1009"/>
                <w:alias w:val="MR-CTRL-R8-C2"/>
                <w:tag w:val="MR-CTRL-R8-C2"/>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color w:val="215F52"/>
          <w:sz w:val="20"/>
        </w:rPr>
        <w:t>MR-REV / Report revision history</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Version / date</w:t>
            </w:r>
          </w:p>
        </w:tc>
        <w:tc>
          <w:tcPr>
            <w:tcW w:type="dxa" w:w="3572"/>
            <w:vAlign w:val="center"/>
            <w:shd w:fill="F1F5F2"/>
          </w:tcPr>
          <w:p>
            <w:pPr>
              <w:keepNext/>
              <w:spacing w:after="20"/>
            </w:pPr>
            <w:r>
              <w:rPr>
                <w:rFonts w:ascii="Arial" w:hAnsi="Arial" w:eastAsia="Arial" w:cs="Arial"/>
                <w:b/>
                <w:color w:val="215F52"/>
                <w:sz w:val="17"/>
              </w:rPr>
              <w:t>Change and affected scope</w:t>
            </w:r>
          </w:p>
        </w:tc>
        <w:tc>
          <w:tcPr>
            <w:tcW w:type="dxa" w:w="3390"/>
            <w:vAlign w:val="center"/>
            <w:shd w:fill="F1F5F2"/>
          </w:tcPr>
          <w:p>
            <w:pPr>
              <w:keepNext/>
              <w:spacing w:after="20"/>
            </w:pPr>
            <w:r>
              <w:rPr>
                <w:rFonts w:ascii="Arial" w:hAnsi="Arial" w:eastAsia="Arial" w:cs="Arial"/>
                <w:b/>
                <w:color w:val="215F52"/>
                <w:sz w:val="17"/>
              </w:rPr>
              <w:t>Authority / status / prior record</w:t>
            </w:r>
          </w:p>
        </w:tc>
      </w:tr>
      <w:tr>
        <w:trPr>
          <w:trHeight w:val="442" w:hRule="atLeast"/>
        </w:trPr>
        <w:tc>
          <w:tcPr>
            <w:tcW w:type="dxa" w:w="2778"/>
            <w:vAlign w:val="top"/>
          </w:tcPr>
          <w:p>
            <w:pPr>
              <w:keepNext w:val="0"/>
              <w:spacing w:after="20"/>
            </w:pPr>
            <w:sdt>
              <w:sdtPr>
                <w:id w:val="1010"/>
                <w:alias w:val="MR-REV-R1-C1"/>
                <w:tag w:val="MR-REV-R1-C1"/>
                <w:text w:multiLine="1"/>
              </w:sdtPr>
              <w:sdtContent>
                <w:r>
                  <w:rPr>
                    <w:rFonts w:ascii="Arial" w:hAnsi="Arial"/>
                    <w:color w:val="62716E"/>
                    <w:sz w:val="18"/>
                  </w:rPr>
                  <w:t>[Complete]</w:t>
                </w:r>
              </w:sdtContent>
            </w:sdt>
          </w:p>
        </w:tc>
        <w:tc>
          <w:tcPr>
            <w:tcW w:type="dxa" w:w="3572"/>
            <w:vAlign w:val="top"/>
          </w:tcPr>
          <w:p>
            <w:pPr>
              <w:keepNext w:val="0"/>
              <w:spacing w:after="20"/>
            </w:pPr>
            <w:sdt>
              <w:sdtPr>
                <w:id w:val="1011"/>
                <w:alias w:val="MR-REV-R1-C2"/>
                <w:tag w:val="MR-REV-R1-C2"/>
                <w:text w:multiLine="1"/>
              </w:sdtPr>
              <w:sdtContent>
                <w:r>
                  <w:rPr>
                    <w:rFonts w:ascii="Arial" w:hAnsi="Arial"/>
                    <w:color w:val="62716E"/>
                    <w:sz w:val="18"/>
                  </w:rPr>
                  <w:t>[Complete]</w:t>
                </w:r>
              </w:sdtContent>
            </w:sdt>
          </w:p>
        </w:tc>
        <w:tc>
          <w:tcPr>
            <w:tcW w:type="dxa" w:w="3390"/>
            <w:vAlign w:val="top"/>
          </w:tcPr>
          <w:p>
            <w:pPr>
              <w:keepNext w:val="0"/>
              <w:spacing w:after="20"/>
            </w:pPr>
            <w:sdt>
              <w:sdtPr>
                <w:id w:val="1012"/>
                <w:alias w:val="MR-REV-R1-C3"/>
                <w:tag w:val="MR-REV-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013"/>
                <w:alias w:val="MR-REV-R2-C1"/>
                <w:tag w:val="MR-REV-R2-C1"/>
                <w:text w:multiLine="1"/>
              </w:sdtPr>
              <w:sdtContent>
                <w:r>
                  <w:rPr>
                    <w:rFonts w:ascii="Arial" w:hAnsi="Arial"/>
                    <w:color w:val="62716E"/>
                    <w:sz w:val="18"/>
                  </w:rPr>
                  <w:t>[Complete]</w:t>
                </w:r>
              </w:sdtContent>
            </w:sdt>
          </w:p>
        </w:tc>
        <w:tc>
          <w:tcPr>
            <w:tcW w:type="dxa" w:w="3572"/>
            <w:vAlign w:val="top"/>
          </w:tcPr>
          <w:p>
            <w:pPr>
              <w:keepNext w:val="0"/>
              <w:spacing w:after="20"/>
            </w:pPr>
            <w:sdt>
              <w:sdtPr>
                <w:id w:val="1014"/>
                <w:alias w:val="MR-REV-R2-C2"/>
                <w:tag w:val="MR-REV-R2-C2"/>
                <w:text w:multiLine="1"/>
              </w:sdtPr>
              <w:sdtContent>
                <w:r>
                  <w:rPr>
                    <w:rFonts w:ascii="Arial" w:hAnsi="Arial"/>
                    <w:color w:val="62716E"/>
                    <w:sz w:val="18"/>
                  </w:rPr>
                  <w:t>[Complete]</w:t>
                </w:r>
              </w:sdtContent>
            </w:sdt>
          </w:p>
        </w:tc>
        <w:tc>
          <w:tcPr>
            <w:tcW w:type="dxa" w:w="3390"/>
            <w:vAlign w:val="top"/>
          </w:tcPr>
          <w:p>
            <w:pPr>
              <w:keepNext w:val="0"/>
              <w:spacing w:after="20"/>
            </w:pPr>
            <w:sdt>
              <w:sdtPr>
                <w:id w:val="1015"/>
                <w:alias w:val="MR-REV-R2-C3"/>
                <w:tag w:val="MR-REV-R2-C3"/>
                <w:text w:multiLine="1"/>
              </w:sdtPr>
              <w:sdtContent>
                <w:r>
                  <w:rPr>
                    <w:rFonts w:ascii="Arial" w:hAnsi="Arial"/>
                    <w:color w:val="62716E"/>
                    <w:sz w:val="18"/>
                  </w:rPr>
                  <w:t>[Complete]</w:t>
                </w:r>
              </w:sdtContent>
            </w:sdt>
          </w:p>
        </w:tc>
      </w:tr>
    </w:tbl>
    <w:p>
      <w:pPr>
        <w:spacing w:after="20" w:before="0" w:line="40" w:lineRule="exact"/>
      </w:pPr>
      <w:r>
        <w:rPr>
          <w:sz w:val="4"/>
        </w:rPr>
      </w:r>
    </w:p>
    <w:p>
      <w:pPr>
        <w:keepNext/>
        <w:pageBreakBefore/>
        <w:spacing w:after="100"/>
      </w:pPr>
      <w:r>
        <w:rPr>
          <w:rFonts w:ascii="Arial" w:hAnsi="Arial" w:eastAsia="Arial" w:cs="Arial"/>
          <w:b w:val="0"/>
          <w:color w:val="215F52"/>
          <w:sz w:val="46"/>
        </w:rPr>
        <w:t>Contents — linked sections</w:t>
      </w:r>
    </w:p>
    <w:p>
      <w:pPr>
        <w:keepNext w:val="0"/>
        <w:spacing w:after="60"/>
      </w:pPr>
      <w:hyperlink w:anchor="MR_01">
        <w:r>
          <w:rPr>
            <w:color w:val="215F52"/>
            <w:sz w:val="18"/>
          </w:rPr>
          <w:t>01  Monitoring period and results overview</w:t>
        </w:r>
      </w:hyperlink>
    </w:p>
    <w:p>
      <w:pPr>
        <w:keepNext w:val="0"/>
        <w:spacing w:after="60"/>
      </w:pPr>
      <w:hyperlink w:anchor="MR_02">
        <w:r>
          <w:rPr>
            <w:color w:val="215F52"/>
            <w:sz w:val="18"/>
          </w:rPr>
          <w:t>02  Controlled PD, forecast and outcome records</w:t>
        </w:r>
      </w:hyperlink>
    </w:p>
    <w:p>
      <w:pPr>
        <w:keepNext w:val="0"/>
        <w:spacing w:after="60"/>
      </w:pPr>
      <w:hyperlink w:anchor="MR_03">
        <w:r>
          <w:rPr>
            <w:color w:val="215F52"/>
            <w:sz w:val="18"/>
          </w:rPr>
          <w:t>03  Responsible parties, rights and access</w:t>
        </w:r>
      </w:hyperlink>
    </w:p>
    <w:p>
      <w:pPr>
        <w:keepNext w:val="0"/>
        <w:spacing w:after="60"/>
      </w:pPr>
      <w:hyperlink w:anchor="MR_04">
        <w:r>
          <w:rPr>
            <w:color w:val="215F52"/>
            <w:sz w:val="18"/>
          </w:rPr>
          <w:t>04  Implementation against the PD</w:t>
        </w:r>
      </w:hyperlink>
    </w:p>
    <w:p>
      <w:pPr>
        <w:keepNext w:val="0"/>
        <w:spacing w:after="60"/>
      </w:pPr>
      <w:hyperlink w:anchor="MR_05">
        <w:r>
          <w:rPr>
            <w:color w:val="215F52"/>
            <w:sz w:val="18"/>
          </w:rPr>
          <w:t>05  Monitoring plan: intended versus performed</w:t>
        </w:r>
      </w:hyperlink>
    </w:p>
    <w:p>
      <w:pPr>
        <w:keepNext w:val="0"/>
        <w:spacing w:after="60"/>
      </w:pPr>
      <w:hyperlink w:anchor="MR_06">
        <w:r>
          <w:rPr>
            <w:color w:val="215F52"/>
            <w:sz w:val="18"/>
          </w:rPr>
          <w:t>06  Spatial scope and monitoring maps</w:t>
        </w:r>
      </w:hyperlink>
    </w:p>
    <w:p>
      <w:pPr>
        <w:keepNext w:val="0"/>
        <w:spacing w:after="60"/>
      </w:pPr>
      <w:hyperlink w:anchor="MR_07">
        <w:r>
          <w:rPr>
            <w:color w:val="215F52"/>
            <w:sz w:val="18"/>
          </w:rPr>
          <w:t>07  NEB001: vegetation identity and change</w:t>
        </w:r>
      </w:hyperlink>
    </w:p>
    <w:p>
      <w:pPr>
        <w:keepNext w:val="0"/>
        <w:spacing w:after="60"/>
      </w:pPr>
      <w:hyperlink w:anchor="MR_08">
        <w:r>
          <w:rPr>
            <w:color w:val="215F52"/>
            <w:sz w:val="18"/>
          </w:rPr>
          <w:t>08  NEB002: material, carbon and model evidence</w:t>
        </w:r>
      </w:hyperlink>
    </w:p>
    <w:p>
      <w:pPr>
        <w:keepNext w:val="0"/>
        <w:spacing w:after="60"/>
      </w:pPr>
      <w:hyperlink w:anchor="MR_09">
        <w:r>
          <w:rPr>
            <w:color w:val="215F52"/>
            <w:sz w:val="18"/>
          </w:rPr>
          <w:t>09  Quality control, custody and missing observations</w:t>
        </w:r>
      </w:hyperlink>
    </w:p>
    <w:p>
      <w:pPr>
        <w:keepNext w:val="0"/>
        <w:spacing w:after="60"/>
      </w:pPr>
      <w:hyperlink w:anchor="MR_10">
        <w:r>
          <w:rPr>
            <w:color w:val="215F52"/>
            <w:sz w:val="18"/>
          </w:rPr>
          <w:t>10  Deviations, corrections and parameter changes</w:t>
        </w:r>
      </w:hyperlink>
    </w:p>
    <w:p>
      <w:pPr>
        <w:keepNext w:val="0"/>
        <w:spacing w:after="60"/>
      </w:pPr>
      <w:hyperlink w:anchor="MR_11">
        <w:r>
          <w:rPr>
            <w:color w:val="215F52"/>
            <w:sz w:val="18"/>
          </w:rPr>
          <w:t>11  Counterfactual for the monitored interval</w:t>
        </w:r>
      </w:hyperlink>
    </w:p>
    <w:p>
      <w:pPr>
        <w:keepNext w:val="0"/>
        <w:spacing w:after="60"/>
      </w:pPr>
      <w:hyperlink w:anchor="MR_12">
        <w:r>
          <w:rPr>
            <w:color w:val="215F52"/>
            <w:sz w:val="18"/>
          </w:rPr>
          <w:t>12  Actual project emissions and removals</w:t>
        </w:r>
      </w:hyperlink>
    </w:p>
    <w:p>
      <w:pPr>
        <w:keepNext w:val="0"/>
        <w:spacing w:after="60"/>
      </w:pPr>
      <w:hyperlink w:anchor="MR_13">
        <w:r>
          <w:rPr>
            <w:color w:val="215F52"/>
            <w:sz w:val="18"/>
          </w:rPr>
          <w:t>13  Offsite activity and attributable leakage</w:t>
        </w:r>
      </w:hyperlink>
    </w:p>
    <w:p>
      <w:pPr>
        <w:keepNext w:val="0"/>
        <w:spacing w:after="60"/>
      </w:pPr>
      <w:hyperlink w:anchor="MR_14">
        <w:r>
          <w:rPr>
            <w:color w:val="215F52"/>
            <w:sz w:val="18"/>
          </w:rPr>
          <w:t>14  Stocks, delayed releases and cohort continuity</w:t>
        </w:r>
      </w:hyperlink>
    </w:p>
    <w:p>
      <w:pPr>
        <w:keepNext w:val="0"/>
        <w:spacing w:after="60"/>
      </w:pPr>
      <w:hyperlink w:anchor="MR_15">
        <w:r>
          <w:rPr>
            <w:color w:val="215F52"/>
            <w:sz w:val="18"/>
          </w:rPr>
          <w:t>15  Signed ex-post account and reporting totals</w:t>
        </w:r>
      </w:hyperlink>
    </w:p>
    <w:p>
      <w:pPr>
        <w:keepNext w:val="0"/>
        <w:spacing w:after="60"/>
      </w:pPr>
      <w:hyperlink w:anchor="MR_16">
        <w:r>
          <w:rPr>
            <w:color w:val="215F52"/>
            <w:sz w:val="18"/>
          </w:rPr>
          <w:t>16  Uncertainty, conservativeness and materiality</w:t>
        </w:r>
      </w:hyperlink>
    </w:p>
    <w:p>
      <w:pPr>
        <w:keepNext w:val="0"/>
        <w:spacing w:after="60"/>
      </w:pPr>
      <w:hyperlink w:anchor="MR_17">
        <w:r>
          <w:rPr>
            <w:color w:val="215F52"/>
            <w:sz w:val="18"/>
          </w:rPr>
          <w:t>17  Risk, reserve and disturbance response</w:t>
        </w:r>
      </w:hyperlink>
    </w:p>
    <w:p>
      <w:pPr>
        <w:keepNext w:val="0"/>
        <w:spacing w:after="60"/>
      </w:pPr>
      <w:hyperlink w:anchor="MR_18">
        <w:r>
          <w:rPr>
            <w:color w:val="215F52"/>
            <w:sz w:val="18"/>
          </w:rPr>
          <w:t>18  Settlement, negative results and continuity</w:t>
        </w:r>
      </w:hyperlink>
    </w:p>
    <w:p>
      <w:pPr>
        <w:keepNext w:val="0"/>
        <w:spacing w:after="60"/>
      </w:pPr>
      <w:hyperlink w:anchor="MR_19">
        <w:r>
          <w:rPr>
            <w:color w:val="215F52"/>
            <w:sz w:val="18"/>
          </w:rPr>
          <w:t>19  Comparison with the frozen ex-ante forecast</w:t>
        </w:r>
      </w:hyperlink>
    </w:p>
    <w:p>
      <w:pPr>
        <w:keepNext w:val="0"/>
        <w:spacing w:after="60"/>
      </w:pPr>
      <w:hyperlink w:anchor="MR_20">
        <w:r>
          <w:rPr>
            <w:color w:val="215F52"/>
            <w:sz w:val="18"/>
          </w:rPr>
          <w:t>20  Continuing additionality and overlapping initiatives</w:t>
        </w:r>
      </w:hyperlink>
    </w:p>
    <w:p>
      <w:pPr>
        <w:keepNext w:val="0"/>
        <w:spacing w:after="60"/>
      </w:pPr>
      <w:hyperlink w:anchor="MR_21">
        <w:r>
          <w:rPr>
            <w:color w:val="215F52"/>
            <w:sz w:val="18"/>
          </w:rPr>
          <w:t>21  Participation, safeguards and benefit-sharing</w:t>
        </w:r>
      </w:hyperlink>
    </w:p>
    <w:p>
      <w:pPr>
        <w:keepNext w:val="0"/>
        <w:spacing w:after="60"/>
      </w:pPr>
      <w:hyperlink w:anchor="MR_22">
        <w:r>
          <w:rPr>
            <w:color w:val="215F52"/>
            <w:sz w:val="18"/>
          </w:rPr>
          <w:t>22  Ecosystem, biodiversity and social outcomes</w:t>
        </w:r>
      </w:hyperlink>
    </w:p>
    <w:p>
      <w:pPr>
        <w:keepNext w:val="0"/>
        <w:spacing w:after="60"/>
      </w:pPr>
      <w:hyperlink w:anchor="MR_23">
        <w:r>
          <w:rPr>
            <w:color w:val="215F52"/>
            <w:sz w:val="18"/>
          </w:rPr>
          <w:t>23  Migration and prior claim continuity</w:t>
        </w:r>
      </w:hyperlink>
    </w:p>
    <w:p>
      <w:pPr>
        <w:keepNext w:val="0"/>
        <w:spacing w:after="60"/>
      </w:pPr>
      <w:hyperlink w:anchor="MR_24">
        <w:r>
          <w:rPr>
            <w:color w:val="215F52"/>
            <w:sz w:val="18"/>
          </w:rPr>
          <w:t>24  NVEU request and claim boundaries</w:t>
        </w:r>
      </w:hyperlink>
    </w:p>
    <w:p>
      <w:pPr>
        <w:keepNext w:val="0"/>
        <w:spacing w:after="60"/>
      </w:pPr>
      <w:hyperlink w:anchor="MR_25">
        <w:r>
          <w:rPr>
            <w:color w:val="215F52"/>
            <w:sz w:val="18"/>
          </w:rPr>
          <w:t>25  Findings, submission and separate decisions</w:t>
        </w:r>
      </w:hyperlink>
    </w:p>
    <w:p>
      <w:pPr>
        <w:keepNext w:val="0"/>
        <w:spacing w:after="60"/>
      </w:pPr>
      <w:hyperlink w:anchor="MR_26">
        <w:r>
          <w:rPr>
            <w:color w:val="215F52"/>
            <w:sz w:val="18"/>
          </w:rPr>
          <w:t>26  Evidence handover and next-period actions</w:t>
        </w:r>
      </w:hyperlink>
    </w:p>
    <w:p>
      <w:pPr>
        <w:keepNext w:val="0"/>
        <w:spacing w:after="60"/>
      </w:pPr>
      <w:hyperlink w:anchor="MR_CALC">
        <w:r>
          <w:rPr>
            <w:color w:val="215F52"/>
            <w:sz w:val="18"/>
          </w:rPr>
          <w:t>CALC  Calculation traceability and reviewer recalculation</w:t>
        </w:r>
      </w:hyperlink>
    </w:p>
    <w:p>
      <w:pPr>
        <w:keepNext w:val="0"/>
        <w:spacing w:after="60"/>
      </w:pPr>
      <w:hyperlink w:anchor="MR_XREF">
        <w:r>
          <w:rPr>
            <w:color w:val="215F52"/>
            <w:sz w:val="18"/>
          </w:rPr>
          <w:t>XREF  PD–Ex-Ante–Ex-Post crosswalk</w:t>
        </w:r>
      </w:hyperlink>
    </w:p>
    <w:p>
      <w:pPr>
        <w:keepNext w:val="0"/>
        <w:spacing w:after="60"/>
      </w:pPr>
      <w:hyperlink w:anchor="MR_REF">
        <w:r>
          <w:rPr>
            <w:color w:val="215F52"/>
            <w:sz w:val="18"/>
          </w:rPr>
          <w:t>REF  References and completion boundary</w:t>
        </w:r>
      </w:hyperlink>
    </w:p>
    <w:p>
      <w:bookmarkStart w:id="261" w:name="MR_01"/>
      <w:pPr>
        <w:pStyle w:val="Heading1"/>
        <w:keepNext/>
        <w:pageBreakBefore/>
      </w:pPr>
      <w:r>
        <w:rPr>
          <w:rFonts w:ascii="Arial" w:hAnsi="Arial" w:eastAsia="Arial" w:cs="Arial"/>
          <w:b w:val="0"/>
          <w:color w:val="215F52"/>
          <w:sz w:val="38"/>
        </w:rPr>
        <w:t>01  Monitoring period and results overview</w:t>
      </w:r>
      <w:bookmarkEnd w:id="261"/>
    </w:p>
    <w:p>
      <w:pPr>
        <w:keepNext/>
        <w:spacing w:after="100"/>
      </w:pPr>
      <w:r>
        <w:rPr>
          <w:rFonts w:ascii="Arial" w:hAnsi="Arial" w:eastAsia="Arial" w:cs="Arial"/>
          <w:b w:val="0"/>
          <w:color w:val="62716E"/>
          <w:sz w:val="16"/>
        </w:rPr>
        <w:t>[1] P-01; P-02; P-04; P-11; U-01; FRM-02</w:t>
      </w:r>
    </w:p>
    <w:p>
      <w:pPr>
        <w:spacing w:after="100"/>
      </w:pPr>
      <w:r>
        <w:rPr>
          <w:rFonts w:ascii="Arial" w:hAnsi="Arial" w:eastAsia="Arial" w:cs="Arial"/>
          <w:b w:val="0"/>
          <w:color w:val="243A36"/>
          <w:sz w:val="19"/>
        </w:rPr>
        <w:t>Identify the report interval, the evidence cut-off date, the category and spatial scope, and the status of every reported result. This is the G2 monitoring submission. G3 verification and G4 authorization are separate decisions; an ex-post result is not automatically verified.</w:t>
      </w:r>
    </w:p>
    <w:p>
      <w:pPr>
        <w:keepNext/>
        <w:spacing w:after="100"/>
      </w:pPr>
      <w:r>
        <w:rPr>
          <w:rFonts w:ascii="Arial" w:hAnsi="Arial" w:eastAsia="Arial" w:cs="Arial"/>
          <w:b w:val="0"/>
          <w:color w:val="62716E"/>
          <w:sz w:val="18"/>
        </w:rPr>
        <w:t>Summarize implementation, environmental performance, material events, unresolved findings and the scope submitted for assessment. State monitoring start/end, interval convention, reporting number and evidence cut-off.</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016"/>
                <w:alias w:val="MR-response-4"/>
                <w:tag w:val="MR-response-4"/>
                <w:text w:multiLine="1"/>
              </w:sdtPr>
              <w:sdtContent>
                <w:r>
                  <w:rPr>
                    <w:rFonts w:ascii="Arial" w:hAnsi="Arial"/>
                    <w:color w:val="62716E"/>
                    <w:sz w:val="18"/>
                  </w:rPr>
                  <w:t>[Enter response and exact evidence references.]</w:t>
                </w:r>
              </w:sdtContent>
            </w:sdt>
          </w:p>
        </w:tc>
      </w:tr>
    </w:tbl>
    <w:p>
      <w:pPr>
        <w:spacing w:after="20" w:line="40" w:lineRule="exact"/>
      </w:pPr>
      <w:r>
        <w:rPr>
          <w:sz w:val="4"/>
        </w:rPr>
      </w:r>
    </w:p>
    <w:p>
      <w:pPr>
        <w:keepNext/>
        <w:spacing w:after="100"/>
      </w:pPr>
      <w:r>
        <w:rPr>
          <w:rFonts w:ascii="Arial" w:hAnsi="Arial" w:eastAsia="Arial" w:cs="Arial"/>
          <w:b/>
          <w:color w:val="215F52"/>
          <w:sz w:val="20"/>
        </w:rPr>
        <w:t>MR-01-T01 / Period-result summary — one compatible account</w:t>
      </w:r>
    </w:p>
    <w:p>
      <w:pPr>
        <w:keepNext/>
        <w:spacing w:after="100"/>
      </w:pPr>
      <w:r>
        <w:rPr>
          <w:rFonts w:ascii="Arial" w:hAnsi="Arial" w:eastAsia="Arial" w:cs="Arial"/>
          <w:b/>
          <w:color w:val="215F52"/>
          <w:sz w:val="17"/>
        </w:rPr>
        <w:t>MR-01-T01 / Calculation notation</w:t>
      </w:r>
    </w:p>
    <w:p>
      <w:pPr>
        <w:keepNext/>
        <w:spacing w:after="60" w:before="20"/>
        <w:jc w:val="center"/>
      </w:pPr>
      <m:oMath>
        <m:sSubSup>
          <m:e>
            <m:acc>
              <m:accPr>
                <m:chr m:val="̂"/>
              </m:accPr>
              <m:e>
                <m:r>
                  <w:rPr>
                    <w:sz w:val="20"/>
                    <w:rFonts w:ascii="Cambria Math" w:hAnsi="Cambria Math"/>
                  </w:rPr>
                  <m:t>Q</m:t>
                </m:r>
              </m:e>
            </m:acc>
          </m:e>
          <m:sub>
            <m:r>
              <w:rPr>
                <w:sz w:val="20"/>
                <w:rFonts w:ascii="Cambria Math" w:hAnsi="Cambria Math"/>
              </w:rPr>
              <m:t>t</m:t>
            </m:r>
          </m:sub>
          <m:sup>
            <m:r>
              <w:rPr>
                <w:sz w:val="20"/>
                <w:rFonts w:ascii="Cambria Math" w:hAnsi="Cambria Math"/>
              </w:rPr>
              <m:t>z</m:t>
            </m:r>
          </m:sup>
        </m:sSubSup>
        <m:r>
          <w:rPr>
            <w:sz w:val="20"/>
            <w:rFonts w:ascii="Cambria Math" w:hAnsi="Cambria Math"/>
          </w:rPr>
          <m:rPr>
            <m:sty m:val="p"/>
          </m:rPr>
          <m:t>=</m:t>
        </m:r>
        <m:sSubSup>
          <m:e>
            <m:r>
              <w:rPr>
                <w:sz w:val="20"/>
                <w:rFonts w:ascii="Cambria Math" w:hAnsi="Cambria Math"/>
              </w:rPr>
              <m:t>N</m:t>
            </m:r>
          </m:e>
          <m:sub>
            <m:r>
              <w:rPr>
                <w:sz w:val="20"/>
                <w:rFonts w:ascii="Cambria Math" w:hAnsi="Cambria Math"/>
              </w:rPr>
              <m:rPr>
                <m:sty m:val="p"/>
              </m:rPr>
              <m:t>B</m:t>
            </m:r>
            <m:r>
              <w:rPr>
                <w:sz w:val="20"/>
                <w:rFonts w:ascii="Cambria Math" w:hAnsi="Cambria Math"/>
              </w:rPr>
              <m:rPr>
                <m:sty m:val="p"/>
              </m:rPr>
              <m:t>L</m:t>
            </m:r>
            <m:r>
              <w:rPr>
                <w:sz w:val="20"/>
                <w:rFonts w:ascii="Cambria Math" w:hAnsi="Cambria Math"/>
              </w:rPr>
              <m:rPr>
                <m:sty m:val="p"/>
              </m:rPr>
              <m:t>,</m:t>
            </m:r>
            <m:r>
              <w:rPr>
                <w:sz w:val="20"/>
                <w:rFonts w:ascii="Cambria Math" w:hAnsi="Cambria Math"/>
              </w:rPr>
              <m:t>t</m:t>
            </m:r>
          </m:sub>
          <m:sup>
            <m:r>
              <w:rPr>
                <w:sz w:val="20"/>
                <w:rFonts w:ascii="Cambria Math" w:hAnsi="Cambria Math"/>
              </w:rPr>
              <m:t>z</m:t>
            </m:r>
          </m:sup>
        </m:sSubSup>
        <m:r>
          <w:rPr>
            <w:sz w:val="20"/>
            <w:rFonts w:ascii="Cambria Math" w:hAnsi="Cambria Math"/>
          </w:rPr>
          <m:rPr>
            <m:sty m:val="p"/>
          </m:rPr>
          <m:t>−</m:t>
        </m:r>
        <m:sSubSup>
          <m:e>
            <m:r>
              <w:rPr>
                <w:sz w:val="20"/>
                <w:rFonts w:ascii="Cambria Math" w:hAnsi="Cambria Math"/>
              </w:rPr>
              <m:t>N</m:t>
            </m:r>
          </m:e>
          <m:sub>
            <m:r>
              <w:rPr>
                <w:sz w:val="20"/>
                <w:rFonts w:ascii="Cambria Math" w:hAnsi="Cambria Math"/>
              </w:rPr>
              <m:rPr>
                <m:sty m:val="p"/>
              </m:rPr>
              <m:t>P</m:t>
            </m:r>
            <m:r>
              <w:rPr>
                <w:sz w:val="20"/>
                <w:rFonts w:ascii="Cambria Math" w:hAnsi="Cambria Math"/>
              </w:rPr>
              <m:rPr>
                <m:sty m:val="p"/>
              </m:rPr>
              <m:t>J</m:t>
            </m:r>
            <m:r>
              <w:rPr>
                <w:sz w:val="20"/>
                <w:rFonts w:ascii="Cambria Math" w:hAnsi="Cambria Math"/>
              </w:rPr>
              <m:rPr>
                <m:sty m:val="p"/>
              </m:rPr>
              <m:t>,</m:t>
            </m:r>
            <m:r>
              <w:rPr>
                <w:sz w:val="20"/>
                <w:rFonts w:ascii="Cambria Math" w:hAnsi="Cambria Math"/>
              </w:rPr>
              <m:t>t</m:t>
            </m:r>
          </m:sub>
          <m:sup>
            <m:r>
              <w:rPr>
                <w:sz w:val="20"/>
                <w:rFonts w:ascii="Cambria Math" w:hAnsi="Cambria Math"/>
              </w:rPr>
              <m:t>z</m:t>
            </m:r>
          </m:sup>
        </m:sSubSup>
        <m:r>
          <w:rPr>
            <w:sz w:val="20"/>
            <w:rFonts w:ascii="Cambria Math" w:hAnsi="Cambria Math"/>
          </w:rPr>
          <m:rPr>
            <m:sty m:val="p"/>
          </m:rPr>
          <m:t>−</m:t>
        </m:r>
        <m:sSubSup>
          <m:e>
            <m:r>
              <w:rPr>
                <w:sz w:val="20"/>
                <w:rFonts w:ascii="Cambria Math" w:hAnsi="Cambria Math"/>
              </w:rPr>
              <m:t>L</m:t>
            </m:r>
          </m:e>
          <m:sub>
            <m:r>
              <w:rPr>
                <w:sz w:val="20"/>
                <w:rFonts w:ascii="Cambria Math" w:hAnsi="Cambria Math"/>
              </w:rPr>
              <m:t>t</m:t>
            </m:r>
          </m:sub>
          <m:sup>
            <m:r>
              <w:rPr>
                <w:sz w:val="20"/>
                <w:rFonts w:ascii="Cambria Math" w:hAnsi="Cambria Math"/>
              </w:rPr>
              <m:t>z</m:t>
            </m:r>
          </m:sup>
        </m:sSubSup>
        <m:r>
          <w:rPr>
            <w:sz w:val="20"/>
            <w:rFonts w:ascii="Cambria Math" w:hAnsi="Cambria Math"/>
          </w:rPr>
          <m:rPr>
            <m:sty m:val="p"/>
          </m:rPr>
          <m:t>,</m:t>
        </m:r>
        <m:r>
          <w:rPr>
            <w:sz w:val="20"/>
            <w:rFonts w:ascii="Cambria Math" w:hAnsi="Cambria Math"/>
          </w:rPr>
          <m:t>  </m:t>
        </m:r>
        <m:r>
          <w:rPr>
            <w:sz w:val="20"/>
            <w:rFonts w:ascii="Cambria Math" w:hAnsi="Cambria Math"/>
          </w:rPr>
          <m:t>z</m:t>
        </m:r>
        <m:r>
          <w:rPr>
            <w:sz w:val="20"/>
            <w:rFonts w:ascii="Cambria Math" w:hAnsi="Cambria Math"/>
          </w:rPr>
          <m:rPr>
            <m:sty m:val="p"/>
          </m:rPr>
          <m:t>∈</m:t>
        </m:r>
        <m:r>
          <w:rPr>
            <w:sz w:val="20"/>
            <w:rFonts w:ascii="Cambria Math" w:hAnsi="Cambria Math"/>
          </w:rPr>
          <m:rPr>
            <m:sty m:val="p"/>
          </m:rPr>
          <m:t>{</m:t>
        </m:r>
        <m:r>
          <w:rPr>
            <w:sz w:val="20"/>
            <w:rFonts w:ascii="Cambria Math" w:hAnsi="Cambria Math"/>
          </w:rPr>
          <m:rPr>
            <m:sty m:val="p"/>
          </m:rPr>
          <m:t>E</m:t>
        </m:r>
        <m:r>
          <w:rPr>
            <w:sz w:val="20"/>
            <w:rFonts w:ascii="Cambria Math" w:hAnsi="Cambria Math"/>
          </w:rPr>
          <m:rPr>
            <m:sty m:val="p"/>
          </m:rPr>
          <m:t>A</m:t>
        </m:r>
        <m:r>
          <w:rPr>
            <w:sz w:val="20"/>
            <w:rFonts w:ascii="Cambria Math" w:hAnsi="Cambria Math"/>
          </w:rPr>
          <m:rPr>
            <m:sty m:val="p"/>
          </m:rPr>
          <m:t>,</m:t>
        </m:r>
        <m:r>
          <w:rPr>
            <w:sz w:val="20"/>
            <w:rFonts w:ascii="Cambria Math" w:hAnsi="Cambria Math"/>
          </w:rPr>
          <m:rPr>
            <m:sty m:val="p"/>
          </m:rPr>
          <m:t>E</m:t>
        </m:r>
        <m:r>
          <w:rPr>
            <w:sz w:val="20"/>
            <w:rFonts w:ascii="Cambria Math" w:hAnsi="Cambria Math"/>
          </w:rPr>
          <m:rPr>
            <m:sty m:val="p"/>
          </m:rPr>
          <m:t>P</m:t>
        </m:r>
        <m:r>
          <w:rPr>
            <w:sz w:val="20"/>
            <w:rFonts w:ascii="Cambria Math" w:hAnsi="Cambria Math"/>
          </w:rPr>
          <m:rPr>
            <m:sty m:val="p"/>
          </m:rPr>
          <m:t>}</m:t>
        </m:r>
      </m:oMath>
    </w:p>
    <w:p>
      <w:pPr>
        <w:keepNext/>
        <w:spacing w:after="60"/>
      </w:pPr>
      <w:r>
        <w:rPr>
          <w:rFonts w:ascii="Arial" w:hAnsi="Arial" w:eastAsia="Arial" w:cs="Arial"/>
          <w:b w:val="0"/>
          <w:color w:val="215F52"/>
          <w:sz w:val="17"/>
        </w:rPr>
        <w:t>EA denotes the dated forecast; EP denotes the reporting-period account, not automatic verification. All terms are signed period masses on matched support. The quantity is before uncertainty, previous liabilities, reserve, and denomination.</w:t>
      </w:r>
    </w:p>
    <w:p>
      <w:pPr>
        <w:keepNext/>
        <w:spacing w:after="80"/>
      </w:pPr>
      <w:r>
        <w:rPr>
          <w:rFonts w:ascii="Arial" w:hAnsi="Arial" w:eastAsia="Arial" w:cs="Arial"/>
          <w:b w:val="0"/>
          <w:color w:val="62716E"/>
          <w:sz w:val="16"/>
        </w:rPr>
        <w:t>Basis: M04.5; F-R01. Calculation location: ExAnte!F:I; ExPost!F:I.</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Quantity / symbol</w:t>
            </w:r>
          </w:p>
        </w:tc>
        <w:tc>
          <w:tcPr>
            <w:tcW w:type="dxa" w:w="3572"/>
            <w:vAlign w:val="center"/>
            <w:shd w:fill="F1F5F2"/>
          </w:tcPr>
          <w:p>
            <w:pPr>
              <w:keepNext/>
              <w:spacing w:after="20"/>
            </w:pPr>
            <w:r>
              <w:rPr>
                <w:rFonts w:ascii="Arial" w:hAnsi="Arial" w:eastAsia="Arial" w:cs="Arial"/>
                <w:b/>
                <w:color w:val="215F52"/>
                <w:sz w:val="17"/>
              </w:rPr>
              <w:t>Value and unit</w:t>
            </w:r>
          </w:p>
        </w:tc>
        <w:tc>
          <w:tcPr>
            <w:tcW w:type="dxa" w:w="3390"/>
            <w:vAlign w:val="center"/>
            <w:shd w:fill="F1F5F2"/>
          </w:tcPr>
          <w:p>
            <w:pPr>
              <w:keepNext/>
              <w:spacing w:after="20"/>
            </w:pPr>
            <w:r>
              <w:rPr>
                <w:rFonts w:ascii="Arial" w:hAnsi="Arial" w:eastAsia="Arial" w:cs="Arial"/>
                <w:b/>
                <w:color w:val="215F52"/>
                <w:sz w:val="17"/>
              </w:rPr>
              <w:t>Source cell, period and status</w:t>
            </w:r>
          </w:p>
        </w:tc>
      </w:tr>
      <w:tr>
        <w:trPr>
          <w:trHeight w:val="442" w:hRule="atLeast"/>
        </w:trPr>
        <w:tc>
          <w:tcPr>
            <w:tcW w:type="dxa" w:w="2778"/>
            <w:vAlign w:val="top"/>
          </w:tcPr>
          <w:p>
            <w:pPr>
              <w:keepNext w:val="0"/>
              <w:spacing w:after="20"/>
            </w:pPr>
            <w:r>
              <w:rPr>
                <w:rFonts w:ascii="Arial" w:hAnsi="Arial" w:eastAsia="Arial" w:cs="Arial"/>
                <w:b w:val="0"/>
                <w:color w:val="243A36"/>
                <w:sz w:val="17"/>
              </w:rPr>
              <w:t xml:space="preserve">Net baseline emissions | </w:t>
            </w:r>
            <m:oMath>
              <m:sSub>
                <m:e>
                  <m:r>
                    <w:rPr>
                      <w:sz w:val="20"/>
                      <w:rFonts w:ascii="Cambria Math" w:hAnsi="Cambria Math"/>
                    </w:rPr>
                    <m:t>N</m:t>
                  </m:r>
                </m:e>
                <m:sub>
                  <m:r>
                    <w:rPr>
                      <w:sz w:val="20"/>
                      <w:rFonts w:ascii="Cambria Math" w:hAnsi="Cambria Math"/>
                    </w:rPr>
                    <m:rPr>
                      <m:sty m:val="p"/>
                    </m:rPr>
                    <m:t>B</m:t>
                  </m:r>
                  <m:r>
                    <w:rPr>
                      <w:sz w:val="20"/>
                      <w:rFonts w:ascii="Cambria Math" w:hAnsi="Cambria Math"/>
                    </w:rPr>
                    <m:rPr>
                      <m:sty m:val="p"/>
                    </m:rPr>
                    <m:t>L</m:t>
                  </m:r>
                  <m:r>
                    <w:rPr>
                      <w:sz w:val="20"/>
                      <w:rFonts w:ascii="Cambria Math" w:hAnsi="Cambria Math"/>
                    </w:rPr>
                    <m:rPr>
                      <m:sty m:val="p"/>
                    </m:rPr>
                    <m:t>,</m:t>
                  </m:r>
                  <m:r>
                    <w:rPr>
                      <w:sz w:val="20"/>
                      <w:rFonts w:ascii="Cambria Math" w:hAnsi="Cambria Math"/>
                    </w:rPr>
                    <m:t>t</m:t>
                  </m:r>
                </m:sub>
              </m:sSub>
            </m:oMath>
            <w:r>
              <w:rPr>
                <w:rFonts w:ascii="Arial" w:hAnsi="Arial" w:eastAsia="Arial" w:cs="Arial"/>
                <w:b w:val="0"/>
                <w:color w:val="243A36"/>
                <w:sz w:val="17"/>
              </w:rPr>
            </w:r>
          </w:p>
        </w:tc>
        <w:tc>
          <w:tcPr>
            <w:tcW w:type="dxa" w:w="3572"/>
            <w:vAlign w:val="top"/>
          </w:tcPr>
          <w:p>
            <w:pPr>
              <w:keepNext w:val="0"/>
              <w:spacing w:after="20"/>
            </w:pPr>
            <w:sdt>
              <w:sdtPr>
                <w:id w:val="1017"/>
                <w:alias w:val="MR-01-T01-R1-C2"/>
                <w:tag w:val="MR-01-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018"/>
                <w:alias w:val="MR-01-T01-R1-C3"/>
                <w:tag w:val="MR-01-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 xml:space="preserve">Net project emissions | </w:t>
            </w:r>
            <m:oMath>
              <m:sSub>
                <m:e>
                  <m:r>
                    <w:rPr>
                      <w:sz w:val="20"/>
                      <w:rFonts w:ascii="Cambria Math" w:hAnsi="Cambria Math"/>
                    </w:rPr>
                    <m:t>N</m:t>
                  </m:r>
                </m:e>
                <m:sub>
                  <m:r>
                    <w:rPr>
                      <w:sz w:val="20"/>
                      <w:rFonts w:ascii="Cambria Math" w:hAnsi="Cambria Math"/>
                    </w:rPr>
                    <m:rPr>
                      <m:sty m:val="p"/>
                    </m:rPr>
                    <m:t>P</m:t>
                  </m:r>
                  <m:r>
                    <w:rPr>
                      <w:sz w:val="20"/>
                      <w:rFonts w:ascii="Cambria Math" w:hAnsi="Cambria Math"/>
                    </w:rPr>
                    <m:rPr>
                      <m:sty m:val="p"/>
                    </m:rPr>
                    <m:t>J</m:t>
                  </m:r>
                  <m:r>
                    <w:rPr>
                      <w:sz w:val="20"/>
                      <w:rFonts w:ascii="Cambria Math" w:hAnsi="Cambria Math"/>
                    </w:rPr>
                    <m:rPr>
                      <m:sty m:val="p"/>
                    </m:rPr>
                    <m:t>,</m:t>
                  </m:r>
                  <m:r>
                    <w:rPr>
                      <w:sz w:val="20"/>
                      <w:rFonts w:ascii="Cambria Math" w:hAnsi="Cambria Math"/>
                    </w:rPr>
                    <m:t>t</m:t>
                  </m:r>
                </m:sub>
              </m:sSub>
            </m:oMath>
            <w:r>
              <w:rPr>
                <w:rFonts w:ascii="Arial" w:hAnsi="Arial" w:eastAsia="Arial" w:cs="Arial"/>
                <w:b w:val="0"/>
                <w:color w:val="243A36"/>
                <w:sz w:val="17"/>
              </w:rPr>
            </w:r>
          </w:p>
        </w:tc>
        <w:tc>
          <w:tcPr>
            <w:tcW w:type="dxa" w:w="3572"/>
            <w:vAlign w:val="top"/>
          </w:tcPr>
          <w:p>
            <w:pPr>
              <w:keepNext w:val="0"/>
              <w:spacing w:after="20"/>
            </w:pPr>
            <w:sdt>
              <w:sdtPr>
                <w:id w:val="1019"/>
                <w:alias w:val="MR-01-T01-R2-C2"/>
                <w:tag w:val="MR-01-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020"/>
                <w:alias w:val="MR-01-T01-R2-C3"/>
                <w:tag w:val="MR-01-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 xml:space="preserve">Attributable leakage | </w:t>
            </w:r>
            <m:oMath>
              <m:sSub>
                <m:e>
                  <m:r>
                    <w:rPr>
                      <w:sz w:val="20"/>
                      <w:rFonts w:ascii="Cambria Math" w:hAnsi="Cambria Math"/>
                    </w:rPr>
                    <m:t>L</m:t>
                  </m:r>
                </m:e>
                <m:sub>
                  <m:r>
                    <w:rPr>
                      <w:sz w:val="20"/>
                      <w:rFonts w:ascii="Cambria Math" w:hAnsi="Cambria Math"/>
                    </w:rPr>
                    <m:t>t</m:t>
                  </m:r>
                </m:sub>
              </m:sSub>
            </m:oMath>
            <w:r>
              <w:rPr>
                <w:rFonts w:ascii="Arial" w:hAnsi="Arial" w:eastAsia="Arial" w:cs="Arial"/>
                <w:b w:val="0"/>
                <w:color w:val="243A36"/>
                <w:sz w:val="17"/>
              </w:rPr>
            </w:r>
          </w:p>
        </w:tc>
        <w:tc>
          <w:tcPr>
            <w:tcW w:type="dxa" w:w="3572"/>
            <w:vAlign w:val="top"/>
          </w:tcPr>
          <w:p>
            <w:pPr>
              <w:keepNext w:val="0"/>
              <w:spacing w:after="20"/>
            </w:pPr>
            <w:sdt>
              <w:sdtPr>
                <w:id w:val="1021"/>
                <w:alias w:val="MR-01-T01-R3-C2"/>
                <w:tag w:val="MR-01-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022"/>
                <w:alias w:val="MR-01-T01-R3-C3"/>
                <w:tag w:val="MR-01-T01-R3-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 xml:space="preserve">Signed result | </w:t>
            </w:r>
            <m:oMath>
              <m:sSub>
                <m:e>
                  <m:acc>
                    <m:accPr>
                      <m:chr m:val="̂"/>
                    </m:accPr>
                    <m:e>
                      <m:r>
                        <w:rPr>
                          <w:sz w:val="20"/>
                          <w:rFonts w:ascii="Cambria Math" w:hAnsi="Cambria Math"/>
                        </w:rPr>
                        <m:t>Q</m:t>
                      </m:r>
                    </m:e>
                  </m:acc>
                </m:e>
                <m:sub>
                  <m:r>
                    <w:rPr>
                      <w:sz w:val="20"/>
                      <w:rFonts w:ascii="Cambria Math" w:hAnsi="Cambria Math"/>
                    </w:rPr>
                    <m:t>t</m:t>
                  </m:r>
                </m:sub>
              </m:sSub>
            </m:oMath>
            <w:r>
              <w:rPr>
                <w:rFonts w:ascii="Arial" w:hAnsi="Arial" w:eastAsia="Arial" w:cs="Arial"/>
                <w:b w:val="0"/>
                <w:color w:val="243A36"/>
                <w:sz w:val="17"/>
              </w:rPr>
            </w:r>
          </w:p>
        </w:tc>
        <w:tc>
          <w:tcPr>
            <w:tcW w:type="dxa" w:w="3572"/>
            <w:vAlign w:val="top"/>
          </w:tcPr>
          <w:p>
            <w:pPr>
              <w:keepNext w:val="0"/>
              <w:spacing w:after="20"/>
            </w:pPr>
            <w:sdt>
              <w:sdtPr>
                <w:id w:val="1023"/>
                <w:alias w:val="MR-01-T01-R4-C2"/>
                <w:tag w:val="MR-01-T01-R4-C2"/>
                <w:text w:multiLine="1"/>
              </w:sdtPr>
              <w:sdtContent>
                <w:r>
                  <w:rPr>
                    <w:rFonts w:ascii="Arial" w:hAnsi="Arial"/>
                    <w:color w:val="62716E"/>
                    <w:sz w:val="18"/>
                  </w:rPr>
                  <w:t>[Complete]</w:t>
                </w:r>
              </w:sdtContent>
            </w:sdt>
          </w:p>
        </w:tc>
        <w:tc>
          <w:tcPr>
            <w:tcW w:type="dxa" w:w="3390"/>
            <w:vAlign w:val="top"/>
          </w:tcPr>
          <w:p>
            <w:pPr>
              <w:keepNext w:val="0"/>
              <w:spacing w:after="20"/>
            </w:pPr>
            <w:sdt>
              <w:sdtPr>
                <w:id w:val="1024"/>
                <w:alias w:val="MR-01-T01-R4-C3"/>
                <w:tag w:val="MR-01-T01-R4-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 xml:space="preserve">Conservative result | </w:t>
            </w:r>
            <m:oMath>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l</m:t>
                  </m:r>
                  <m:r>
                    <w:rPr>
                      <w:sz w:val="20"/>
                      <w:rFonts w:ascii="Cambria Math" w:hAnsi="Cambria Math"/>
                    </w:rPr>
                    <m:rPr>
                      <m:sty m:val="p"/>
                    </m:rPr>
                    <m:t>o</m:t>
                  </m:r>
                  <m:r>
                    <w:rPr>
                      <w:sz w:val="20"/>
                      <w:rFonts w:ascii="Cambria Math" w:hAnsi="Cambria Math"/>
                    </w:rPr>
                    <m:rPr>
                      <m:sty m:val="p"/>
                    </m:rPr>
                    <m:t>w</m:t>
                  </m:r>
                </m:sup>
              </m:sSubSup>
            </m:oMath>
            <w:r>
              <w:rPr>
                <w:rFonts w:ascii="Arial" w:hAnsi="Arial" w:eastAsia="Arial" w:cs="Arial"/>
                <w:b w:val="0"/>
                <w:color w:val="243A36"/>
                <w:sz w:val="17"/>
              </w:rPr>
            </w:r>
          </w:p>
        </w:tc>
        <w:tc>
          <w:tcPr>
            <w:tcW w:type="dxa" w:w="3572"/>
            <w:vAlign w:val="top"/>
          </w:tcPr>
          <w:p>
            <w:pPr>
              <w:keepNext w:val="0"/>
              <w:spacing w:after="20"/>
            </w:pPr>
            <w:sdt>
              <w:sdtPr>
                <w:id w:val="1025"/>
                <w:alias w:val="MR-01-T01-R5-C2"/>
                <w:tag w:val="MR-01-T01-R5-C2"/>
                <w:text w:multiLine="1"/>
              </w:sdtPr>
              <w:sdtContent>
                <w:r>
                  <w:rPr>
                    <w:rFonts w:ascii="Arial" w:hAnsi="Arial"/>
                    <w:color w:val="62716E"/>
                    <w:sz w:val="18"/>
                  </w:rPr>
                  <w:t>[Complete]</w:t>
                </w:r>
              </w:sdtContent>
            </w:sdt>
          </w:p>
        </w:tc>
        <w:tc>
          <w:tcPr>
            <w:tcW w:type="dxa" w:w="3390"/>
            <w:vAlign w:val="top"/>
          </w:tcPr>
          <w:p>
            <w:pPr>
              <w:keepNext w:val="0"/>
              <w:spacing w:after="20"/>
            </w:pPr>
            <w:sdt>
              <w:sdtPr>
                <w:id w:val="1026"/>
                <w:alias w:val="MR-01-T01-R5-C3"/>
                <w:tag w:val="MR-01-T01-R5-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 xml:space="preserve">Candidate mass | </w:t>
            </w:r>
            <m:oMath>
              <m:sSubSup>
                <m:e>
                  <m:r>
                    <w:rPr>
                      <w:sz w:val="20"/>
                      <w:rFonts w:ascii="Cambria Math" w:hAnsi="Cambria Math"/>
                    </w:rPr>
                    <m:t>J</m:t>
                  </m:r>
                </m:e>
                <m:sub>
                  <m:r>
                    <w:rPr>
                      <w:sz w:val="20"/>
                      <w:rFonts w:ascii="Cambria Math" w:hAnsi="Cambria Math"/>
                    </w:rPr>
                    <m:t>t</m:t>
                  </m:r>
                </m:sub>
                <m:sup>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n</m:t>
                  </m:r>
                  <m:r>
                    <w:rPr>
                      <w:sz w:val="20"/>
                      <w:rFonts w:ascii="Cambria Math" w:hAnsi="Cambria Math"/>
                    </w:rPr>
                    <m:rPr>
                      <m:sty m:val="p"/>
                    </m:rPr>
                    <m:t>d</m:t>
                  </m:r>
                </m:sup>
              </m:sSubSup>
            </m:oMath>
            <w:r>
              <w:rPr>
                <w:rFonts w:ascii="Arial" w:hAnsi="Arial" w:eastAsia="Arial" w:cs="Arial"/>
                <w:b w:val="0"/>
                <w:color w:val="243A36"/>
                <w:sz w:val="17"/>
              </w:rPr>
            </w:r>
          </w:p>
        </w:tc>
        <w:tc>
          <w:tcPr>
            <w:tcW w:type="dxa" w:w="3572"/>
            <w:vAlign w:val="top"/>
          </w:tcPr>
          <w:p>
            <w:pPr>
              <w:keepNext w:val="0"/>
              <w:spacing w:after="20"/>
            </w:pPr>
            <w:sdt>
              <w:sdtPr>
                <w:id w:val="1027"/>
                <w:alias w:val="MR-01-T01-R6-C2"/>
                <w:tag w:val="MR-01-T01-R6-C2"/>
                <w:text w:multiLine="1"/>
              </w:sdtPr>
              <w:sdtContent>
                <w:r>
                  <w:rPr>
                    <w:rFonts w:ascii="Arial" w:hAnsi="Arial"/>
                    <w:color w:val="62716E"/>
                    <w:sz w:val="18"/>
                  </w:rPr>
                  <w:t>[Complete]</w:t>
                </w:r>
              </w:sdtContent>
            </w:sdt>
          </w:p>
        </w:tc>
        <w:tc>
          <w:tcPr>
            <w:tcW w:type="dxa" w:w="3390"/>
            <w:vAlign w:val="top"/>
          </w:tcPr>
          <w:p>
            <w:pPr>
              <w:keepNext w:val="0"/>
              <w:spacing w:after="20"/>
            </w:pPr>
            <w:sdt>
              <w:sdtPr>
                <w:id w:val="1028"/>
                <w:alias w:val="MR-01-T01-R6-C3"/>
                <w:tag w:val="MR-01-T01-R6-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 xml:space="preserve">NVEU candidate, only with category/denomination | </w:t>
            </w:r>
            <m:oMath>
              <m:sSubSup>
                <m:e>
                  <m:r>
                    <w:rPr>
                      <w:sz w:val="20"/>
                      <w:rFonts w:ascii="Cambria Math" w:hAnsi="Cambria Math"/>
                    </w:rPr>
                    <m:t>n</m:t>
                  </m:r>
                </m:e>
                <m:sub>
                  <m:r>
                    <w:rPr>
                      <w:sz w:val="20"/>
                      <w:rFonts w:ascii="Cambria Math" w:hAnsi="Cambria Math"/>
                    </w:rPr>
                    <m:t>t</m:t>
                  </m:r>
                </m:sub>
                <m:sup>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n</m:t>
                  </m:r>
                  <m:r>
                    <w:rPr>
                      <w:sz w:val="20"/>
                      <w:rFonts w:ascii="Cambria Math" w:hAnsi="Cambria Math"/>
                    </w:rPr>
                    <m:rPr>
                      <m:sty m:val="p"/>
                    </m:rPr>
                    <m:t>d</m:t>
                  </m:r>
                  <m:r>
                    <w:rPr>
                      <w:sz w:val="20"/>
                      <w:rFonts w:ascii="Cambria Math" w:hAnsi="Cambria Math"/>
                    </w:rPr>
                    <m:rPr>
                      <m:sty m:val="p"/>
                    </m:rPr>
                    <m:t>i</m:t>
                  </m:r>
                  <m:r>
                    <w:rPr>
                      <w:sz w:val="20"/>
                      <w:rFonts w:ascii="Cambria Math" w:hAnsi="Cambria Math"/>
                    </w:rPr>
                    <m:rPr>
                      <m:sty m:val="p"/>
                    </m:rPr>
                    <m:t>d</m:t>
                  </m:r>
                  <m:r>
                    <w:rPr>
                      <w:sz w:val="20"/>
                      <w:rFonts w:ascii="Cambria Math" w:hAnsi="Cambria Math"/>
                    </w:rPr>
                    <m:rPr>
                      <m:sty m:val="p"/>
                    </m:rPr>
                    <m:t>a</m:t>
                  </m:r>
                  <m:r>
                    <w:rPr>
                      <w:sz w:val="20"/>
                      <w:rFonts w:ascii="Cambria Math" w:hAnsi="Cambria Math"/>
                    </w:rPr>
                    <m:rPr>
                      <m:sty m:val="p"/>
                    </m:rPr>
                    <m:t>t</m:t>
                  </m:r>
                  <m:r>
                    <w:rPr>
                      <w:sz w:val="20"/>
                      <w:rFonts w:ascii="Cambria Math" w:hAnsi="Cambria Math"/>
                    </w:rPr>
                    <m:rPr>
                      <m:sty m:val="p"/>
                    </m:rPr>
                    <m:t>e</m:t>
                  </m:r>
                </m:sup>
              </m:sSubSup>
            </m:oMath>
            <w:r>
              <w:rPr>
                <w:rFonts w:ascii="Arial" w:hAnsi="Arial" w:eastAsia="Arial" w:cs="Arial"/>
                <w:b w:val="0"/>
                <w:color w:val="243A36"/>
                <w:sz w:val="17"/>
              </w:rPr>
            </w:r>
          </w:p>
        </w:tc>
        <w:tc>
          <w:tcPr>
            <w:tcW w:type="dxa" w:w="3572"/>
            <w:vAlign w:val="top"/>
          </w:tcPr>
          <w:p>
            <w:pPr>
              <w:keepNext w:val="0"/>
              <w:spacing w:after="20"/>
            </w:pPr>
            <w:sdt>
              <w:sdtPr>
                <w:id w:val="1029"/>
                <w:alias w:val="MR-01-T01-R7-C2"/>
                <w:tag w:val="MR-01-T01-R7-C2"/>
                <w:text w:multiLine="1"/>
              </w:sdtPr>
              <w:sdtContent>
                <w:r>
                  <w:rPr>
                    <w:rFonts w:ascii="Arial" w:hAnsi="Arial"/>
                    <w:color w:val="62716E"/>
                    <w:sz w:val="18"/>
                  </w:rPr>
                  <w:t>[Complete]</w:t>
                </w:r>
              </w:sdtContent>
            </w:sdt>
          </w:p>
        </w:tc>
        <w:tc>
          <w:tcPr>
            <w:tcW w:type="dxa" w:w="3390"/>
            <w:vAlign w:val="top"/>
          </w:tcPr>
          <w:p>
            <w:pPr>
              <w:keepNext w:val="0"/>
              <w:spacing w:after="20"/>
            </w:pPr>
            <w:sdt>
              <w:sdtPr>
                <w:id w:val="1030"/>
                <w:alias w:val="MR-01-T01-R7-C3"/>
                <w:tag w:val="MR-01-T01-R7-C3"/>
                <w:text w:multiLine="1"/>
              </w:sdtPr>
              <w:sdtContent>
                <w:r>
                  <w:rPr>
                    <w:rFonts w:ascii="Arial" w:hAnsi="Arial"/>
                    <w:color w:val="62716E"/>
                    <w:sz w:val="18"/>
                  </w:rPr>
                  <w:t>[Complete]</w:t>
                </w:r>
              </w:sdtContent>
            </w:sdt>
          </w:p>
        </w:tc>
      </w:tr>
    </w:tbl>
    <w:p>
      <w:pPr>
        <w:spacing w:after="20" w:before="0" w:line="40" w:lineRule="exact"/>
      </w:pPr>
      <w:r>
        <w:rPr>
          <w:sz w:val="4"/>
        </w:rPr>
      </w:r>
    </w:p>
    <w:p>
      <w:pPr>
        <w:spacing w:after="100"/>
      </w:pPr>
      <w:r>
        <w:rPr>
          <w:rFonts w:ascii="Arial" w:hAnsi="Arial" w:eastAsia="Arial" w:cs="Arial"/>
          <w:b w:val="0"/>
          <w:color w:val="243A36"/>
          <w:sz w:val="19"/>
        </w:rPr>
        <w:t>Report each additional environmental or social attribute separately in Section 22. Do not aggregate different attributes or add previous periods to the current-period result. Explain every restriction on the summary in the detailed account.</w:t>
      </w:r>
    </w:p>
    <w:p>
      <w:bookmarkStart w:id="273" w:name="MR_02"/>
      <w:pPr>
        <w:pStyle w:val="Heading1"/>
        <w:keepNext/>
        <w:pageBreakBefore/>
      </w:pPr>
      <w:r>
        <w:rPr>
          <w:rFonts w:ascii="Arial" w:hAnsi="Arial" w:eastAsia="Arial" w:cs="Arial"/>
          <w:b w:val="0"/>
          <w:color w:val="215F52"/>
          <w:sz w:val="38"/>
        </w:rPr>
        <w:t>02  Controlled PD, forecast and outcome records</w:t>
      </w:r>
      <w:bookmarkEnd w:id="273"/>
    </w:p>
    <w:p>
      <w:pPr>
        <w:keepNext/>
        <w:spacing w:after="100"/>
      </w:pPr>
      <w:r>
        <w:rPr>
          <w:rFonts w:ascii="Arial" w:hAnsi="Arial" w:eastAsia="Arial" w:cs="Arial"/>
          <w:b w:val="0"/>
          <w:color w:val="62716E"/>
          <w:sz w:val="16"/>
        </w:rPr>
        <w:t>[1] S-18; CYC-05; CYC-06; P-01; P-04; FRM-01; FRM-02</w:t>
      </w:r>
    </w:p>
    <w:p>
      <w:pPr>
        <w:spacing w:after="100"/>
      </w:pPr>
      <w:r>
        <w:rPr>
          <w:rFonts w:ascii="Arial" w:hAnsi="Arial" w:eastAsia="Arial" w:cs="Arial"/>
          <w:b w:val="0"/>
          <w:color w:val="243A36"/>
          <w:sz w:val="19"/>
        </w:rPr>
        <w:t>Use the Project Description (PD) as the design reference, the dated Ex-Ante Estimate as the forecast reference, and the Ex-Post Outcome Report and workbook as the quantitative annex. Reference exact approved or submitted versions and their actual status. A citation to the PD does not replace period-specific evidence.</w:t>
      </w:r>
    </w:p>
    <w:p>
      <w:pPr>
        <w:keepNext/>
        <w:spacing w:after="100"/>
      </w:pPr>
      <w:r>
        <w:rPr>
          <w:rFonts w:ascii="Arial" w:hAnsi="Arial" w:eastAsia="Arial" w:cs="Arial"/>
          <w:b/>
          <w:color w:val="215F52"/>
          <w:sz w:val="20"/>
        </w:rPr>
        <w:t>MR-02-T01 / Controlled document chain</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Record</w:t>
            </w:r>
          </w:p>
        </w:tc>
        <w:tc>
          <w:tcPr>
            <w:tcW w:type="dxa" w:w="3572"/>
            <w:vAlign w:val="center"/>
            <w:shd w:fill="F1F5F2"/>
          </w:tcPr>
          <w:p>
            <w:pPr>
              <w:keepNext/>
              <w:spacing w:after="20"/>
            </w:pPr>
            <w:r>
              <w:rPr>
                <w:rFonts w:ascii="Arial" w:hAnsi="Arial" w:eastAsia="Arial" w:cs="Arial"/>
                <w:b/>
                <w:color w:val="215F52"/>
                <w:sz w:val="17"/>
              </w:rPr>
              <w:t>Version, date and approval/status reference</w:t>
            </w:r>
          </w:p>
        </w:tc>
        <w:tc>
          <w:tcPr>
            <w:tcW w:type="dxa" w:w="3390"/>
            <w:vAlign w:val="center"/>
            <w:shd w:fill="F1F5F2"/>
          </w:tcPr>
          <w:p>
            <w:pPr>
              <w:keepNext/>
              <w:spacing w:after="20"/>
            </w:pPr>
            <w:r>
              <w:rPr>
                <w:rFonts w:ascii="Arial" w:hAnsi="Arial" w:eastAsia="Arial" w:cs="Arial"/>
                <w:b/>
                <w:color w:val="215F52"/>
                <w:sz w:val="17"/>
              </w:rPr>
              <w:t>Exact section, file/fingerprint and access</w:t>
            </w:r>
          </w:p>
        </w:tc>
      </w:tr>
      <w:tr>
        <w:trPr>
          <w:trHeight w:val="442" w:hRule="atLeast"/>
        </w:trPr>
        <w:tc>
          <w:tcPr>
            <w:tcW w:type="dxa" w:w="2778"/>
            <w:vAlign w:val="top"/>
          </w:tcPr>
          <w:p>
            <w:pPr>
              <w:keepNext w:val="0"/>
              <w:spacing w:after="20"/>
            </w:pPr>
            <w:r>
              <w:rPr>
                <w:rFonts w:ascii="Arial" w:hAnsi="Arial" w:eastAsia="Arial" w:cs="Arial"/>
                <w:b w:val="0"/>
                <w:color w:val="243A36"/>
                <w:sz w:val="17"/>
              </w:rPr>
              <w:t>Governing PD and monitoring plan</w:t>
            </w:r>
          </w:p>
        </w:tc>
        <w:tc>
          <w:tcPr>
            <w:tcW w:type="dxa" w:w="3572"/>
            <w:vAlign w:val="top"/>
          </w:tcPr>
          <w:p>
            <w:pPr>
              <w:keepNext w:val="0"/>
              <w:spacing w:after="20"/>
            </w:pPr>
            <w:sdt>
              <w:sdtPr>
                <w:id w:val="1031"/>
                <w:alias w:val="MR-02-T01-R1-C2"/>
                <w:tag w:val="MR-02-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032"/>
                <w:alias w:val="MR-02-T01-R1-C3"/>
                <w:tag w:val="MR-02-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Frozen ex-ante forecast</w:t>
            </w:r>
          </w:p>
        </w:tc>
        <w:tc>
          <w:tcPr>
            <w:tcW w:type="dxa" w:w="3572"/>
            <w:vAlign w:val="top"/>
          </w:tcPr>
          <w:p>
            <w:pPr>
              <w:keepNext w:val="0"/>
              <w:spacing w:after="20"/>
            </w:pPr>
            <w:sdt>
              <w:sdtPr>
                <w:id w:val="1033"/>
                <w:alias w:val="MR-02-T01-R2-C2"/>
                <w:tag w:val="MR-02-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034"/>
                <w:alias w:val="MR-02-T01-R2-C3"/>
                <w:tag w:val="MR-02-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Ex-post report / calculation annex</w:t>
            </w:r>
          </w:p>
        </w:tc>
        <w:tc>
          <w:tcPr>
            <w:tcW w:type="dxa" w:w="3572"/>
            <w:vAlign w:val="top"/>
          </w:tcPr>
          <w:p>
            <w:pPr>
              <w:keepNext w:val="0"/>
              <w:spacing w:after="20"/>
            </w:pPr>
            <w:sdt>
              <w:sdtPr>
                <w:id w:val="1035"/>
                <w:alias w:val="MR-02-T01-R3-C2"/>
                <w:tag w:val="MR-02-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036"/>
                <w:alias w:val="MR-02-T01-R3-C3"/>
                <w:tag w:val="MR-02-T01-R3-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Environmental Accounts workbook</w:t>
            </w:r>
          </w:p>
        </w:tc>
        <w:tc>
          <w:tcPr>
            <w:tcW w:type="dxa" w:w="3572"/>
            <w:vAlign w:val="top"/>
          </w:tcPr>
          <w:p>
            <w:pPr>
              <w:keepNext w:val="0"/>
              <w:spacing w:after="20"/>
            </w:pPr>
            <w:sdt>
              <w:sdtPr>
                <w:id w:val="1037"/>
                <w:alias w:val="MR-02-T01-R4-C2"/>
                <w:tag w:val="MR-02-T01-R4-C2"/>
                <w:text w:multiLine="1"/>
              </w:sdtPr>
              <w:sdtContent>
                <w:r>
                  <w:rPr>
                    <w:rFonts w:ascii="Arial" w:hAnsi="Arial"/>
                    <w:color w:val="62716E"/>
                    <w:sz w:val="18"/>
                  </w:rPr>
                  <w:t>[Complete]</w:t>
                </w:r>
              </w:sdtContent>
            </w:sdt>
          </w:p>
        </w:tc>
        <w:tc>
          <w:tcPr>
            <w:tcW w:type="dxa" w:w="3390"/>
            <w:vAlign w:val="top"/>
          </w:tcPr>
          <w:p>
            <w:pPr>
              <w:keepNext w:val="0"/>
              <w:spacing w:after="20"/>
            </w:pPr>
            <w:sdt>
              <w:sdtPr>
                <w:id w:val="1038"/>
                <w:alias w:val="MR-02-T01-R4-C3"/>
                <w:tag w:val="MR-02-T01-R4-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FRM-05 profile and applicable decisions</w:t>
            </w:r>
          </w:p>
        </w:tc>
        <w:tc>
          <w:tcPr>
            <w:tcW w:type="dxa" w:w="3572"/>
            <w:vAlign w:val="top"/>
          </w:tcPr>
          <w:p>
            <w:pPr>
              <w:keepNext w:val="0"/>
              <w:spacing w:after="20"/>
            </w:pPr>
            <w:sdt>
              <w:sdtPr>
                <w:id w:val="1039"/>
                <w:alias w:val="MR-02-T01-R5-C2"/>
                <w:tag w:val="MR-02-T01-R5-C2"/>
                <w:text w:multiLine="1"/>
              </w:sdtPr>
              <w:sdtContent>
                <w:r>
                  <w:rPr>
                    <w:rFonts w:ascii="Arial" w:hAnsi="Arial"/>
                    <w:color w:val="62716E"/>
                    <w:sz w:val="18"/>
                  </w:rPr>
                  <w:t>[Complete]</w:t>
                </w:r>
              </w:sdtContent>
            </w:sdt>
          </w:p>
        </w:tc>
        <w:tc>
          <w:tcPr>
            <w:tcW w:type="dxa" w:w="3390"/>
            <w:vAlign w:val="top"/>
          </w:tcPr>
          <w:p>
            <w:pPr>
              <w:keepNext w:val="0"/>
              <w:spacing w:after="20"/>
            </w:pPr>
            <w:sdt>
              <w:sdtPr>
                <w:id w:val="1040"/>
                <w:alias w:val="MR-02-T01-R5-C3"/>
                <w:tag w:val="MR-02-T01-R5-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Previous MR, opinion and decision</w:t>
            </w:r>
          </w:p>
        </w:tc>
        <w:tc>
          <w:tcPr>
            <w:tcW w:type="dxa" w:w="3572"/>
            <w:vAlign w:val="top"/>
          </w:tcPr>
          <w:p>
            <w:pPr>
              <w:keepNext w:val="0"/>
              <w:spacing w:after="20"/>
            </w:pPr>
            <w:sdt>
              <w:sdtPr>
                <w:id w:val="1041"/>
                <w:alias w:val="MR-02-T01-R6-C2"/>
                <w:tag w:val="MR-02-T01-R6-C2"/>
                <w:text w:multiLine="1"/>
              </w:sdtPr>
              <w:sdtContent>
                <w:r>
                  <w:rPr>
                    <w:rFonts w:ascii="Arial" w:hAnsi="Arial"/>
                    <w:color w:val="62716E"/>
                    <w:sz w:val="18"/>
                  </w:rPr>
                  <w:t>[Complete]</w:t>
                </w:r>
              </w:sdtContent>
            </w:sdt>
          </w:p>
        </w:tc>
        <w:tc>
          <w:tcPr>
            <w:tcW w:type="dxa" w:w="3390"/>
            <w:vAlign w:val="top"/>
          </w:tcPr>
          <w:p>
            <w:pPr>
              <w:keepNext w:val="0"/>
              <w:spacing w:after="20"/>
            </w:pPr>
            <w:sdt>
              <w:sdtPr>
                <w:id w:val="1042"/>
                <w:alias w:val="MR-02-T01-R6-C3"/>
                <w:tag w:val="MR-02-T01-R6-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Migration reconciliation, if applicable</w:t>
            </w:r>
          </w:p>
        </w:tc>
        <w:tc>
          <w:tcPr>
            <w:tcW w:type="dxa" w:w="3572"/>
            <w:vAlign w:val="top"/>
          </w:tcPr>
          <w:p>
            <w:pPr>
              <w:keepNext w:val="0"/>
              <w:spacing w:after="20"/>
            </w:pPr>
            <w:sdt>
              <w:sdtPr>
                <w:id w:val="1043"/>
                <w:alias w:val="MR-02-T01-R7-C2"/>
                <w:tag w:val="MR-02-T01-R7-C2"/>
                <w:text w:multiLine="1"/>
              </w:sdtPr>
              <w:sdtContent>
                <w:r>
                  <w:rPr>
                    <w:rFonts w:ascii="Arial" w:hAnsi="Arial"/>
                    <w:color w:val="62716E"/>
                    <w:sz w:val="18"/>
                  </w:rPr>
                  <w:t>[Complete]</w:t>
                </w:r>
              </w:sdtContent>
            </w:sdt>
          </w:p>
        </w:tc>
        <w:tc>
          <w:tcPr>
            <w:tcW w:type="dxa" w:w="3390"/>
            <w:vAlign w:val="top"/>
          </w:tcPr>
          <w:p>
            <w:pPr>
              <w:keepNext w:val="0"/>
              <w:spacing w:after="20"/>
            </w:pPr>
            <w:sdt>
              <w:sdtPr>
                <w:id w:val="1044"/>
                <w:alias w:val="MR-02-T01-R7-C3"/>
                <w:tag w:val="MR-02-T01-R7-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Identify what is incorporated by exact reference, what is attached, and what changed during the interval. Select one authoritative quantitative annex: an attached Ex-Post report or an embedded copy with equivalent scope. Summaries in this report reproduce that account and do not form a second account.</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045"/>
                <w:alias w:val="MR-response-7"/>
                <w:tag w:val="MR-response-7"/>
                <w:text w:multiLine="1"/>
              </w:sdtPr>
              <w:sdtContent>
                <w:r>
                  <w:rPr>
                    <w:rFonts w:ascii="Arial" w:hAnsi="Arial"/>
                    <w:color w:val="62716E"/>
                    <w:sz w:val="18"/>
                  </w:rPr>
                  <w:t>[Enter response and exact evidence references.]</w:t>
                </w:r>
              </w:sdtContent>
            </w:sdt>
          </w:p>
        </w:tc>
      </w:tr>
    </w:tbl>
    <w:p>
      <w:pPr>
        <w:spacing w:after="20" w:line="40" w:lineRule="exact"/>
      </w:pPr>
      <w:r>
        <w:rPr>
          <w:sz w:val="4"/>
        </w:rPr>
      </w:r>
    </w:p>
    <w:p>
      <w:bookmarkStart w:id="280" w:name="MR_03"/>
      <w:pPr>
        <w:pStyle w:val="Heading1"/>
        <w:keepNext/>
        <w:pageBreakBefore/>
      </w:pPr>
      <w:r>
        <w:rPr>
          <w:rFonts w:ascii="Arial" w:hAnsi="Arial" w:eastAsia="Arial" w:cs="Arial"/>
          <w:b w:val="0"/>
          <w:color w:val="215F52"/>
          <w:sz w:val="38"/>
        </w:rPr>
        <w:t>03  Responsible parties, rights and access</w:t>
      </w:r>
      <w:bookmarkEnd w:id="280"/>
    </w:p>
    <w:p>
      <w:pPr>
        <w:keepNext/>
        <w:spacing w:after="100"/>
      </w:pPr>
      <w:r>
        <w:rPr>
          <w:rFonts w:ascii="Arial" w:hAnsi="Arial" w:eastAsia="Arial" w:cs="Arial"/>
          <w:b w:val="0"/>
          <w:color w:val="62716E"/>
          <w:sz w:val="16"/>
        </w:rPr>
        <w:t>[1] S-04; S-05; S-21; S-22; S-25; S-26; AO-02; AO-03; FRM-07</w:t>
      </w:r>
    </w:p>
    <w:p>
      <w:pPr>
        <w:spacing w:after="100"/>
      </w:pPr>
      <w:r>
        <w:rPr>
          <w:rFonts w:ascii="Arial" w:hAnsi="Arial" w:eastAsia="Arial" w:cs="Arial"/>
          <w:b w:val="0"/>
          <w:color w:val="243A36"/>
          <w:sz w:val="19"/>
        </w:rPr>
        <w:t>Confirm the actual proponent, implementing entity, rights holders, NEBIOT technical-services lead and data custodians for this interval. Technical monitoring does not make NEBIOT the owner or implementer. Record exceptional NEBIOT interests and the applicable S-26 controls.</w:t>
      </w:r>
    </w:p>
    <w:p>
      <w:pPr>
        <w:keepNext/>
        <w:spacing w:after="100"/>
      </w:pPr>
      <w:r>
        <w:rPr>
          <w:rFonts w:ascii="Arial" w:hAnsi="Arial" w:eastAsia="Arial" w:cs="Arial"/>
          <w:b/>
          <w:color w:val="215F52"/>
          <w:sz w:val="20"/>
        </w:rPr>
        <w:t>MR-03-T01 / Responsibilities during the interval</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Role / entity</w:t>
            </w:r>
          </w:p>
        </w:tc>
        <w:tc>
          <w:tcPr>
            <w:tcW w:type="dxa" w:w="3572"/>
            <w:vAlign w:val="center"/>
            <w:shd w:fill="F1F5F2"/>
          </w:tcPr>
          <w:p>
            <w:pPr>
              <w:keepNext/>
              <w:spacing w:after="20"/>
            </w:pPr>
            <w:r>
              <w:rPr>
                <w:rFonts w:ascii="Arial" w:hAnsi="Arial" w:eastAsia="Arial" w:cs="Arial"/>
                <w:b/>
                <w:color w:val="215F52"/>
                <w:sz w:val="17"/>
              </w:rPr>
              <w:t>Mandate, task and accountable lead</w:t>
            </w:r>
          </w:p>
        </w:tc>
        <w:tc>
          <w:tcPr>
            <w:tcW w:type="dxa" w:w="3390"/>
            <w:vAlign w:val="center"/>
            <w:shd w:fill="F1F5F2"/>
          </w:tcPr>
          <w:p>
            <w:pPr>
              <w:keepNext/>
              <w:spacing w:after="20"/>
            </w:pPr>
            <w:r>
              <w:rPr>
                <w:rFonts w:ascii="Arial" w:hAnsi="Arial" w:eastAsia="Arial" w:cs="Arial"/>
                <w:b/>
                <w:color w:val="215F52"/>
                <w:sz w:val="17"/>
              </w:rPr>
              <w:t>Evidence, effective dates and conflicts</w:t>
            </w:r>
          </w:p>
        </w:tc>
      </w:tr>
      <w:tr>
        <w:trPr>
          <w:trHeight w:val="442" w:hRule="atLeast"/>
        </w:trPr>
        <w:tc>
          <w:tcPr>
            <w:tcW w:type="dxa" w:w="2778"/>
            <w:vAlign w:val="top"/>
          </w:tcPr>
          <w:p>
            <w:pPr>
              <w:keepNext w:val="0"/>
              <w:spacing w:after="20"/>
            </w:pPr>
            <w:r>
              <w:rPr>
                <w:rFonts w:ascii="Arial" w:hAnsi="Arial" w:eastAsia="Arial" w:cs="Arial"/>
                <w:b w:val="0"/>
                <w:color w:val="243A36"/>
                <w:sz w:val="17"/>
              </w:rPr>
              <w:t>Proponent / implementing entity</w:t>
            </w:r>
          </w:p>
        </w:tc>
        <w:tc>
          <w:tcPr>
            <w:tcW w:type="dxa" w:w="3572"/>
            <w:vAlign w:val="top"/>
          </w:tcPr>
          <w:p>
            <w:pPr>
              <w:keepNext w:val="0"/>
              <w:spacing w:after="20"/>
            </w:pPr>
            <w:sdt>
              <w:sdtPr>
                <w:id w:val="1046"/>
                <w:alias w:val="MR-03-T01-R1-C2"/>
                <w:tag w:val="MR-03-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047"/>
                <w:alias w:val="MR-03-T01-R1-C3"/>
                <w:tag w:val="MR-03-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Rights holders / representatives</w:t>
            </w:r>
          </w:p>
        </w:tc>
        <w:tc>
          <w:tcPr>
            <w:tcW w:type="dxa" w:w="3572"/>
            <w:vAlign w:val="top"/>
          </w:tcPr>
          <w:p>
            <w:pPr>
              <w:keepNext w:val="0"/>
              <w:spacing w:after="20"/>
            </w:pPr>
            <w:sdt>
              <w:sdtPr>
                <w:id w:val="1048"/>
                <w:alias w:val="MR-03-T01-R2-C2"/>
                <w:tag w:val="MR-03-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049"/>
                <w:alias w:val="MR-03-T01-R2-C3"/>
                <w:tag w:val="MR-03-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NEBIOT technical services</w:t>
            </w:r>
          </w:p>
        </w:tc>
        <w:tc>
          <w:tcPr>
            <w:tcW w:type="dxa" w:w="3572"/>
            <w:vAlign w:val="top"/>
          </w:tcPr>
          <w:p>
            <w:pPr>
              <w:keepNext w:val="0"/>
              <w:spacing w:after="20"/>
            </w:pPr>
            <w:sdt>
              <w:sdtPr>
                <w:id w:val="1050"/>
                <w:alias w:val="MR-03-T01-R3-C2"/>
                <w:tag w:val="MR-03-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051"/>
                <w:alias w:val="MR-03-T01-R3-C3"/>
                <w:tag w:val="MR-03-T01-R3-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Field / laboratory / data custody</w:t>
            </w:r>
          </w:p>
        </w:tc>
        <w:tc>
          <w:tcPr>
            <w:tcW w:type="dxa" w:w="3572"/>
            <w:vAlign w:val="top"/>
          </w:tcPr>
          <w:p>
            <w:pPr>
              <w:keepNext w:val="0"/>
              <w:spacing w:after="20"/>
            </w:pPr>
            <w:sdt>
              <w:sdtPr>
                <w:id w:val="1052"/>
                <w:alias w:val="MR-03-T01-R4-C2"/>
                <w:tag w:val="MR-03-T01-R4-C2"/>
                <w:text w:multiLine="1"/>
              </w:sdtPr>
              <w:sdtContent>
                <w:r>
                  <w:rPr>
                    <w:rFonts w:ascii="Arial" w:hAnsi="Arial"/>
                    <w:color w:val="62716E"/>
                    <w:sz w:val="18"/>
                  </w:rPr>
                  <w:t>[Complete]</w:t>
                </w:r>
              </w:sdtContent>
            </w:sdt>
          </w:p>
        </w:tc>
        <w:tc>
          <w:tcPr>
            <w:tcW w:type="dxa" w:w="3390"/>
            <w:vAlign w:val="top"/>
          </w:tcPr>
          <w:p>
            <w:pPr>
              <w:keepNext w:val="0"/>
              <w:spacing w:after="20"/>
            </w:pPr>
            <w:sdt>
              <w:sdtPr>
                <w:id w:val="1053"/>
                <w:alias w:val="MR-03-T01-R4-C3"/>
                <w:tag w:val="MR-03-T01-R4-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Internal reviewer / OVV interface</w:t>
            </w:r>
          </w:p>
        </w:tc>
        <w:tc>
          <w:tcPr>
            <w:tcW w:type="dxa" w:w="3572"/>
            <w:vAlign w:val="top"/>
          </w:tcPr>
          <w:p>
            <w:pPr>
              <w:keepNext w:val="0"/>
              <w:spacing w:after="20"/>
            </w:pPr>
            <w:sdt>
              <w:sdtPr>
                <w:id w:val="1054"/>
                <w:alias w:val="MR-03-T01-R5-C2"/>
                <w:tag w:val="MR-03-T01-R5-C2"/>
                <w:text w:multiLine="1"/>
              </w:sdtPr>
              <w:sdtContent>
                <w:r>
                  <w:rPr>
                    <w:rFonts w:ascii="Arial" w:hAnsi="Arial"/>
                    <w:color w:val="62716E"/>
                    <w:sz w:val="18"/>
                  </w:rPr>
                  <w:t>[Complete]</w:t>
                </w:r>
              </w:sdtContent>
            </w:sdt>
          </w:p>
        </w:tc>
        <w:tc>
          <w:tcPr>
            <w:tcW w:type="dxa" w:w="3390"/>
            <w:vAlign w:val="top"/>
          </w:tcPr>
          <w:p>
            <w:pPr>
              <w:keepNext w:val="0"/>
              <w:spacing w:after="20"/>
            </w:pPr>
            <w:sdt>
              <w:sdtPr>
                <w:id w:val="1055"/>
                <w:alias w:val="MR-03-T01-R5-C3"/>
                <w:tag w:val="MR-03-T01-R5-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Record changes to tenure, mandates, implementation authority, data-use permission, consent, access and continuing obligations. Cite evidence and effective dates; identify unresolved restrictions and the affected scope. Keep restricted personal information in controlled annexes.</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056"/>
                <w:alias w:val="MR-response-9"/>
                <w:tag w:val="MR-response-9"/>
                <w:text w:multiLine="1"/>
              </w:sdtPr>
              <w:sdtContent>
                <w:r>
                  <w:rPr>
                    <w:rFonts w:ascii="Arial" w:hAnsi="Arial"/>
                    <w:color w:val="62716E"/>
                    <w:sz w:val="18"/>
                  </w:rPr>
                  <w:t>[Enter response and exact evidence references.]</w:t>
                </w:r>
              </w:sdtContent>
            </w:sdt>
          </w:p>
        </w:tc>
      </w:tr>
    </w:tbl>
    <w:p>
      <w:pPr>
        <w:spacing w:after="20" w:line="40" w:lineRule="exact"/>
      </w:pPr>
      <w:r>
        <w:rPr>
          <w:sz w:val="4"/>
        </w:rPr>
      </w:r>
    </w:p>
    <w:p>
      <w:bookmarkStart w:id="287" w:name="MR_04"/>
      <w:pPr>
        <w:pStyle w:val="Heading1"/>
        <w:keepNext/>
        <w:pageBreakBefore/>
      </w:pPr>
      <w:r>
        <w:rPr>
          <w:rFonts w:ascii="Arial" w:hAnsi="Arial" w:eastAsia="Arial" w:cs="Arial"/>
          <w:b w:val="0"/>
          <w:color w:val="215F52"/>
          <w:sz w:val="38"/>
        </w:rPr>
        <w:t>04  Implementation against the PD</w:t>
      </w:r>
      <w:bookmarkEnd w:id="287"/>
    </w:p>
    <w:p>
      <w:pPr>
        <w:keepNext/>
        <w:spacing w:after="100"/>
      </w:pPr>
      <w:r>
        <w:rPr>
          <w:rFonts w:ascii="Arial" w:hAnsi="Arial" w:eastAsia="Arial" w:cs="Arial"/>
          <w:b w:val="0"/>
          <w:color w:val="62716E"/>
          <w:sz w:val="16"/>
        </w:rPr>
        <w:t>[1] CYC-05; S-25; P-02; AO-06; AO-07; AO-08</w:t>
      </w:r>
    </w:p>
    <w:p>
      <w:pPr>
        <w:spacing w:after="100"/>
      </w:pPr>
      <w:r>
        <w:rPr>
          <w:rFonts w:ascii="Arial" w:hAnsi="Arial" w:eastAsia="Arial" w:cs="Arial"/>
          <w:b w:val="0"/>
          <w:color w:val="243A36"/>
          <w:sz w:val="19"/>
        </w:rPr>
        <w:t>Report what the implementing entity actually delivered during the monitoring interval against the PD work program. Distinguish intervention completion, intermediate responses and environmental results. Expenditure, training or a completed activity does not by itself quantify mitigation.</w:t>
      </w:r>
    </w:p>
    <w:p>
      <w:pPr>
        <w:keepNext/>
        <w:spacing w:after="100"/>
      </w:pPr>
      <w:r>
        <w:rPr>
          <w:rFonts w:ascii="Arial" w:hAnsi="Arial" w:eastAsia="Arial" w:cs="Arial"/>
          <w:b/>
          <w:color w:val="215F52"/>
          <w:sz w:val="20"/>
        </w:rPr>
        <w:t>MR-04-T01 / Commitment-to-evidence matrix</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PD activity / indicator and target period</w:t>
            </w:r>
          </w:p>
        </w:tc>
        <w:tc>
          <w:tcPr>
            <w:tcW w:type="dxa" w:w="3572"/>
            <w:vAlign w:val="center"/>
            <w:shd w:fill="F1F5F2"/>
          </w:tcPr>
          <w:p>
            <w:pPr>
              <w:keepNext/>
              <w:spacing w:after="20"/>
            </w:pPr>
            <w:r>
              <w:rPr>
                <w:rFonts w:ascii="Arial" w:hAnsi="Arial" w:eastAsia="Arial" w:cs="Arial"/>
                <w:b/>
                <w:color w:val="215F52"/>
                <w:sz w:val="17"/>
              </w:rPr>
              <w:t>Actual delivery, dates and implementing party</w:t>
            </w:r>
          </w:p>
        </w:tc>
        <w:tc>
          <w:tcPr>
            <w:tcW w:type="dxa" w:w="3390"/>
            <w:vAlign w:val="center"/>
            <w:shd w:fill="F1F5F2"/>
          </w:tcPr>
          <w:p>
            <w:pPr>
              <w:keepNext/>
              <w:spacing w:after="20"/>
            </w:pPr>
            <w:r>
              <w:rPr>
                <w:rFonts w:ascii="Arial" w:hAnsi="Arial" w:eastAsia="Arial" w:cs="Arial"/>
                <w:b/>
                <w:color w:val="215F52"/>
                <w:sz w:val="17"/>
              </w:rPr>
              <w:t>Evidence, deviation and response</w:t>
            </w:r>
          </w:p>
        </w:tc>
      </w:tr>
      <w:tr>
        <w:trPr>
          <w:trHeight w:val="442" w:hRule="atLeast"/>
        </w:trPr>
        <w:tc>
          <w:tcPr>
            <w:tcW w:type="dxa" w:w="2778"/>
            <w:vAlign w:val="top"/>
          </w:tcPr>
          <w:p>
            <w:pPr>
              <w:keepNext w:val="0"/>
              <w:spacing w:after="20"/>
            </w:pPr>
            <w:sdt>
              <w:sdtPr>
                <w:id w:val="1057"/>
                <w:alias w:val="MR-04-T01-R1-C1"/>
                <w:tag w:val="MR-04-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058"/>
                <w:alias w:val="MR-04-T01-R1-C2"/>
                <w:tag w:val="MR-04-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059"/>
                <w:alias w:val="MR-04-T01-R1-C3"/>
                <w:tag w:val="MR-04-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060"/>
                <w:alias w:val="MR-04-T01-R2-C1"/>
                <w:tag w:val="MR-04-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061"/>
                <w:alias w:val="MR-04-T01-R2-C2"/>
                <w:tag w:val="MR-04-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062"/>
                <w:alias w:val="MR-04-T01-R2-C3"/>
                <w:tag w:val="MR-04-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063"/>
                <w:alias w:val="MR-04-T01-R3-C1"/>
                <w:tag w:val="MR-04-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064"/>
                <w:alias w:val="MR-04-T01-R3-C2"/>
                <w:tag w:val="MR-04-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065"/>
                <w:alias w:val="MR-04-T01-R3-C3"/>
                <w:tag w:val="MR-04-T01-R3-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066"/>
                <w:alias w:val="MR-04-T01-R4-C1"/>
                <w:tag w:val="MR-04-T01-R4-C1"/>
                <w:text w:multiLine="1"/>
              </w:sdtPr>
              <w:sdtContent>
                <w:r>
                  <w:rPr>
                    <w:rFonts w:ascii="Arial" w:hAnsi="Arial"/>
                    <w:color w:val="62716E"/>
                    <w:sz w:val="18"/>
                  </w:rPr>
                  <w:t>[Complete]</w:t>
                </w:r>
              </w:sdtContent>
            </w:sdt>
          </w:p>
        </w:tc>
        <w:tc>
          <w:tcPr>
            <w:tcW w:type="dxa" w:w="3572"/>
            <w:vAlign w:val="top"/>
          </w:tcPr>
          <w:p>
            <w:pPr>
              <w:keepNext w:val="0"/>
              <w:spacing w:after="20"/>
            </w:pPr>
            <w:sdt>
              <w:sdtPr>
                <w:id w:val="1067"/>
                <w:alias w:val="MR-04-T01-R4-C2"/>
                <w:tag w:val="MR-04-T01-R4-C2"/>
                <w:text w:multiLine="1"/>
              </w:sdtPr>
              <w:sdtContent>
                <w:r>
                  <w:rPr>
                    <w:rFonts w:ascii="Arial" w:hAnsi="Arial"/>
                    <w:color w:val="62716E"/>
                    <w:sz w:val="18"/>
                  </w:rPr>
                  <w:t>[Complete]</w:t>
                </w:r>
              </w:sdtContent>
            </w:sdt>
          </w:p>
        </w:tc>
        <w:tc>
          <w:tcPr>
            <w:tcW w:type="dxa" w:w="3390"/>
            <w:vAlign w:val="top"/>
          </w:tcPr>
          <w:p>
            <w:pPr>
              <w:keepNext w:val="0"/>
              <w:spacing w:after="20"/>
            </w:pPr>
            <w:sdt>
              <w:sdtPr>
                <w:id w:val="1068"/>
                <w:alias w:val="MR-04-T01-R4-C3"/>
                <w:tag w:val="MR-04-T01-R4-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Explain delays, nonimplementation, maintenance, capacity, safety, access and resource constraints. Link material deviations to the account, additionality assessment and corrective actions; retain favorable and adverse evidence.</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069"/>
                <w:alias w:val="MR-response-11"/>
                <w:tag w:val="MR-response-11"/>
                <w:text w:multiLine="1"/>
              </w:sdtPr>
              <w:sdtContent>
                <w:r>
                  <w:rPr>
                    <w:rFonts w:ascii="Arial" w:hAnsi="Arial"/>
                    <w:color w:val="62716E"/>
                    <w:sz w:val="18"/>
                  </w:rPr>
                  <w:t>[Enter response and exact evidence references.]</w:t>
                </w:r>
              </w:sdtContent>
            </w:sdt>
          </w:p>
        </w:tc>
      </w:tr>
    </w:tbl>
    <w:p>
      <w:pPr>
        <w:spacing w:after="20" w:line="40" w:lineRule="exact"/>
      </w:pPr>
      <w:r>
        <w:rPr>
          <w:sz w:val="4"/>
        </w:rPr>
      </w:r>
    </w:p>
    <w:p>
      <w:pPr>
        <w:keepNext/>
        <w:spacing w:after="100"/>
      </w:pPr>
      <w:r>
        <w:rPr>
          <w:rFonts w:ascii="Arial" w:hAnsi="Arial" w:eastAsia="Arial" w:cs="Arial"/>
          <w:b/>
          <w:color w:val="215F52"/>
          <w:sz w:val="20"/>
        </w:rPr>
        <w:t>MR-04-T02 / Performance-record definitions</w:t>
      </w:r>
    </w:p>
    <w:p>
      <w:pPr>
        <w:keepNext/>
        <w:spacing w:after="100"/>
      </w:pPr>
      <w:r>
        <w:rPr>
          <w:rFonts w:ascii="Arial" w:hAnsi="Arial" w:eastAsia="Arial" w:cs="Arial"/>
          <w:b/>
          <w:color w:val="215F52"/>
          <w:sz w:val="17"/>
        </w:rPr>
        <w:t>MR-04-T02 / Calculation notation</w:t>
      </w:r>
    </w:p>
    <w:p>
      <w:pPr>
        <w:keepNext/>
        <w:spacing w:after="60" w:before="20"/>
        <w:jc w:val="center"/>
      </w:pPr>
      <m:oMath>
        <m:sSub>
          <m:e>
            <m:r>
              <w:rPr>
                <w:sz w:val="20"/>
                <w:rFonts w:ascii="Cambria Math" w:hAnsi="Cambria Math"/>
              </w:rPr>
              <m:t>x</m:t>
            </m:r>
          </m:e>
          <m:sub>
            <m:r>
              <w:rPr>
                <w:sz w:val="20"/>
                <w:rFonts w:ascii="Cambria Math" w:hAnsi="Cambria Math"/>
              </w:rPr>
              <m:rPr>
                <m:sty m:val="p"/>
              </m:rPr>
              <m:t>ℓ</m:t>
            </m:r>
          </m:sub>
        </m:sSub>
        <m:r>
          <w:rPr>
            <w:sz w:val="20"/>
            <w:rFonts w:ascii="Cambria Math" w:hAnsi="Cambria Math"/>
          </w:rPr>
          <m:t> </m:t>
        </m:r>
        <m:d>
          <m:dPr>
            <m:begChr m:val="["/>
            <m:endChr m:val="]"/>
            <m:sepChr m:val=""/>
            <m:grow/>
          </m:dPr>
          <m:e>
            <m:sSub>
              <m:e>
                <m:r>
                  <w:rPr>
                    <w:sz w:val="20"/>
                    <w:rFonts w:ascii="Cambria Math" w:hAnsi="Cambria Math"/>
                  </w:rPr>
                  <m:t>u</m:t>
                </m:r>
              </m:e>
              <m:sub>
                <m:r>
                  <w:rPr>
                    <w:sz w:val="20"/>
                    <w:rFonts w:ascii="Cambria Math" w:hAnsi="Cambria Math"/>
                  </w:rPr>
                  <m:rPr>
                    <m:sty m:val="p"/>
                  </m:rPr>
                  <m:t>ℓ</m:t>
                </m:r>
              </m:sub>
            </m:sSub>
          </m:e>
        </m:d>
      </m:oMath>
    </w:p>
    <w:p>
      <w:pPr>
        <w:keepNext/>
        <w:spacing w:after="60"/>
      </w:pPr>
      <w:r>
        <w:rPr>
          <w:rFonts w:ascii="Arial" w:hAnsi="Arial" w:eastAsia="Arial" w:cs="Arial"/>
          <w:b w:val="0"/>
          <w:color w:val="215F52"/>
          <w:sz w:val="17"/>
        </w:rPr>
        <w:t>x_l is the identified observation, input, or output; u_l is its declared unit. Record the exact equation and source file, worksheet, cell/range, period, and status. This notation does not prescribe an estimator.</w:t>
      </w:r>
    </w:p>
    <w:p>
      <w:pPr>
        <w:keepNext/>
        <w:spacing w:after="80"/>
      </w:pPr>
      <w:r>
        <w:rPr>
          <w:rFonts w:ascii="Arial" w:hAnsi="Arial" w:eastAsia="Arial" w:cs="Arial"/>
          <w:b w:val="0"/>
          <w:color w:val="62716E"/>
          <w:sz w:val="16"/>
        </w:rPr>
        <w:t>Basis: F-01; T-01. Calculation location: Evidence!A:J; Components!F:L.</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Indicator / symbol / unit</w:t>
            </w:r>
          </w:p>
        </w:tc>
        <w:tc>
          <w:tcPr>
            <w:tcW w:type="dxa" w:w="3572"/>
            <w:vAlign w:val="center"/>
            <w:shd w:fill="F1F5F2"/>
          </w:tcPr>
          <w:p>
            <w:pPr>
              <w:keepNext/>
              <w:spacing w:after="20"/>
            </w:pPr>
            <w:r>
              <w:rPr>
                <w:rFonts w:ascii="Arial" w:hAnsi="Arial" w:eastAsia="Arial" w:cs="Arial"/>
                <w:b/>
                <w:color w:val="215F52"/>
                <w:sz w:val="17"/>
              </w:rPr>
              <w:t>Planned value, observed value and interval</w:t>
            </w:r>
          </w:p>
        </w:tc>
        <w:tc>
          <w:tcPr>
            <w:tcW w:type="dxa" w:w="3390"/>
            <w:vAlign w:val="center"/>
            <w:shd w:fill="F1F5F2"/>
          </w:tcPr>
          <w:p>
            <w:pPr>
              <w:keepNext/>
              <w:spacing w:after="20"/>
            </w:pPr>
            <w:r>
              <w:rPr>
                <w:rFonts w:ascii="Arial" w:hAnsi="Arial" w:eastAsia="Arial" w:cs="Arial"/>
                <w:b/>
                <w:color w:val="215F52"/>
                <w:sz w:val="17"/>
              </w:rPr>
              <w:t>Counting or calculation method / evidence</w:t>
            </w:r>
          </w:p>
        </w:tc>
      </w:tr>
      <w:tr>
        <w:trPr>
          <w:trHeight w:val="442" w:hRule="atLeast"/>
        </w:trPr>
        <w:tc>
          <w:tcPr>
            <w:tcW w:type="dxa" w:w="2778"/>
            <w:vAlign w:val="top"/>
          </w:tcPr>
          <w:p>
            <w:pPr>
              <w:keepNext w:val="0"/>
              <w:spacing w:after="20"/>
            </w:pPr>
            <w:sdt>
              <w:sdtPr>
                <w:id w:val="1070"/>
                <w:alias w:val="MR-04-T02-R1-C1"/>
                <w:tag w:val="MR-04-T02-R1-C1"/>
                <w:text w:multiLine="1"/>
              </w:sdtPr>
              <w:sdtContent>
                <w:r>
                  <w:rPr>
                    <w:rFonts w:ascii="Arial" w:hAnsi="Arial"/>
                    <w:color w:val="62716E"/>
                    <w:sz w:val="18"/>
                  </w:rPr>
                  <w:t>[Complete]</w:t>
                </w:r>
              </w:sdtContent>
            </w:sdt>
          </w:p>
        </w:tc>
        <w:tc>
          <w:tcPr>
            <w:tcW w:type="dxa" w:w="3572"/>
            <w:vAlign w:val="top"/>
          </w:tcPr>
          <w:p>
            <w:pPr>
              <w:keepNext w:val="0"/>
              <w:spacing w:after="20"/>
            </w:pPr>
            <w:sdt>
              <w:sdtPr>
                <w:id w:val="1071"/>
                <w:alias w:val="MR-04-T02-R1-C2"/>
                <w:tag w:val="MR-04-T02-R1-C2"/>
                <w:text w:multiLine="1"/>
              </w:sdtPr>
              <w:sdtContent>
                <w:r>
                  <w:rPr>
                    <w:rFonts w:ascii="Arial" w:hAnsi="Arial"/>
                    <w:color w:val="62716E"/>
                    <w:sz w:val="18"/>
                  </w:rPr>
                  <w:t>[Complete]</w:t>
                </w:r>
              </w:sdtContent>
            </w:sdt>
          </w:p>
        </w:tc>
        <w:tc>
          <w:tcPr>
            <w:tcW w:type="dxa" w:w="3390"/>
            <w:vAlign w:val="top"/>
          </w:tcPr>
          <w:p>
            <w:pPr>
              <w:keepNext w:val="0"/>
              <w:spacing w:after="20"/>
            </w:pPr>
            <w:sdt>
              <w:sdtPr>
                <w:id w:val="1072"/>
                <w:alias w:val="MR-04-T02-R1-C3"/>
                <w:tag w:val="MR-04-T02-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073"/>
                <w:alias w:val="MR-04-T02-R2-C1"/>
                <w:tag w:val="MR-04-T02-R2-C1"/>
                <w:text w:multiLine="1"/>
              </w:sdtPr>
              <w:sdtContent>
                <w:r>
                  <w:rPr>
                    <w:rFonts w:ascii="Arial" w:hAnsi="Arial"/>
                    <w:color w:val="62716E"/>
                    <w:sz w:val="18"/>
                  </w:rPr>
                  <w:t>[Complete]</w:t>
                </w:r>
              </w:sdtContent>
            </w:sdt>
          </w:p>
        </w:tc>
        <w:tc>
          <w:tcPr>
            <w:tcW w:type="dxa" w:w="3572"/>
            <w:vAlign w:val="top"/>
          </w:tcPr>
          <w:p>
            <w:pPr>
              <w:keepNext w:val="0"/>
              <w:spacing w:after="20"/>
            </w:pPr>
            <w:sdt>
              <w:sdtPr>
                <w:id w:val="1074"/>
                <w:alias w:val="MR-04-T02-R2-C2"/>
                <w:tag w:val="MR-04-T02-R2-C2"/>
                <w:text w:multiLine="1"/>
              </w:sdtPr>
              <w:sdtContent>
                <w:r>
                  <w:rPr>
                    <w:rFonts w:ascii="Arial" w:hAnsi="Arial"/>
                    <w:color w:val="62716E"/>
                    <w:sz w:val="18"/>
                  </w:rPr>
                  <w:t>[Complete]</w:t>
                </w:r>
              </w:sdtContent>
            </w:sdt>
          </w:p>
        </w:tc>
        <w:tc>
          <w:tcPr>
            <w:tcW w:type="dxa" w:w="3390"/>
            <w:vAlign w:val="top"/>
          </w:tcPr>
          <w:p>
            <w:pPr>
              <w:keepNext w:val="0"/>
              <w:spacing w:after="20"/>
            </w:pPr>
            <w:sdt>
              <w:sdtPr>
                <w:id w:val="1075"/>
                <w:alias w:val="MR-04-T02-R2-C3"/>
                <w:tag w:val="MR-04-T02-R2-C3"/>
                <w:text w:multiLine="1"/>
              </w:sdtPr>
              <w:sdtContent>
                <w:r>
                  <w:rPr>
                    <w:rFonts w:ascii="Arial" w:hAnsi="Arial"/>
                    <w:color w:val="62716E"/>
                    <w:sz w:val="18"/>
                  </w:rPr>
                  <w:t>[Complete]</w:t>
                </w:r>
              </w:sdtContent>
            </w:sdt>
          </w:p>
        </w:tc>
      </w:tr>
    </w:tbl>
    <w:p>
      <w:pPr>
        <w:spacing w:after="20" w:before="0" w:line="40" w:lineRule="exact"/>
      </w:pPr>
      <w:r>
        <w:rPr>
          <w:sz w:val="4"/>
        </w:rPr>
      </w:r>
    </w:p>
    <w:p>
      <w:bookmarkStart w:id="300" w:name="MR_05"/>
      <w:pPr>
        <w:pStyle w:val="Heading1"/>
        <w:keepNext/>
        <w:pageBreakBefore/>
      </w:pPr>
      <w:r>
        <w:rPr>
          <w:rFonts w:ascii="Arial" w:hAnsi="Arial" w:eastAsia="Arial" w:cs="Arial"/>
          <w:b w:val="0"/>
          <w:color w:val="215F52"/>
          <w:sz w:val="38"/>
        </w:rPr>
        <w:t>05  Monitoring plan: intended versus performed</w:t>
      </w:r>
      <w:bookmarkEnd w:id="300"/>
    </w:p>
    <w:p>
      <w:pPr>
        <w:keepNext/>
        <w:spacing w:after="100"/>
      </w:pPr>
      <w:r>
        <w:rPr>
          <w:rFonts w:ascii="Arial" w:hAnsi="Arial" w:eastAsia="Arial" w:cs="Arial"/>
          <w:b w:val="0"/>
          <w:color w:val="62716E"/>
          <w:sz w:val="16"/>
        </w:rPr>
        <w:t>[1] P-02; P-03; P-04; T-01; FRM-02</w:t>
      </w:r>
    </w:p>
    <w:p>
      <w:pPr>
        <w:spacing w:after="100"/>
      </w:pPr>
      <w:r>
        <w:rPr>
          <w:rFonts w:ascii="Arial" w:hAnsi="Arial" w:eastAsia="Arial" w:cs="Arial"/>
          <w:b w:val="0"/>
          <w:color w:val="243A36"/>
          <w:sz w:val="19"/>
        </w:rPr>
        <w:t>Complete one linked record for every monitored variable required by the PD and applicable modules, including social and ecosystem indicators. Record actual dates and methods rather than repeating only the planned frequency.</w:t>
      </w:r>
    </w:p>
    <w:p>
      <w:pPr>
        <w:keepNext/>
        <w:spacing w:after="100"/>
      </w:pPr>
      <w:r>
        <w:rPr>
          <w:rFonts w:ascii="Arial" w:hAnsi="Arial" w:eastAsia="Arial" w:cs="Arial"/>
          <w:b/>
          <w:color w:val="215F52"/>
          <w:sz w:val="20"/>
        </w:rPr>
        <w:t>MR-05-T01 / Variable and planned protocol</w:t>
      </w:r>
    </w:p>
    <w:p>
      <w:pPr>
        <w:keepNext/>
        <w:spacing w:after="100"/>
      </w:pPr>
      <w:r>
        <w:rPr>
          <w:rFonts w:ascii="Arial" w:hAnsi="Arial" w:eastAsia="Arial" w:cs="Arial"/>
          <w:b/>
          <w:color w:val="215F52"/>
          <w:sz w:val="17"/>
        </w:rPr>
        <w:t>MR-05-T01 / Calculation notation</w:t>
      </w:r>
    </w:p>
    <w:p>
      <w:pPr>
        <w:keepNext/>
        <w:spacing w:after="60" w:before="20"/>
        <w:jc w:val="center"/>
      </w:pPr>
      <m:oMath>
        <m:sSub>
          <m:e>
            <m:r>
              <w:rPr>
                <w:sz w:val="20"/>
                <w:rFonts w:ascii="Cambria Math" w:hAnsi="Cambria Math"/>
              </w:rPr>
              <m:t>x</m:t>
            </m:r>
          </m:e>
          <m:sub>
            <m:r>
              <w:rPr>
                <w:sz w:val="20"/>
                <w:rFonts w:ascii="Cambria Math" w:hAnsi="Cambria Math"/>
              </w:rPr>
              <m:rPr>
                <m:sty m:val="p"/>
              </m:rPr>
              <m:t>ℓ</m:t>
            </m:r>
          </m:sub>
        </m:sSub>
        <m:r>
          <w:rPr>
            <w:sz w:val="20"/>
            <w:rFonts w:ascii="Cambria Math" w:hAnsi="Cambria Math"/>
          </w:rPr>
          <m:t> </m:t>
        </m:r>
        <m:d>
          <m:dPr>
            <m:begChr m:val="["/>
            <m:endChr m:val="]"/>
            <m:sepChr m:val=""/>
            <m:grow/>
          </m:dPr>
          <m:e>
            <m:sSub>
              <m:e>
                <m:r>
                  <w:rPr>
                    <w:sz w:val="20"/>
                    <w:rFonts w:ascii="Cambria Math" w:hAnsi="Cambria Math"/>
                  </w:rPr>
                  <m:t>u</m:t>
                </m:r>
              </m:e>
              <m:sub>
                <m:r>
                  <w:rPr>
                    <w:sz w:val="20"/>
                    <w:rFonts w:ascii="Cambria Math" w:hAnsi="Cambria Math"/>
                  </w:rPr>
                  <m:rPr>
                    <m:sty m:val="p"/>
                  </m:rPr>
                  <m:t>ℓ</m:t>
                </m:r>
              </m:sub>
            </m:sSub>
          </m:e>
        </m:d>
      </m:oMath>
    </w:p>
    <w:p>
      <w:pPr>
        <w:keepNext/>
        <w:spacing w:after="60"/>
      </w:pPr>
      <w:r>
        <w:rPr>
          <w:rFonts w:ascii="Arial" w:hAnsi="Arial" w:eastAsia="Arial" w:cs="Arial"/>
          <w:b w:val="0"/>
          <w:color w:val="215F52"/>
          <w:sz w:val="17"/>
        </w:rPr>
        <w:t>x_l is the identified observation, input, or output; u_l is its declared unit. Record the exact equation and source file, worksheet, cell/range, period, and status. This notation does not prescribe an estimator.</w:t>
      </w:r>
    </w:p>
    <w:p>
      <w:pPr>
        <w:keepNext/>
        <w:spacing w:after="80"/>
      </w:pPr>
      <w:r>
        <w:rPr>
          <w:rFonts w:ascii="Arial" w:hAnsi="Arial" w:eastAsia="Arial" w:cs="Arial"/>
          <w:b w:val="0"/>
          <w:color w:val="62716E"/>
          <w:sz w:val="16"/>
        </w:rPr>
        <w:t>Basis: F-01; T-01. Calculation location: Evidence!A:J; Components!F:L.</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Variable / symbol / unit and support</w:t>
            </w:r>
          </w:p>
        </w:tc>
        <w:tc>
          <w:tcPr>
            <w:tcW w:type="dxa" w:w="3572"/>
            <w:vAlign w:val="center"/>
            <w:shd w:fill="F1F5F2"/>
          </w:tcPr>
          <w:p>
            <w:pPr>
              <w:keepNext/>
              <w:spacing w:after="20"/>
            </w:pPr>
            <w:r>
              <w:rPr>
                <w:rFonts w:ascii="Arial" w:hAnsi="Arial" w:eastAsia="Arial" w:cs="Arial"/>
                <w:b/>
                <w:color w:val="215F52"/>
                <w:sz w:val="17"/>
              </w:rPr>
              <w:t>PD method, frequency and acceptance criterion</w:t>
            </w:r>
          </w:p>
        </w:tc>
        <w:tc>
          <w:tcPr>
            <w:tcW w:type="dxa" w:w="3390"/>
            <w:vAlign w:val="center"/>
            <w:shd w:fill="F1F5F2"/>
          </w:tcPr>
          <w:p>
            <w:pPr>
              <w:keepNext/>
              <w:spacing w:after="20"/>
            </w:pPr>
            <w:r>
              <w:rPr>
                <w:rFonts w:ascii="Arial" w:hAnsi="Arial" w:eastAsia="Arial" w:cs="Arial"/>
                <w:b/>
                <w:color w:val="215F52"/>
                <w:sz w:val="17"/>
              </w:rPr>
              <w:t>Responsible person, calibration and output equation</w:t>
            </w:r>
          </w:p>
        </w:tc>
      </w:tr>
      <w:tr>
        <w:trPr>
          <w:trHeight w:val="442" w:hRule="atLeast"/>
        </w:trPr>
        <w:tc>
          <w:tcPr>
            <w:tcW w:type="dxa" w:w="2778"/>
            <w:vAlign w:val="top"/>
          </w:tcPr>
          <w:p>
            <w:pPr>
              <w:keepNext w:val="0"/>
              <w:spacing w:after="20"/>
            </w:pPr>
            <w:sdt>
              <w:sdtPr>
                <w:id w:val="1076"/>
                <w:alias w:val="MR-05-T01-R1-C1"/>
                <w:tag w:val="MR-05-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077"/>
                <w:alias w:val="MR-05-T01-R1-C2"/>
                <w:tag w:val="MR-05-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078"/>
                <w:alias w:val="MR-05-T01-R1-C3"/>
                <w:tag w:val="MR-05-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079"/>
                <w:alias w:val="MR-05-T01-R2-C1"/>
                <w:tag w:val="MR-05-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080"/>
                <w:alias w:val="MR-05-T01-R2-C2"/>
                <w:tag w:val="MR-05-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081"/>
                <w:alias w:val="MR-05-T01-R2-C3"/>
                <w:tag w:val="MR-05-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082"/>
                <w:alias w:val="MR-05-T01-R3-C1"/>
                <w:tag w:val="MR-05-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083"/>
                <w:alias w:val="MR-05-T01-R3-C2"/>
                <w:tag w:val="MR-05-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084"/>
                <w:alias w:val="MR-05-T01-R3-C3"/>
                <w:tag w:val="MR-05-T01-R3-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color w:val="215F52"/>
          <w:sz w:val="20"/>
        </w:rPr>
        <w:t>MR-05-T02 / Execution and evidence continuation</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Same variable / record ID</w:t>
            </w:r>
          </w:p>
        </w:tc>
        <w:tc>
          <w:tcPr>
            <w:tcW w:type="dxa" w:w="3572"/>
            <w:vAlign w:val="center"/>
            <w:shd w:fill="F1F5F2"/>
          </w:tcPr>
          <w:p>
            <w:pPr>
              <w:keepNext/>
              <w:spacing w:after="20"/>
            </w:pPr>
            <w:r>
              <w:rPr>
                <w:rFonts w:ascii="Arial" w:hAnsi="Arial" w:eastAsia="Arial" w:cs="Arial"/>
                <w:b/>
                <w:color w:val="215F52"/>
                <w:sz w:val="17"/>
              </w:rPr>
              <w:t>Actual dates, method and observation coverage</w:t>
            </w:r>
          </w:p>
        </w:tc>
        <w:tc>
          <w:tcPr>
            <w:tcW w:type="dxa" w:w="3390"/>
            <w:vAlign w:val="center"/>
            <w:shd w:fill="F1F5F2"/>
          </w:tcPr>
          <w:p>
            <w:pPr>
              <w:keepNext/>
              <w:spacing w:after="20"/>
            </w:pPr>
            <w:r>
              <w:rPr>
                <w:rFonts w:ascii="Arial" w:hAnsi="Arial" w:eastAsia="Arial" w:cs="Arial"/>
                <w:b/>
                <w:color w:val="215F52"/>
                <w:sz w:val="17"/>
              </w:rPr>
              <w:t>Raw record, quality outcome and deviation ID</w:t>
            </w:r>
          </w:p>
        </w:tc>
      </w:tr>
      <w:tr>
        <w:trPr>
          <w:trHeight w:val="442" w:hRule="atLeast"/>
        </w:trPr>
        <w:tc>
          <w:tcPr>
            <w:tcW w:type="dxa" w:w="2778"/>
            <w:vAlign w:val="top"/>
          </w:tcPr>
          <w:p>
            <w:pPr>
              <w:keepNext w:val="0"/>
              <w:spacing w:after="20"/>
            </w:pPr>
            <w:sdt>
              <w:sdtPr>
                <w:id w:val="1085"/>
                <w:alias w:val="MR-05-T02-R1-C1"/>
                <w:tag w:val="MR-05-T02-R1-C1"/>
                <w:text w:multiLine="1"/>
              </w:sdtPr>
              <w:sdtContent>
                <w:r>
                  <w:rPr>
                    <w:rFonts w:ascii="Arial" w:hAnsi="Arial"/>
                    <w:color w:val="62716E"/>
                    <w:sz w:val="18"/>
                  </w:rPr>
                  <w:t>[Complete]</w:t>
                </w:r>
              </w:sdtContent>
            </w:sdt>
          </w:p>
        </w:tc>
        <w:tc>
          <w:tcPr>
            <w:tcW w:type="dxa" w:w="3572"/>
            <w:vAlign w:val="top"/>
          </w:tcPr>
          <w:p>
            <w:pPr>
              <w:keepNext w:val="0"/>
              <w:spacing w:after="20"/>
            </w:pPr>
            <w:sdt>
              <w:sdtPr>
                <w:id w:val="1086"/>
                <w:alias w:val="MR-05-T02-R1-C2"/>
                <w:tag w:val="MR-05-T02-R1-C2"/>
                <w:text w:multiLine="1"/>
              </w:sdtPr>
              <w:sdtContent>
                <w:r>
                  <w:rPr>
                    <w:rFonts w:ascii="Arial" w:hAnsi="Arial"/>
                    <w:color w:val="62716E"/>
                    <w:sz w:val="18"/>
                  </w:rPr>
                  <w:t>[Complete]</w:t>
                </w:r>
              </w:sdtContent>
            </w:sdt>
          </w:p>
        </w:tc>
        <w:tc>
          <w:tcPr>
            <w:tcW w:type="dxa" w:w="3390"/>
            <w:vAlign w:val="top"/>
          </w:tcPr>
          <w:p>
            <w:pPr>
              <w:keepNext w:val="0"/>
              <w:spacing w:after="20"/>
            </w:pPr>
            <w:sdt>
              <w:sdtPr>
                <w:id w:val="1087"/>
                <w:alias w:val="MR-05-T02-R1-C3"/>
                <w:tag w:val="MR-05-T02-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088"/>
                <w:alias w:val="MR-05-T02-R2-C1"/>
                <w:tag w:val="MR-05-T02-R2-C1"/>
                <w:text w:multiLine="1"/>
              </w:sdtPr>
              <w:sdtContent>
                <w:r>
                  <w:rPr>
                    <w:rFonts w:ascii="Arial" w:hAnsi="Arial"/>
                    <w:color w:val="62716E"/>
                    <w:sz w:val="18"/>
                  </w:rPr>
                  <w:t>[Complete]</w:t>
                </w:r>
              </w:sdtContent>
            </w:sdt>
          </w:p>
        </w:tc>
        <w:tc>
          <w:tcPr>
            <w:tcW w:type="dxa" w:w="3572"/>
            <w:vAlign w:val="top"/>
          </w:tcPr>
          <w:p>
            <w:pPr>
              <w:keepNext w:val="0"/>
              <w:spacing w:after="20"/>
            </w:pPr>
            <w:sdt>
              <w:sdtPr>
                <w:id w:val="1089"/>
                <w:alias w:val="MR-05-T02-R2-C2"/>
                <w:tag w:val="MR-05-T02-R2-C2"/>
                <w:text w:multiLine="1"/>
              </w:sdtPr>
              <w:sdtContent>
                <w:r>
                  <w:rPr>
                    <w:rFonts w:ascii="Arial" w:hAnsi="Arial"/>
                    <w:color w:val="62716E"/>
                    <w:sz w:val="18"/>
                  </w:rPr>
                  <w:t>[Complete]</w:t>
                </w:r>
              </w:sdtContent>
            </w:sdt>
          </w:p>
        </w:tc>
        <w:tc>
          <w:tcPr>
            <w:tcW w:type="dxa" w:w="3390"/>
            <w:vAlign w:val="top"/>
          </w:tcPr>
          <w:p>
            <w:pPr>
              <w:keepNext w:val="0"/>
              <w:spacing w:after="20"/>
            </w:pPr>
            <w:sdt>
              <w:sdtPr>
                <w:id w:val="1090"/>
                <w:alias w:val="MR-05-T02-R2-C3"/>
                <w:tag w:val="MR-05-T02-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091"/>
                <w:alias w:val="MR-05-T02-R3-C1"/>
                <w:tag w:val="MR-05-T02-R3-C1"/>
                <w:text w:multiLine="1"/>
              </w:sdtPr>
              <w:sdtContent>
                <w:r>
                  <w:rPr>
                    <w:rFonts w:ascii="Arial" w:hAnsi="Arial"/>
                    <w:color w:val="62716E"/>
                    <w:sz w:val="18"/>
                  </w:rPr>
                  <w:t>[Complete]</w:t>
                </w:r>
              </w:sdtContent>
            </w:sdt>
          </w:p>
        </w:tc>
        <w:tc>
          <w:tcPr>
            <w:tcW w:type="dxa" w:w="3572"/>
            <w:vAlign w:val="top"/>
          </w:tcPr>
          <w:p>
            <w:pPr>
              <w:keepNext w:val="0"/>
              <w:spacing w:after="20"/>
            </w:pPr>
            <w:sdt>
              <w:sdtPr>
                <w:id w:val="1092"/>
                <w:alias w:val="MR-05-T02-R3-C2"/>
                <w:tag w:val="MR-05-T02-R3-C2"/>
                <w:text w:multiLine="1"/>
              </w:sdtPr>
              <w:sdtContent>
                <w:r>
                  <w:rPr>
                    <w:rFonts w:ascii="Arial" w:hAnsi="Arial"/>
                    <w:color w:val="62716E"/>
                    <w:sz w:val="18"/>
                  </w:rPr>
                  <w:t>[Complete]</w:t>
                </w:r>
              </w:sdtContent>
            </w:sdt>
          </w:p>
        </w:tc>
        <w:tc>
          <w:tcPr>
            <w:tcW w:type="dxa" w:w="3390"/>
            <w:vAlign w:val="top"/>
          </w:tcPr>
          <w:p>
            <w:pPr>
              <w:keepNext w:val="0"/>
              <w:spacing w:after="20"/>
            </w:pPr>
            <w:sdt>
              <w:sdtPr>
                <w:id w:val="1093"/>
                <w:alias w:val="MR-05-T02-R3-C3"/>
                <w:tag w:val="MR-05-T02-R3-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Explain omitted campaigns, incomplete coverage and unmeasured variables. State the approved substitution or unresolved status and consequence for the affected result. A blank field is not a zero observation.</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094"/>
                <w:alias w:val="MR-response-15"/>
                <w:tag w:val="MR-response-15"/>
                <w:text w:multiLine="1"/>
              </w:sdtPr>
              <w:sdtContent>
                <w:r>
                  <w:rPr>
                    <w:rFonts w:ascii="Arial" w:hAnsi="Arial"/>
                    <w:color w:val="62716E"/>
                    <w:sz w:val="18"/>
                  </w:rPr>
                  <w:t>[Enter response and exact evidence references.]</w:t>
                </w:r>
              </w:sdtContent>
            </w:sdt>
          </w:p>
        </w:tc>
      </w:tr>
    </w:tbl>
    <w:p>
      <w:pPr>
        <w:spacing w:after="20" w:line="40" w:lineRule="exact"/>
      </w:pPr>
      <w:r>
        <w:rPr>
          <w:sz w:val="4"/>
        </w:rPr>
      </w:r>
    </w:p>
    <w:p>
      <w:bookmarkStart w:id="313" w:name="MR_06"/>
      <w:pPr>
        <w:pStyle w:val="Heading1"/>
        <w:keepNext/>
        <w:pageBreakBefore/>
      </w:pPr>
      <w:r>
        <w:rPr>
          <w:rFonts w:ascii="Arial" w:hAnsi="Arial" w:eastAsia="Arial" w:cs="Arial"/>
          <w:b w:val="0"/>
          <w:color w:val="215F52"/>
          <w:sz w:val="38"/>
        </w:rPr>
        <w:t>06  Spatial scope and monitoring maps</w:t>
      </w:r>
      <w:bookmarkEnd w:id="313"/>
    </w:p>
    <w:p>
      <w:pPr>
        <w:keepNext/>
        <w:spacing w:after="100"/>
      </w:pPr>
      <w:r>
        <w:rPr>
          <w:rFonts w:ascii="Arial" w:hAnsi="Arial" w:eastAsia="Arial" w:cs="Arial"/>
          <w:b w:val="0"/>
          <w:color w:val="62716E"/>
          <w:sz w:val="16"/>
        </w:rPr>
        <w:t>[1] S-03; S-06; AO-09; P-04; MIG-13; MIG-14; FRM-04/M</w:t>
      </w:r>
    </w:p>
    <w:p>
      <w:pPr>
        <w:spacing w:after="100"/>
      </w:pPr>
      <w:r>
        <w:rPr>
          <w:rFonts w:ascii="Arial" w:hAnsi="Arial" w:eastAsia="Arial" w:cs="Arial"/>
          <w:b w:val="0"/>
          <w:color w:val="243A36"/>
          <w:sz w:val="19"/>
        </w:rPr>
        <w:t>Identify separately the project boundary, accounting strata, reference domain, leakage assessment area and actual support of each result. Include the observation dates, map version, coordinate reference system, legend and disclosure restrictions.</w:t>
      </w:r>
    </w:p>
    <w:p>
      <w:pPr>
        <w:spacing w:after="100"/>
      </w:pPr>
      <w:r>
        <w:rPr>
          <w:rFonts w:ascii="Arial" w:hAnsi="Arial" w:eastAsia="Arial" w:cs="Arial"/>
          <w:b/>
          <w:color w:val="215F52"/>
          <w:sz w:val="21"/>
        </w:rPr>
        <w:t>Monitoring map and versioned spatial reference</w:t>
      </w:r>
    </w:p>
    <w:tbl>
      <w:tblPr>
        <w:tblW w:type="auto" w:w="0"/>
        <w:tblLook w:firstColumn="1" w:firstRow="1" w:lastColumn="0" w:lastRow="0" w:noHBand="0" w:noVBand="1" w:val="04A0"/>
      </w:tblPr>
      <w:tblGrid>
        <w:gridCol w:w="9746"/>
      </w:tblGrid>
      <w:tr>
        <w:trPr>
          <w:trHeight w:val="1928" w:hRule="atLeast"/>
        </w:trPr>
        <w:tc>
          <w:tcPr>
            <w:tcW w:type="dxa" w:w="9746"/>
            <w:vAlign w:val="center"/>
            <w:shd w:fill="F1F5F2"/>
          </w:tcPr>
          <w:p>
            <w:pPr>
              <w:jc w:val="center"/>
            </w:pPr>
            <w:sdt>
              <w:sdtPr>
                <w:id w:val="1095"/>
                <w:alias w:val="MR-MAP"/>
                <w:tag w:val="MR-MAP"/>
                <w:text w:multiLine="1"/>
              </w:sdtPr>
              <w:sdtContent>
                <w:r>
                  <w:rPr>
                    <w:rFonts w:ascii="Arial" w:hAnsi="Arial"/>
                    <w:color w:val="62716E"/>
                    <w:sz w:val="18"/>
                  </w:rPr>
                  <w:t>[INSERT MONITORING MAP]</w:t>
                </w:r>
              </w:sdtContent>
            </w:sdt>
          </w:p>
        </w:tc>
      </w:tr>
    </w:tbl>
    <w:p>
      <w:pPr>
        <w:spacing w:after="100"/>
      </w:pPr>
      <w:r>
        <w:rPr>
          <w:rFonts w:ascii="Arial" w:hAnsi="Arial" w:eastAsia="Arial" w:cs="Arial"/>
          <w:b w:val="0"/>
          <w:color w:val="62716E"/>
          <w:sz w:val="17"/>
        </w:rPr>
        <w:t>Map ID / observation date / boundary version / source / legend / authorized-access annex.</w:t>
      </w:r>
    </w:p>
    <w:p>
      <w:pPr>
        <w:keepNext/>
        <w:spacing w:after="100"/>
      </w:pPr>
      <w:r>
        <w:rPr>
          <w:rFonts w:ascii="Arial" w:hAnsi="Arial" w:eastAsia="Arial" w:cs="Arial"/>
          <w:b/>
          <w:color w:val="215F52"/>
          <w:sz w:val="20"/>
        </w:rPr>
        <w:t>MR-06-T01 / Spatial-input and boundary record</w:t>
      </w:r>
    </w:p>
    <w:p>
      <w:pPr>
        <w:keepNext/>
        <w:spacing w:after="100"/>
      </w:pPr>
      <w:r>
        <w:rPr>
          <w:rFonts w:ascii="Arial" w:hAnsi="Arial" w:eastAsia="Arial" w:cs="Arial"/>
          <w:b/>
          <w:color w:val="215F52"/>
          <w:sz w:val="17"/>
        </w:rPr>
        <w:t>MR-06-T01 / Calculation notation</w:t>
      </w:r>
    </w:p>
    <w:p>
      <w:pPr>
        <w:keepNext/>
        <w:spacing w:after="60" w:before="20"/>
        <w:jc w:val="center"/>
      </w:pPr>
      <m:oMath>
        <m:sSub>
          <m:e>
            <m:r>
              <w:rPr>
                <w:sz w:val="20"/>
                <w:rFonts w:ascii="Cambria Math" w:hAnsi="Cambria Math"/>
              </w:rPr>
              <m:t>A</m:t>
            </m:r>
          </m:e>
          <m:sub>
            <m:r>
              <w:rPr>
                <w:sz w:val="20"/>
                <w:rFonts w:ascii="Cambria Math" w:hAnsi="Cambria Math"/>
              </w:rPr>
              <m:t>i</m:t>
            </m:r>
            <m:r>
              <w:rPr>
                <w:sz w:val="20"/>
                <w:rFonts w:ascii="Cambria Math" w:hAnsi="Cambria Math"/>
              </w:rPr>
              <m:rPr>
                <m:sty m:val="p"/>
              </m:rPr>
              <m:t>,</m:t>
            </m:r>
            <m:r>
              <w:rPr>
                <w:sz w:val="20"/>
                <w:rFonts w:ascii="Cambria Math" w:hAnsi="Cambria Math"/>
              </w:rPr>
              <m:t>t</m:t>
            </m:r>
          </m:sub>
        </m:sSub>
        <m:r>
          <w:rPr>
            <w:sz w:val="20"/>
            <w:rFonts w:ascii="Cambria Math" w:hAnsi="Cambria Math"/>
          </w:rPr>
          <m:rPr>
            <m:sty m:val="p"/>
          </m:rPr>
          <m:t>=</m:t>
        </m:r>
        <m:f>
          <m:fPr>
            <m:type m:val="bar"/>
          </m:fPr>
          <m:num>
            <m:sSub>
              <m:e>
                <m:r>
                  <w:rPr>
                    <w:sz w:val="20"/>
                    <w:rFonts w:ascii="Cambria Math" w:hAnsi="Cambria Math"/>
                  </w:rPr>
                  <m:t>n</m:t>
                </m:r>
              </m:e>
              <m:sub>
                <m:r>
                  <w:rPr>
                    <w:sz w:val="20"/>
                    <w:rFonts w:ascii="Cambria Math" w:hAnsi="Cambria Math"/>
                  </w:rPr>
                  <m:t>i</m:t>
                </m:r>
                <m:r>
                  <w:rPr>
                    <w:sz w:val="20"/>
                    <w:rFonts w:ascii="Cambria Math" w:hAnsi="Cambria Math"/>
                  </w:rPr>
                  <m:rPr>
                    <m:sty m:val="p"/>
                  </m:rPr>
                  <m:t>,</m:t>
                </m:r>
                <m:r>
                  <w:rPr>
                    <w:sz w:val="20"/>
                    <w:rFonts w:ascii="Cambria Math" w:hAnsi="Cambria Math"/>
                  </w:rPr>
                  <m:t>t</m:t>
                </m:r>
              </m:sub>
            </m:sSub>
            <m:sSub>
              <m:e>
                <m:r>
                  <w:rPr>
                    <w:sz w:val="20"/>
                    <w:rFonts w:ascii="Cambria Math" w:hAnsi="Cambria Math"/>
                  </w:rPr>
                  <m:t>a</m:t>
                </m:r>
              </m:e>
              <m:sub>
                <m:r>
                  <w:rPr>
                    <w:sz w:val="20"/>
                    <w:rFonts w:ascii="Cambria Math" w:hAnsi="Cambria Math"/>
                  </w:rPr>
                  <m:rPr>
                    <m:sty m:val="p"/>
                  </m:rPr>
                  <m:t>c</m:t>
                </m:r>
                <m:r>
                  <w:rPr>
                    <w:sz w:val="20"/>
                    <w:rFonts w:ascii="Cambria Math" w:hAnsi="Cambria Math"/>
                  </w:rPr>
                  <m:rPr>
                    <m:sty m:val="p"/>
                  </m:rPr>
                  <m:t>e</m:t>
                </m:r>
                <m:r>
                  <w:rPr>
                    <w:sz w:val="20"/>
                    <w:rFonts w:ascii="Cambria Math" w:hAnsi="Cambria Math"/>
                  </w:rPr>
                  <m:rPr>
                    <m:sty m:val="p"/>
                  </m:rPr>
                  <m:t>l</m:t>
                </m:r>
                <m:r>
                  <w:rPr>
                    <w:sz w:val="20"/>
                    <w:rFonts w:ascii="Cambria Math" w:hAnsi="Cambria Math"/>
                  </w:rPr>
                  <m:rPr>
                    <m:sty m:val="p"/>
                  </m:rPr>
                  <m:t>l</m:t>
                </m:r>
              </m:sub>
            </m:sSub>
          </m:num>
          <m:den>
            <m:sSub>
              <m:e>
                <m:r>
                  <w:rPr>
                    <w:sz w:val="20"/>
                    <w:rFonts w:ascii="Cambria Math" w:hAnsi="Cambria Math"/>
                  </w:rPr>
                  <m:t>k</m:t>
                </m:r>
              </m:e>
              <m:sub>
                <m:r>
                  <w:rPr>
                    <w:sz w:val="20"/>
                    <w:rFonts w:ascii="Cambria Math" w:hAnsi="Cambria Math"/>
                  </w:rPr>
                  <m:t>A</m:t>
                </m:r>
              </m:sub>
            </m:sSub>
          </m:den>
        </m:f>
        <m:r>
          <w:rPr>
            <w:sz w:val="20"/>
            <w:rFonts w:ascii="Cambria Math" w:hAnsi="Cambria Math"/>
          </w:rPr>
          <m:rPr>
            <m:sty m:val="p"/>
          </m:rPr>
          <m:t>,</m:t>
        </m:r>
        <m:r>
          <w:rPr>
            <w:sz w:val="20"/>
            <w:rFonts w:ascii="Cambria Math" w:hAnsi="Cambria Math"/>
          </w:rPr>
          <m:t>  </m:t>
        </m:r>
        <m:sSub>
          <m:e>
            <m:r>
              <w:rPr>
                <w:sz w:val="20"/>
                <w:rFonts w:ascii="Cambria Math" w:hAnsi="Cambria Math"/>
              </w:rPr>
              <m:t>k</m:t>
            </m:r>
          </m:e>
          <m:sub>
            <m:r>
              <w:rPr>
                <w:sz w:val="20"/>
                <w:rFonts w:ascii="Cambria Math" w:hAnsi="Cambria Math"/>
              </w:rPr>
              <m:t>A</m:t>
            </m:r>
          </m:sub>
        </m:sSub>
        <m:r>
          <w:rPr>
            <w:sz w:val="20"/>
            <w:rFonts w:ascii="Cambria Math" w:hAnsi="Cambria Math"/>
          </w:rPr>
          <m:rPr>
            <m:sty m:val="p"/>
          </m:rPr>
          <m:t>=</m:t>
        </m:r>
        <m:sSup>
          <m:e>
            <m:r>
              <w:rPr>
                <w:sz w:val="20"/>
                <w:rFonts w:ascii="Cambria Math" w:hAnsi="Cambria Math"/>
              </w:rPr>
              <m:t>10</m:t>
            </m:r>
          </m:e>
          <m:sup>
            <m:r>
              <w:rPr>
                <w:sz w:val="20"/>
                <w:rFonts w:ascii="Cambria Math" w:hAnsi="Cambria Math"/>
              </w:rPr>
              <m:t>4</m:t>
            </m:r>
          </m:sup>
        </m:sSup>
        <m:r>
          <w:rPr>
            <w:sz w:val="20"/>
            <w:rFonts w:ascii="Cambria Math" w:hAnsi="Cambria Math"/>
          </w:rPr>
          <m:t> </m:t>
        </m:r>
        <m:sSup>
          <m:e>
            <m:r>
              <w:rPr>
                <w:sz w:val="20"/>
                <w:rFonts w:ascii="Cambria Math" w:hAnsi="Cambria Math"/>
              </w:rPr>
              <m:rPr>
                <m:sty m:val="p"/>
              </m:rPr>
              <m:t>m</m:t>
            </m:r>
          </m:e>
          <m:sup>
            <m:r>
              <w:rPr>
                <w:sz w:val="20"/>
                <w:rFonts w:ascii="Cambria Math" w:hAnsi="Cambria Math"/>
              </w:rPr>
              <m:rPr>
                <m:sty m:val="p"/>
              </m:rPr>
              <m:t>2</m:t>
            </m:r>
          </m:sup>
        </m:sSup>
        <m:r>
          <w:rPr>
            <w:sz w:val="20"/>
            <w:rFonts w:ascii="Cambria Math" w:hAnsi="Cambria Math"/>
          </w:rPr>
          <m:rPr>
            <m:sty m:val="p"/>
          </m:rPr>
          <m:t> </m:t>
        </m:r>
        <m:r>
          <w:rPr>
            <w:sz w:val="20"/>
            <w:rFonts w:ascii="Cambria Math" w:hAnsi="Cambria Math"/>
          </w:rPr>
          <m:rPr>
            <m:sty m:val="p"/>
          </m:rPr>
          <m:t>h</m:t>
        </m:r>
        <m:sSup>
          <m:e>
            <m:r>
              <w:rPr>
                <w:sz w:val="20"/>
                <w:rFonts w:ascii="Cambria Math" w:hAnsi="Cambria Math"/>
              </w:rPr>
              <m:rPr>
                <m:sty m:val="p"/>
              </m:rPr>
              <m:t>a</m:t>
            </m:r>
          </m:e>
          <m:sup>
            <m:r>
              <w:rPr>
                <w:sz w:val="20"/>
                <w:rFonts w:ascii="Cambria Math" w:hAnsi="Cambria Math"/>
              </w:rPr>
              <m:rPr>
                <m:sty m:val="p"/>
              </m:rPr>
              <m:t>−</m:t>
            </m:r>
            <m:r>
              <w:rPr>
                <w:sz w:val="20"/>
                <w:rFonts w:ascii="Cambria Math" w:hAnsi="Cambria Math"/>
              </w:rPr>
              <m:rPr>
                <m:sty m:val="p"/>
              </m:rPr>
              <m:t>1</m:t>
            </m:r>
          </m:sup>
        </m:sSup>
      </m:oMath>
    </w:p>
    <w:p>
      <w:pPr>
        <w:keepNext/>
        <w:spacing w:after="60"/>
      </w:pPr>
      <w:r>
        <w:rPr>
          <w:rFonts w:ascii="Arial" w:hAnsi="Arial" w:eastAsia="Arial" w:cs="Arial"/>
          <w:b w:val="0"/>
          <w:color w:val="215F52"/>
          <w:sz w:val="17"/>
        </w:rPr>
        <w:t>n is a pixel count; a_cell is pixel area in m2; A is area in ha. The PIXELS route uses the displayed geometric conversion. Direct area is a documented input. Net class change is not gross deforestation.</w:t>
      </w:r>
    </w:p>
    <w:p>
      <w:pPr>
        <w:keepNext/>
        <w:spacing w:after="80"/>
      </w:pPr>
      <w:r>
        <w:rPr>
          <w:rFonts w:ascii="Arial" w:hAnsi="Arial" w:eastAsia="Arial" w:cs="Arial"/>
          <w:b w:val="0"/>
          <w:color w:val="62716E"/>
          <w:sz w:val="16"/>
        </w:rPr>
        <w:t>Basis: M01; MIG-13; MIG-14. Calculation location: Spatial!F:I; Profile!B15.</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Domain / layer / version</w:t>
            </w:r>
          </w:p>
        </w:tc>
        <w:tc>
          <w:tcPr>
            <w:tcW w:type="dxa" w:w="3572"/>
            <w:vAlign w:val="center"/>
            <w:shd w:fill="F1F5F2"/>
          </w:tcPr>
          <w:p>
            <w:pPr>
              <w:keepNext/>
              <w:spacing w:after="20"/>
            </w:pPr>
            <w:r>
              <w:rPr>
                <w:rFonts w:ascii="Arial" w:hAnsi="Arial" w:eastAsia="Arial" w:cs="Arial"/>
                <w:b/>
                <w:color w:val="215F52"/>
                <w:sz w:val="17"/>
              </w:rPr>
              <w:t>Area and unit; observation dates; source support</w:t>
            </w:r>
          </w:p>
        </w:tc>
        <w:tc>
          <w:tcPr>
            <w:tcW w:type="dxa" w:w="3390"/>
            <w:vAlign w:val="center"/>
            <w:shd w:fill="F1F5F2"/>
          </w:tcPr>
          <w:p>
            <w:pPr>
              <w:keepNext/>
              <w:spacing w:after="20"/>
            </w:pPr>
            <w:r>
              <w:rPr>
                <w:rFonts w:ascii="Arial" w:hAnsi="Arial" w:eastAsia="Arial" w:cs="Arial"/>
                <w:b/>
                <w:color w:val="215F52"/>
                <w:sz w:val="17"/>
              </w:rPr>
              <w:t>Change from PD, comparability and evidence</w:t>
            </w:r>
          </w:p>
        </w:tc>
      </w:tr>
      <w:tr>
        <w:trPr>
          <w:trHeight w:val="442" w:hRule="atLeast"/>
        </w:trPr>
        <w:tc>
          <w:tcPr>
            <w:tcW w:type="dxa" w:w="2778"/>
            <w:vAlign w:val="top"/>
          </w:tcPr>
          <w:p>
            <w:pPr>
              <w:keepNext w:val="0"/>
              <w:spacing w:after="20"/>
            </w:pPr>
            <w:sdt>
              <w:sdtPr>
                <w:id w:val="1096"/>
                <w:alias w:val="MR-06-T01-R1-C1"/>
                <w:tag w:val="MR-06-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097"/>
                <w:alias w:val="MR-06-T01-R1-C2"/>
                <w:tag w:val="MR-06-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098"/>
                <w:alias w:val="MR-06-T01-R1-C3"/>
                <w:tag w:val="MR-06-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099"/>
                <w:alias w:val="MR-06-T01-R2-C1"/>
                <w:tag w:val="MR-06-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100"/>
                <w:alias w:val="MR-06-T01-R2-C2"/>
                <w:tag w:val="MR-06-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101"/>
                <w:alias w:val="MR-06-T01-R2-C3"/>
                <w:tag w:val="MR-06-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102"/>
                <w:alias w:val="MR-06-T01-R3-C1"/>
                <w:tag w:val="MR-06-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103"/>
                <w:alias w:val="MR-06-T01-R3-C2"/>
                <w:tag w:val="MR-06-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104"/>
                <w:alias w:val="MR-06-T01-R3-C3"/>
                <w:tag w:val="MR-06-T01-R3-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Identify affected boundaries, unmatched dates, unavailable observations and any controlled correction. Map detail or resampling does not establish independent measurement accuracy; retain the processing record and the applicable assessment.</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105"/>
                <w:alias w:val="MR-response-18"/>
                <w:tag w:val="MR-response-18"/>
                <w:text w:multiLine="1"/>
              </w:sdtPr>
              <w:sdtContent>
                <w:r>
                  <w:rPr>
                    <w:rFonts w:ascii="Arial" w:hAnsi="Arial"/>
                    <w:color w:val="62716E"/>
                    <w:sz w:val="18"/>
                  </w:rPr>
                  <w:t>[Enter response and exact evidence references.]</w:t>
                </w:r>
              </w:sdtContent>
            </w:sdt>
          </w:p>
        </w:tc>
      </w:tr>
    </w:tbl>
    <w:p>
      <w:pPr>
        <w:spacing w:after="20" w:line="40" w:lineRule="exact"/>
      </w:pPr>
      <w:r>
        <w:rPr>
          <w:sz w:val="4"/>
        </w:rPr>
      </w:r>
    </w:p>
    <w:p>
      <w:bookmarkStart w:id="326" w:name="MR_07"/>
      <w:pPr>
        <w:pStyle w:val="Heading1"/>
        <w:keepNext/>
        <w:pageBreakBefore/>
      </w:pPr>
      <w:r>
        <w:rPr>
          <w:rFonts w:ascii="Arial" w:hAnsi="Arial" w:eastAsia="Arial" w:cs="Arial"/>
          <w:b w:val="0"/>
          <w:color w:val="215F52"/>
          <w:sz w:val="38"/>
        </w:rPr>
        <w:t>07  NEB001: vegetation identity and change</w:t>
      </w:r>
      <w:bookmarkEnd w:id="326"/>
    </w:p>
    <w:p>
      <w:pPr>
        <w:keepNext/>
        <w:spacing w:after="100"/>
      </w:pPr>
      <w:r>
        <w:rPr>
          <w:rFonts w:ascii="Arial" w:hAnsi="Arial" w:eastAsia="Arial" w:cs="Arial"/>
          <w:b w:val="0"/>
          <w:color w:val="62716E"/>
          <w:sz w:val="16"/>
        </w:rPr>
        <w:t>[1] T-02; T-03; T-06; T-07; T-21; T-22; M01.4; M01.5; F-F10; MIG-14</w:t>
      </w:r>
    </w:p>
    <w:p>
      <w:pPr>
        <w:spacing w:after="100"/>
      </w:pPr>
      <w:r>
        <w:rPr>
          <w:rFonts w:ascii="Arial" w:hAnsi="Arial" w:eastAsia="Arial" w:cs="Arial"/>
          <w:b w:val="0"/>
          <w:color w:val="243A36"/>
          <w:sz w:val="19"/>
        </w:rPr>
        <w:t>Report the actual classification, CCA calibration and fuzzy-model versions, parameter/rule records, independent reference observations and temporal-comparability checks where applicable. Distinguish vegetation identity from an administrative forest definition and fuzzy membership from probability.</w:t>
      </w:r>
    </w:p>
    <w:p>
      <w:pPr>
        <w:keepNext/>
        <w:spacing w:after="100"/>
      </w:pPr>
      <w:r>
        <w:rPr>
          <w:rFonts w:ascii="Arial" w:hAnsi="Arial" w:eastAsia="Arial" w:cs="Arial"/>
          <w:b/>
          <w:color w:val="215F52"/>
          <w:sz w:val="20"/>
        </w:rPr>
        <w:t>MR-07-T01 / Reference sampling and area estimates</w:t>
      </w:r>
    </w:p>
    <w:p>
      <w:pPr>
        <w:keepNext/>
        <w:spacing w:after="100"/>
      </w:pPr>
      <w:r>
        <w:rPr>
          <w:rFonts w:ascii="Arial" w:hAnsi="Arial" w:eastAsia="Arial" w:cs="Arial"/>
          <w:b/>
          <w:color w:val="215F52"/>
          <w:sz w:val="17"/>
        </w:rPr>
        <w:t>MR-07-T01 / Calculation notation</w:t>
      </w:r>
    </w:p>
    <w:p>
      <w:pPr>
        <w:keepNext/>
        <w:spacing w:after="60" w:before="20"/>
        <w:jc w:val="center"/>
      </w:pPr>
      <m:oMath>
        <m:sSub>
          <m:e>
            <m:r>
              <w:rPr>
                <w:sz w:val="20"/>
                <w:rFonts w:ascii="Cambria Math" w:hAnsi="Cambria Math"/>
              </w:rPr>
              <m:t>W</m:t>
            </m:r>
          </m:e>
          <m:sub>
            <m:r>
              <w:rPr>
                <w:sz w:val="20"/>
                <w:rFonts w:ascii="Cambria Math" w:hAnsi="Cambria Math"/>
              </w:rPr>
              <m:t>i</m:t>
            </m:r>
          </m:sub>
        </m:sSub>
        <m:r>
          <w:rPr>
            <w:sz w:val="20"/>
            <w:rFonts w:ascii="Cambria Math" w:hAnsi="Cambria Math"/>
          </w:rPr>
          <m:rPr>
            <m:sty m:val="p"/>
          </m:rPr>
          <m:t>=</m:t>
        </m:r>
        <m:f>
          <m:fPr>
            <m:type m:val="bar"/>
          </m:fPr>
          <m:num>
            <m:sSub>
              <m:e>
                <m:r>
                  <w:rPr>
                    <w:sz w:val="20"/>
                    <w:rFonts w:ascii="Cambria Math" w:hAnsi="Cambria Math"/>
                  </w:rPr>
                  <m:t>A</m:t>
                </m:r>
              </m:e>
              <m:sub>
                <m:r>
                  <w:rPr>
                    <w:sz w:val="20"/>
                    <w:rFonts w:ascii="Cambria Math" w:hAnsi="Cambria Math"/>
                  </w:rPr>
                  <m:t>i</m:t>
                </m:r>
              </m:sub>
            </m:sSub>
          </m:num>
          <m:den>
            <m:r>
              <w:rPr>
                <w:sz w:val="20"/>
                <w:rFonts w:ascii="Cambria Math" w:hAnsi="Cambria Math"/>
              </w:rPr>
              <m:t>A</m:t>
            </m:r>
          </m:den>
        </m:f>
        <m:r>
          <w:rPr>
            <w:sz w:val="20"/>
            <w:rFonts w:ascii="Cambria Math" w:hAnsi="Cambria Math"/>
          </w:rPr>
          <m:rPr>
            <m:sty m:val="p"/>
          </m:rPr>
          <m:t>,</m:t>
        </m:r>
        <m:r>
          <w:rPr>
            <w:sz w:val="20"/>
            <w:rFonts w:ascii="Cambria Math" w:hAnsi="Cambria Math"/>
          </w:rPr>
          <m:t> </m:t>
        </m:r>
        <m:sSub>
          <m:e>
            <m:acc>
              <m:accPr>
                <m:chr m:val="̂"/>
              </m:accPr>
              <m:e>
                <m:r>
                  <w:rPr>
                    <w:sz w:val="20"/>
                    <w:rFonts w:ascii="Cambria Math" w:hAnsi="Cambria Math"/>
                  </w:rPr>
                  <m:t>p</m:t>
                </m:r>
              </m:e>
            </m:acc>
          </m:e>
          <m:sub>
            <m:r>
              <w:rPr>
                <w:sz w:val="20"/>
                <w:rFonts w:ascii="Cambria Math" w:hAnsi="Cambria Math"/>
              </w:rPr>
              <m:t>i</m:t>
            </m:r>
            <m:r>
              <w:rPr>
                <w:sz w:val="20"/>
                <w:rFonts w:ascii="Cambria Math" w:hAnsi="Cambria Math"/>
              </w:rPr>
              <m:t>j</m:t>
            </m:r>
          </m:sub>
        </m:sSub>
        <m:r>
          <w:rPr>
            <w:sz w:val="20"/>
            <w:rFonts w:ascii="Cambria Math" w:hAnsi="Cambria Math"/>
          </w:rPr>
          <m:rPr>
            <m:sty m:val="p"/>
          </m:rPr>
          <m:t>=</m:t>
        </m:r>
        <m:f>
          <m:fPr>
            <m:type m:val="bar"/>
          </m:fPr>
          <m:num>
            <m:sSub>
              <m:e>
                <m:r>
                  <w:rPr>
                    <w:sz w:val="20"/>
                    <w:rFonts w:ascii="Cambria Math" w:hAnsi="Cambria Math"/>
                  </w:rPr>
                  <m:t>n</m:t>
                </m:r>
              </m:e>
              <m:sub>
                <m:r>
                  <w:rPr>
                    <w:sz w:val="20"/>
                    <w:rFonts w:ascii="Cambria Math" w:hAnsi="Cambria Math"/>
                  </w:rPr>
                  <m:t>i</m:t>
                </m:r>
                <m:r>
                  <w:rPr>
                    <w:sz w:val="20"/>
                    <w:rFonts w:ascii="Cambria Math" w:hAnsi="Cambria Math"/>
                  </w:rPr>
                  <m:t>j</m:t>
                </m:r>
              </m:sub>
            </m:sSub>
          </m:num>
          <m:den>
            <m:sSub>
              <m:e>
                <m:r>
                  <w:rPr>
                    <w:sz w:val="20"/>
                    <w:rFonts w:ascii="Cambria Math" w:hAnsi="Cambria Math"/>
                  </w:rPr>
                  <m:t>n</m:t>
                </m:r>
              </m:e>
              <m:sub>
                <m:r>
                  <w:rPr>
                    <w:sz w:val="20"/>
                    <w:rFonts w:ascii="Cambria Math" w:hAnsi="Cambria Math"/>
                  </w:rPr>
                  <m:t>i</m:t>
                </m:r>
              </m:sub>
            </m:sSub>
          </m:den>
        </m:f>
        <m:r>
          <w:rPr>
            <w:sz w:val="20"/>
            <w:rFonts w:ascii="Cambria Math" w:hAnsi="Cambria Math"/>
          </w:rPr>
          <m:rPr>
            <m:sty m:val="p"/>
          </m:rPr>
          <m:t>,</m:t>
        </m:r>
        <m:r>
          <w:rPr>
            <w:sz w:val="20"/>
            <w:rFonts w:ascii="Cambria Math" w:hAnsi="Cambria Math"/>
          </w:rPr>
          <m:t> </m:t>
        </m:r>
        <m:sSub>
          <m:e>
            <m:acc>
              <m:accPr>
                <m:chr m:val="̂"/>
              </m:accPr>
              <m:e>
                <m:r>
                  <w:rPr>
                    <w:sz w:val="20"/>
                    <w:rFonts w:ascii="Cambria Math" w:hAnsi="Cambria Math"/>
                  </w:rPr>
                  <m:t>A</m:t>
                </m:r>
              </m:e>
            </m:acc>
          </m:e>
          <m:sub>
            <m:r>
              <w:rPr>
                <w:sz w:val="20"/>
                <w:rFonts w:ascii="Cambria Math" w:hAnsi="Cambria Math"/>
              </w:rPr>
              <m:t>j</m:t>
            </m:r>
          </m:sub>
        </m:sSub>
        <m:r>
          <w:rPr>
            <w:sz w:val="20"/>
            <w:rFonts w:ascii="Cambria Math" w:hAnsi="Cambria Math"/>
          </w:rPr>
          <m:rPr>
            <m:sty m:val="p"/>
          </m:rPr>
          <m:t>=</m:t>
        </m:r>
        <m:r>
          <w:rPr>
            <w:sz w:val="20"/>
            <w:rFonts w:ascii="Cambria Math" w:hAnsi="Cambria Math"/>
          </w:rPr>
          <m:t>A</m:t>
        </m:r>
        <m:nary>
          <m:naryPr>
            <m:chr m:val="∑"/>
            <m:limLoc m:val="undOvr"/>
            <m:subHide m:val="off"/>
            <m:supHide m:val="on"/>
          </m:naryPr>
          <m:sub>
            <m:r>
              <w:rPr>
                <w:sz w:val="20"/>
                <w:rFonts w:ascii="Cambria Math" w:hAnsi="Cambria Math"/>
              </w:rPr>
              <m:t>i</m:t>
            </m:r>
          </m:sub>
          <m:sup>
            <m:r>
              <w:rPr>
                <w:sz w:val="20"/>
                <w:rFonts w:ascii="Cambria Math" w:hAnsi="Cambria Math"/>
              </w:rPr>
              <m:t>​</m:t>
            </m:r>
          </m:sup>
          <m:e>
            <m:sSub>
              <m:e>
                <m:r>
                  <w:rPr>
                    <w:sz w:val="20"/>
                    <w:rFonts w:ascii="Cambria Math" w:hAnsi="Cambria Math"/>
                  </w:rPr>
                  <m:t>W</m:t>
                </m:r>
              </m:e>
              <m:sub>
                <m:r>
                  <w:rPr>
                    <w:sz w:val="20"/>
                    <w:rFonts w:ascii="Cambria Math" w:hAnsi="Cambria Math"/>
                  </w:rPr>
                  <m:t>i</m:t>
                </m:r>
              </m:sub>
            </m:sSub>
          </m:e>
        </m:nary>
        <m:sSub>
          <m:e>
            <m:acc>
              <m:accPr>
                <m:chr m:val="̂"/>
              </m:accPr>
              <m:e>
                <m:r>
                  <w:rPr>
                    <w:sz w:val="20"/>
                    <w:rFonts w:ascii="Cambria Math" w:hAnsi="Cambria Math"/>
                  </w:rPr>
                  <m:t>p</m:t>
                </m:r>
              </m:e>
            </m:acc>
          </m:e>
          <m:sub>
            <m:r>
              <w:rPr>
                <w:sz w:val="20"/>
                <w:rFonts w:ascii="Cambria Math" w:hAnsi="Cambria Math"/>
              </w:rPr>
              <m:t>i</m:t>
            </m:r>
            <m:r>
              <w:rPr>
                <w:sz w:val="20"/>
                <w:rFonts w:ascii="Cambria Math" w:hAnsi="Cambria Math"/>
              </w:rPr>
              <m:t>j</m:t>
            </m:r>
          </m:sub>
        </m:sSub>
      </m:oMath>
    </w:p>
    <w:p>
      <w:pPr>
        <w:keepNext/>
        <w:spacing w:after="60"/>
      </w:pPr>
      <w:r>
        <w:rPr>
          <w:rFonts w:ascii="Arial" w:hAnsi="Arial" w:eastAsia="Arial" w:cs="Arial"/>
          <w:b w:val="0"/>
          <w:color w:val="215F52"/>
          <w:sz w:val="17"/>
        </w:rPr>
        <w:t>Use the sampling design and domain required by M01.4. W_i is the mapped stratum weight, not an estimated weight by default; n_ij and n_i are reference counts. This upstream estimator is not fitted by the account workbook.</w:t>
      </w:r>
    </w:p>
    <w:p>
      <w:pPr>
        <w:keepNext/>
        <w:spacing w:after="80"/>
      </w:pPr>
      <w:r>
        <w:rPr>
          <w:rFonts w:ascii="Arial" w:hAnsi="Arial" w:eastAsia="Arial" w:cs="Arial"/>
          <w:b w:val="0"/>
          <w:color w:val="62716E"/>
          <w:sz w:val="16"/>
        </w:rPr>
        <w:t>Basis: M01.4; M01.5; T-03. Calculation location: Evidence!G; Spatial!I; qualified upstream calculation.</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Map stratum / reference class / interval</w:t>
            </w:r>
          </w:p>
        </w:tc>
        <w:tc>
          <w:tcPr>
            <w:tcW w:type="dxa" w:w="3572"/>
            <w:vAlign w:val="center"/>
            <w:shd w:fill="F1F5F2"/>
          </w:tcPr>
          <w:p>
            <w:pPr>
              <w:keepNext/>
              <w:spacing w:after="20"/>
            </w:pPr>
            <w:r>
              <w:rPr>
                <w:rFonts w:ascii="Arial" w:hAnsi="Arial" w:eastAsia="Arial" w:cs="Arial"/>
                <w:b/>
                <w:color w:val="215F52"/>
                <w:sz w:val="17"/>
              </w:rPr>
              <w:t>Reference counts, weights and estimated area</w:t>
            </w:r>
          </w:p>
        </w:tc>
        <w:tc>
          <w:tcPr>
            <w:tcW w:type="dxa" w:w="3390"/>
            <w:vAlign w:val="center"/>
            <w:shd w:fill="F1F5F2"/>
          </w:tcPr>
          <w:p>
            <w:pPr>
              <w:keepNext/>
              <w:spacing w:after="20"/>
            </w:pPr>
            <w:r>
              <w:rPr>
                <w:rFonts w:ascii="Arial" w:hAnsi="Arial" w:eastAsia="Arial" w:cs="Arial"/>
                <w:b/>
                <w:color w:val="215F52"/>
                <w:sz w:val="17"/>
              </w:rPr>
              <w:t>Sampling design, uncertainty and calculation file</w:t>
            </w:r>
          </w:p>
        </w:tc>
      </w:tr>
      <w:tr>
        <w:trPr>
          <w:trHeight w:val="442" w:hRule="atLeast"/>
        </w:trPr>
        <w:tc>
          <w:tcPr>
            <w:tcW w:type="dxa" w:w="2778"/>
            <w:vAlign w:val="top"/>
          </w:tcPr>
          <w:p>
            <w:pPr>
              <w:keepNext w:val="0"/>
              <w:spacing w:after="20"/>
            </w:pPr>
            <w:sdt>
              <w:sdtPr>
                <w:id w:val="1106"/>
                <w:alias w:val="MR-07-T01-R1-C1"/>
                <w:tag w:val="MR-07-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107"/>
                <w:alias w:val="MR-07-T01-R1-C2"/>
                <w:tag w:val="MR-07-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108"/>
                <w:alias w:val="MR-07-T01-R1-C3"/>
                <w:tag w:val="MR-07-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109"/>
                <w:alias w:val="MR-07-T01-R2-C1"/>
                <w:tag w:val="MR-07-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110"/>
                <w:alias w:val="MR-07-T01-R2-C2"/>
                <w:tag w:val="MR-07-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111"/>
                <w:alias w:val="MR-07-T01-R2-C3"/>
                <w:tag w:val="MR-07-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112"/>
                <w:alias w:val="MR-07-T01-R3-C1"/>
                <w:tag w:val="MR-07-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113"/>
                <w:alias w:val="MR-07-T01-R3-C2"/>
                <w:tag w:val="MR-07-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114"/>
                <w:alias w:val="MR-07-T01-R3-C3"/>
                <w:tag w:val="MR-07-T01-R3-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color w:val="215F52"/>
          <w:sz w:val="20"/>
        </w:rPr>
        <w:t>MR-07-T02 / Gross transitions and their interpretation</w:t>
      </w:r>
    </w:p>
    <w:p>
      <w:pPr>
        <w:keepNext/>
        <w:spacing w:after="100"/>
      </w:pPr>
      <w:r>
        <w:rPr>
          <w:rFonts w:ascii="Arial" w:hAnsi="Arial" w:eastAsia="Arial" w:cs="Arial"/>
          <w:b/>
          <w:color w:val="215F52"/>
          <w:sz w:val="17"/>
        </w:rPr>
        <w:t>MR-07-T02 / Calculation notation</w:t>
      </w:r>
    </w:p>
    <w:p>
      <w:pPr>
        <w:keepNext/>
        <w:spacing w:after="60" w:before="20"/>
        <w:jc w:val="center"/>
      </w:pPr>
      <m:oMath>
        <m:r>
          <w:rPr>
            <w:sz w:val="20"/>
            <w:rFonts w:ascii="Cambria Math" w:hAnsi="Cambria Math"/>
          </w:rPr>
          <m:t>Δ</m:t>
        </m:r>
        <m:sSub>
          <m:e>
            <m:r>
              <w:rPr>
                <w:sz w:val="20"/>
                <w:rFonts w:ascii="Cambria Math" w:hAnsi="Cambria Math"/>
              </w:rPr>
              <m:t>A</m:t>
            </m:r>
          </m:e>
          <m:sub>
            <m:r>
              <w:rPr>
                <w:sz w:val="20"/>
                <w:rFonts w:ascii="Cambria Math" w:hAnsi="Cambria Math"/>
              </w:rPr>
              <m:t>i</m:t>
            </m:r>
          </m:sub>
        </m:sSub>
        <m:r>
          <w:rPr>
            <w:sz w:val="20"/>
            <w:rFonts w:ascii="Cambria Math" w:hAnsi="Cambria Math"/>
          </w:rPr>
          <m:rPr>
            <m:sty m:val="p"/>
          </m:rPr>
          <m:t>=</m:t>
        </m:r>
        <m:sSub>
          <m:e>
            <m:r>
              <w:rPr>
                <w:sz w:val="20"/>
                <w:rFonts w:ascii="Cambria Math" w:hAnsi="Cambria Math"/>
              </w:rPr>
              <m:t>A</m:t>
            </m:r>
          </m:e>
          <m:sub>
            <m:r>
              <w:rPr>
                <w:sz w:val="20"/>
                <w:rFonts w:ascii="Cambria Math" w:hAnsi="Cambria Math"/>
              </w:rPr>
              <m:t>i</m:t>
            </m:r>
          </m:sub>
        </m:sSub>
        <m:d>
          <m:dPr>
            <m:begChr m:val="("/>
            <m:endChr m:val=")"/>
            <m:sepChr m:val=""/>
            <m:grow/>
          </m:dPr>
          <m:e>
            <m:sSub>
              <m:e>
                <m:r>
                  <w:rPr>
                    <w:sz w:val="20"/>
                    <w:rFonts w:ascii="Cambria Math" w:hAnsi="Cambria Math"/>
                  </w:rPr>
                  <m:t>t</m:t>
                </m:r>
              </m:e>
              <m:sub>
                <m:r>
                  <w:rPr>
                    <w:sz w:val="20"/>
                    <w:rFonts w:ascii="Cambria Math" w:hAnsi="Cambria Math"/>
                  </w:rPr>
                  <m:t>1</m:t>
                </m:r>
              </m:sub>
            </m:sSub>
          </m:e>
        </m:d>
        <m:r>
          <w:rPr>
            <w:sz w:val="20"/>
            <w:rFonts w:ascii="Cambria Math" w:hAnsi="Cambria Math"/>
          </w:rPr>
          <m:rPr>
            <m:sty m:val="p"/>
          </m:rPr>
          <m:t>−</m:t>
        </m:r>
        <m:sSub>
          <m:e>
            <m:r>
              <w:rPr>
                <w:sz w:val="20"/>
                <w:rFonts w:ascii="Cambria Math" w:hAnsi="Cambria Math"/>
              </w:rPr>
              <m:t>A</m:t>
            </m:r>
          </m:e>
          <m:sub>
            <m:r>
              <w:rPr>
                <w:sz w:val="20"/>
                <w:rFonts w:ascii="Cambria Math" w:hAnsi="Cambria Math"/>
              </w:rPr>
              <m:t>i</m:t>
            </m:r>
          </m:sub>
        </m:sSub>
        <m:d>
          <m:dPr>
            <m:begChr m:val="("/>
            <m:endChr m:val=")"/>
            <m:sepChr m:val=""/>
            <m:grow/>
          </m:dPr>
          <m:e>
            <m:sSub>
              <m:e>
                <m:r>
                  <w:rPr>
                    <w:sz w:val="20"/>
                    <w:rFonts w:ascii="Cambria Math" w:hAnsi="Cambria Math"/>
                  </w:rPr>
                  <m:t>t</m:t>
                </m:r>
              </m:e>
              <m:sub>
                <m:r>
                  <w:rPr>
                    <w:sz w:val="20"/>
                    <w:rFonts w:ascii="Cambria Math" w:hAnsi="Cambria Math"/>
                  </w:rPr>
                  <m:t>0</m:t>
                </m:r>
              </m:sub>
            </m:sSub>
          </m:e>
        </m:d>
        <m:r>
          <w:rPr>
            <w:sz w:val="20"/>
            <w:rFonts w:ascii="Cambria Math" w:hAnsi="Cambria Math"/>
          </w:rPr>
          <m:rPr>
            <m:sty m:val="p"/>
          </m:rPr>
          <m:t>,</m:t>
        </m:r>
        <m:r>
          <w:rPr>
            <w:sz w:val="20"/>
            <w:rFonts w:ascii="Cambria Math" w:hAnsi="Cambria Math"/>
          </w:rPr>
          <m:t>  </m:t>
        </m:r>
        <m:sSub>
          <m:e>
            <m:acc>
              <m:accPr>
                <m:chr m:val="‾"/>
              </m:accPr>
              <m:e>
                <m:r>
                  <w:rPr>
                    <w:sz w:val="20"/>
                    <w:rFonts w:ascii="Cambria Math" w:hAnsi="Cambria Math"/>
                  </w:rPr>
                  <m:t>a</m:t>
                </m:r>
              </m:e>
            </m:acc>
          </m:e>
          <m:sub>
            <m:r>
              <w:rPr>
                <w:sz w:val="20"/>
                <w:rFonts w:ascii="Cambria Math" w:hAnsi="Cambria Math"/>
              </w:rPr>
              <m:t>i</m:t>
            </m:r>
          </m:sub>
        </m:sSub>
        <m:r>
          <w:rPr>
            <w:sz w:val="20"/>
            <w:rFonts w:ascii="Cambria Math" w:hAnsi="Cambria Math"/>
          </w:rPr>
          <m:rPr>
            <m:sty m:val="p"/>
          </m:rPr>
          <m:t>=</m:t>
        </m:r>
        <m:f>
          <m:fPr>
            <m:type m:val="bar"/>
          </m:fPr>
          <m:num>
            <m:r>
              <w:rPr>
                <w:sz w:val="20"/>
                <w:rFonts w:ascii="Cambria Math" w:hAnsi="Cambria Math"/>
              </w:rPr>
              <m:t>Δ</m:t>
            </m:r>
            <m:sSub>
              <m:e>
                <m:r>
                  <w:rPr>
                    <w:sz w:val="20"/>
                    <w:rFonts w:ascii="Cambria Math" w:hAnsi="Cambria Math"/>
                  </w:rPr>
                  <m:t>A</m:t>
                </m:r>
              </m:e>
              <m:sub>
                <m:r>
                  <w:rPr>
                    <w:sz w:val="20"/>
                    <w:rFonts w:ascii="Cambria Math" w:hAnsi="Cambria Math"/>
                  </w:rPr>
                  <m:t>i</m:t>
                </m:r>
              </m:sub>
            </m:sSub>
          </m:num>
          <m:den>
            <m:sSub>
              <m:e>
                <m:r>
                  <w:rPr>
                    <w:sz w:val="20"/>
                    <w:rFonts w:ascii="Cambria Math" w:hAnsi="Cambria Math"/>
                  </w:rPr>
                  <m:t>t</m:t>
                </m:r>
              </m:e>
              <m:sub>
                <m:r>
                  <w:rPr>
                    <w:sz w:val="20"/>
                    <w:rFonts w:ascii="Cambria Math" w:hAnsi="Cambria Math"/>
                  </w:rPr>
                  <m:t>1</m:t>
                </m:r>
              </m:sub>
            </m:sSub>
            <m:r>
              <w:rPr>
                <w:sz w:val="20"/>
                <w:rFonts w:ascii="Cambria Math" w:hAnsi="Cambria Math"/>
              </w:rPr>
              <m:rPr>
                <m:sty m:val="p"/>
              </m:rPr>
              <m:t>−</m:t>
            </m:r>
            <m:sSub>
              <m:e>
                <m:r>
                  <w:rPr>
                    <w:sz w:val="20"/>
                    <w:rFonts w:ascii="Cambria Math" w:hAnsi="Cambria Math"/>
                  </w:rPr>
                  <m:t>t</m:t>
                </m:r>
              </m:e>
              <m:sub>
                <m:r>
                  <w:rPr>
                    <w:sz w:val="20"/>
                    <w:rFonts w:ascii="Cambria Math" w:hAnsi="Cambria Math"/>
                  </w:rPr>
                  <m:t>0</m:t>
                </m:r>
              </m:sub>
            </m:sSub>
          </m:den>
        </m:f>
      </m:oMath>
    </w:p>
    <w:p>
      <w:pPr>
        <w:keepNext/>
        <w:spacing w:after="60"/>
      </w:pPr>
      <w:r>
        <w:rPr>
          <w:rFonts w:ascii="Arial" w:hAnsi="Arial" w:eastAsia="Arial" w:cs="Arial"/>
          <w:b w:val="0"/>
          <w:color w:val="215F52"/>
          <w:sz w:val="17"/>
        </w:rPr>
        <w:t>The difference is a signed net class-area change, not a gross transition matrix. The average is an allocation over the stated duration, not an annual observation. A gross transition needs its own measured or modeled origin/destination evidence.</w:t>
      </w:r>
    </w:p>
    <w:p>
      <w:pPr>
        <w:keepNext/>
        <w:spacing w:after="80"/>
      </w:pPr>
      <w:r>
        <w:rPr>
          <w:rFonts w:ascii="Arial" w:hAnsi="Arial" w:eastAsia="Arial" w:cs="Arial"/>
          <w:b w:val="0"/>
          <w:color w:val="62716E"/>
          <w:sz w:val="16"/>
        </w:rPr>
        <w:t>Basis: M01; MIG-14; reporting identity. Calculation location: Spatial!I:J; Allocation!C:I.</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Origin / destination / observation interval</w:t>
            </w:r>
          </w:p>
        </w:tc>
        <w:tc>
          <w:tcPr>
            <w:tcW w:type="dxa" w:w="3572"/>
            <w:vAlign w:val="center"/>
            <w:shd w:fill="F1F5F2"/>
          </w:tcPr>
          <w:p>
            <w:pPr>
              <w:keepNext/>
              <w:spacing w:after="20"/>
            </w:pPr>
            <w:r>
              <w:rPr>
                <w:rFonts w:ascii="Arial" w:hAnsi="Arial" w:eastAsia="Arial" w:cs="Arial"/>
                <w:b/>
                <w:color w:val="215F52"/>
                <w:sz w:val="17"/>
              </w:rPr>
              <w:t>Observed or estimated area (ha) and source ID</w:t>
            </w:r>
          </w:p>
        </w:tc>
        <w:tc>
          <w:tcPr>
            <w:tcW w:type="dxa" w:w="3390"/>
            <w:vAlign w:val="center"/>
            <w:shd w:fill="F1F5F2"/>
          </w:tcPr>
          <w:p>
            <w:pPr>
              <w:keepNext/>
              <w:spacing w:after="20"/>
            </w:pPr>
            <w:r>
              <w:rPr>
                <w:rFonts w:ascii="Arial" w:hAnsi="Arial" w:eastAsia="Arial" w:cs="Arial"/>
                <w:b/>
                <w:color w:val="215F52"/>
                <w:sz w:val="17"/>
              </w:rPr>
              <w:t>Deforestation, degradation, recovery or other; evidence</w:t>
            </w:r>
          </w:p>
        </w:tc>
      </w:tr>
      <w:tr>
        <w:trPr>
          <w:trHeight w:val="442" w:hRule="atLeast"/>
        </w:trPr>
        <w:tc>
          <w:tcPr>
            <w:tcW w:type="dxa" w:w="2778"/>
            <w:vAlign w:val="top"/>
          </w:tcPr>
          <w:p>
            <w:pPr>
              <w:keepNext w:val="0"/>
              <w:spacing w:after="20"/>
            </w:pPr>
            <w:sdt>
              <w:sdtPr>
                <w:id w:val="1115"/>
                <w:alias w:val="MR-07-T02-R1-C1"/>
                <w:tag w:val="MR-07-T02-R1-C1"/>
                <w:text w:multiLine="1"/>
              </w:sdtPr>
              <w:sdtContent>
                <w:r>
                  <w:rPr>
                    <w:rFonts w:ascii="Arial" w:hAnsi="Arial"/>
                    <w:color w:val="62716E"/>
                    <w:sz w:val="18"/>
                  </w:rPr>
                  <w:t>[Complete]</w:t>
                </w:r>
              </w:sdtContent>
            </w:sdt>
          </w:p>
        </w:tc>
        <w:tc>
          <w:tcPr>
            <w:tcW w:type="dxa" w:w="3572"/>
            <w:vAlign w:val="top"/>
          </w:tcPr>
          <w:p>
            <w:pPr>
              <w:keepNext w:val="0"/>
              <w:spacing w:after="20"/>
            </w:pPr>
            <w:sdt>
              <w:sdtPr>
                <w:id w:val="1116"/>
                <w:alias w:val="MR-07-T02-R1-C2"/>
                <w:tag w:val="MR-07-T02-R1-C2"/>
                <w:text w:multiLine="1"/>
              </w:sdtPr>
              <w:sdtContent>
                <w:r>
                  <w:rPr>
                    <w:rFonts w:ascii="Arial" w:hAnsi="Arial"/>
                    <w:color w:val="62716E"/>
                    <w:sz w:val="18"/>
                  </w:rPr>
                  <w:t>[Complete]</w:t>
                </w:r>
              </w:sdtContent>
            </w:sdt>
          </w:p>
        </w:tc>
        <w:tc>
          <w:tcPr>
            <w:tcW w:type="dxa" w:w="3390"/>
            <w:vAlign w:val="top"/>
          </w:tcPr>
          <w:p>
            <w:pPr>
              <w:keepNext w:val="0"/>
              <w:spacing w:after="20"/>
            </w:pPr>
            <w:sdt>
              <w:sdtPr>
                <w:id w:val="1117"/>
                <w:alias w:val="MR-07-T02-R1-C3"/>
                <w:tag w:val="MR-07-T02-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118"/>
                <w:alias w:val="MR-07-T02-R2-C1"/>
                <w:tag w:val="MR-07-T02-R2-C1"/>
                <w:text w:multiLine="1"/>
              </w:sdtPr>
              <w:sdtContent>
                <w:r>
                  <w:rPr>
                    <w:rFonts w:ascii="Arial" w:hAnsi="Arial"/>
                    <w:color w:val="62716E"/>
                    <w:sz w:val="18"/>
                  </w:rPr>
                  <w:t>[Complete]</w:t>
                </w:r>
              </w:sdtContent>
            </w:sdt>
          </w:p>
        </w:tc>
        <w:tc>
          <w:tcPr>
            <w:tcW w:type="dxa" w:w="3572"/>
            <w:vAlign w:val="top"/>
          </w:tcPr>
          <w:p>
            <w:pPr>
              <w:keepNext w:val="0"/>
              <w:spacing w:after="20"/>
            </w:pPr>
            <w:sdt>
              <w:sdtPr>
                <w:id w:val="1119"/>
                <w:alias w:val="MR-07-T02-R2-C2"/>
                <w:tag w:val="MR-07-T02-R2-C2"/>
                <w:text w:multiLine="1"/>
              </w:sdtPr>
              <w:sdtContent>
                <w:r>
                  <w:rPr>
                    <w:rFonts w:ascii="Arial" w:hAnsi="Arial"/>
                    <w:color w:val="62716E"/>
                    <w:sz w:val="18"/>
                  </w:rPr>
                  <w:t>[Complete]</w:t>
                </w:r>
              </w:sdtContent>
            </w:sdt>
          </w:p>
        </w:tc>
        <w:tc>
          <w:tcPr>
            <w:tcW w:type="dxa" w:w="3390"/>
            <w:vAlign w:val="top"/>
          </w:tcPr>
          <w:p>
            <w:pPr>
              <w:keepNext w:val="0"/>
              <w:spacing w:after="20"/>
            </w:pPr>
            <w:sdt>
              <w:sdtPr>
                <w:id w:val="1120"/>
                <w:alias w:val="MR-07-T02-R2-C3"/>
                <w:tag w:val="MR-07-T02-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121"/>
                <w:alias w:val="MR-07-T02-R3-C1"/>
                <w:tag w:val="MR-07-T02-R3-C1"/>
                <w:text w:multiLine="1"/>
              </w:sdtPr>
              <w:sdtContent>
                <w:r>
                  <w:rPr>
                    <w:rFonts w:ascii="Arial" w:hAnsi="Arial"/>
                    <w:color w:val="62716E"/>
                    <w:sz w:val="18"/>
                  </w:rPr>
                  <w:t>[Complete]</w:t>
                </w:r>
              </w:sdtContent>
            </w:sdt>
          </w:p>
        </w:tc>
        <w:tc>
          <w:tcPr>
            <w:tcW w:type="dxa" w:w="3572"/>
            <w:vAlign w:val="top"/>
          </w:tcPr>
          <w:p>
            <w:pPr>
              <w:keepNext w:val="0"/>
              <w:spacing w:after="20"/>
            </w:pPr>
            <w:sdt>
              <w:sdtPr>
                <w:id w:val="1122"/>
                <w:alias w:val="MR-07-T02-R3-C2"/>
                <w:tag w:val="MR-07-T02-R3-C2"/>
                <w:text w:multiLine="1"/>
              </w:sdtPr>
              <w:sdtContent>
                <w:r>
                  <w:rPr>
                    <w:rFonts w:ascii="Arial" w:hAnsi="Arial"/>
                    <w:color w:val="62716E"/>
                    <w:sz w:val="18"/>
                  </w:rPr>
                  <w:t>[Complete]</w:t>
                </w:r>
              </w:sdtContent>
            </w:sdt>
          </w:p>
        </w:tc>
        <w:tc>
          <w:tcPr>
            <w:tcW w:type="dxa" w:w="3390"/>
            <w:vAlign w:val="top"/>
          </w:tcPr>
          <w:p>
            <w:pPr>
              <w:keepNext w:val="0"/>
              <w:spacing w:after="20"/>
            </w:pPr>
            <w:sdt>
              <w:sdtPr>
                <w:id w:val="1123"/>
                <w:alias w:val="MR-07-T02-R3-C3"/>
                <w:tag w:val="MR-07-T02-R3-C3"/>
                <w:text w:multiLine="1"/>
              </w:sdtPr>
              <w:sdtContent>
                <w:r>
                  <w:rPr>
                    <w:rFonts w:ascii="Arial" w:hAnsi="Arial"/>
                    <w:color w:val="62716E"/>
                    <w:sz w:val="18"/>
                  </w:rPr>
                  <w:t>[Complete]</w:t>
                </w:r>
              </w:sdtContent>
            </w:sdt>
          </w:p>
        </w:tc>
      </w:tr>
    </w:tbl>
    <w:p>
      <w:pPr>
        <w:spacing w:after="20" w:before="0" w:line="40" w:lineRule="exact"/>
      </w:pPr>
      <w:r>
        <w:rPr>
          <w:sz w:val="4"/>
        </w:rPr>
      </w:r>
    </w:p>
    <w:p>
      <w:pPr>
        <w:spacing w:after="100"/>
      </w:pPr>
      <w:r>
        <w:rPr>
          <w:rFonts w:ascii="Arial" w:hAnsi="Arial" w:eastAsia="Arial" w:cs="Arial"/>
          <w:b w:val="0"/>
          <w:color w:val="243A36"/>
          <w:sz w:val="19"/>
        </w:rPr>
        <w:t>A net class-area difference is not a gross transition estimate. Establish prior state, persistence and physical change; absence of a mapped loss event does not establish absence of degradation. Keep event dates and any temporal allocation distinct.</w:t>
      </w:r>
    </w:p>
    <w:p>
      <w:bookmarkStart w:id="342" w:name="MR_08"/>
      <w:pPr>
        <w:pStyle w:val="Heading1"/>
        <w:keepNext/>
        <w:pageBreakBefore/>
      </w:pPr>
      <w:r>
        <w:rPr>
          <w:rFonts w:ascii="Arial" w:hAnsi="Arial" w:eastAsia="Arial" w:cs="Arial"/>
          <w:b w:val="0"/>
          <w:color w:val="215F52"/>
          <w:sz w:val="38"/>
        </w:rPr>
        <w:t>08  NEB002: material, carbon and model evidence</w:t>
      </w:r>
      <w:bookmarkEnd w:id="342"/>
    </w:p>
    <w:p>
      <w:pPr>
        <w:keepNext/>
        <w:spacing w:after="100"/>
      </w:pPr>
      <w:r>
        <w:rPr>
          <w:rFonts w:ascii="Arial" w:hAnsi="Arial" w:eastAsia="Arial" w:cs="Arial"/>
          <w:b w:val="0"/>
          <w:color w:val="62716E"/>
          <w:sz w:val="16"/>
        </w:rPr>
        <w:t>[1] T-04; T-05; T-06; T-07; T-11; T-12; T-13; T-15; M02.1; M02.2; FRM-08</w:t>
      </w:r>
    </w:p>
    <w:p>
      <w:pPr>
        <w:spacing w:after="100"/>
      </w:pPr>
      <w:r>
        <w:rPr>
          <w:rFonts w:ascii="Arial" w:hAnsi="Arial" w:eastAsia="Arial" w:cs="Arial"/>
          <w:b w:val="0"/>
          <w:color w:val="243A36"/>
          <w:sz w:val="19"/>
        </w:rPr>
        <w:t>Identify the A, B or C evidence route actually used for each stratum and pool. Supply new measurements or the qualified reused records required by that route; do not imply a new reconstruction or laboratory campaign where evidence was reused.</w:t>
      </w:r>
    </w:p>
    <w:p>
      <w:pPr>
        <w:keepNext/>
        <w:spacing w:after="100"/>
      </w:pPr>
      <w:r>
        <w:rPr>
          <w:rFonts w:ascii="Arial" w:hAnsi="Arial" w:eastAsia="Arial" w:cs="Arial"/>
          <w:b/>
          <w:color w:val="215F52"/>
          <w:sz w:val="20"/>
        </w:rPr>
        <w:t>MR-08-T01 / Material-to-carbon record</w:t>
      </w:r>
    </w:p>
    <w:p>
      <w:pPr>
        <w:keepNext/>
        <w:spacing w:after="100"/>
      </w:pPr>
      <w:r>
        <w:rPr>
          <w:rFonts w:ascii="Arial" w:hAnsi="Arial" w:eastAsia="Arial" w:cs="Arial"/>
          <w:b/>
          <w:color w:val="215F52"/>
          <w:sz w:val="17"/>
        </w:rPr>
        <w:t>MR-08-T01 / Calculation notation</w:t>
      </w:r>
    </w:p>
    <w:p>
      <w:pPr>
        <w:keepNext/>
        <w:spacing w:after="60" w:before="20"/>
        <w:jc w:val="center"/>
      </w:pPr>
      <m:oMath>
        <m:sSub>
          <m:e>
            <m:r>
              <w:rPr>
                <w:sz w:val="20"/>
                <w:rFonts w:ascii="Cambria Math" w:hAnsi="Cambria Math"/>
              </w:rPr>
              <m:t>C</m:t>
            </m:r>
          </m:e>
          <m:sub>
            <m:r>
              <w:rPr>
                <w:sz w:val="20"/>
                <w:rFonts w:ascii="Cambria Math" w:hAnsi="Cambria Math"/>
              </w:rPr>
              <m:t>j</m:t>
            </m:r>
          </m:sub>
        </m:sSub>
        <m:r>
          <w:rPr>
            <w:sz w:val="20"/>
            <w:rFonts w:ascii="Cambria Math" w:hAnsi="Cambria Math"/>
          </w:rPr>
          <m:rPr>
            <m:sty m:val="p"/>
          </m:rPr>
          <m:t>=</m:t>
        </m:r>
        <m:sSup>
          <m:e>
            <m:r>
              <w:rPr>
                <w:sz w:val="20"/>
                <w:rFonts w:ascii="Cambria Math" w:hAnsi="Cambria Math"/>
              </w:rPr>
              <m:t>10</m:t>
            </m:r>
          </m:e>
          <m:sup>
            <m:r>
              <w:rPr>
                <w:sz w:val="20"/>
                <w:rFonts w:ascii="Cambria Math" w:hAnsi="Cambria Math"/>
              </w:rPr>
              <m:rPr>
                <m:sty m:val="p"/>
              </m:rPr>
              <m:t>−</m:t>
            </m:r>
            <m:r>
              <w:rPr>
                <w:sz w:val="20"/>
                <w:rFonts w:ascii="Cambria Math" w:hAnsi="Cambria Math"/>
              </w:rPr>
              <m:t>3</m:t>
            </m:r>
          </m:sup>
        </m:sSup>
        <m:nary>
          <m:naryPr>
            <m:chr m:val="∑"/>
            <m:limLoc m:val="undOvr"/>
            <m:subHide m:val="off"/>
            <m:supHide m:val="on"/>
          </m:naryPr>
          <m:sub>
            <m:r>
              <w:rPr>
                <w:sz w:val="20"/>
                <w:rFonts w:ascii="Cambria Math" w:hAnsi="Cambria Math"/>
              </w:rPr>
              <m:t>o</m:t>
            </m:r>
          </m:sub>
          <m:sup>
            <m:r>
              <w:rPr>
                <w:sz w:val="20"/>
                <w:rFonts w:ascii="Cambria Math" w:hAnsi="Cambria Math"/>
              </w:rPr>
              <m:t>​</m:t>
            </m:r>
          </m:sup>
          <m:e>
            <m:sSub>
              <m:e>
                <m:r>
                  <w:rPr>
                    <w:sz w:val="20"/>
                    <w:rFonts w:ascii="Cambria Math" w:hAnsi="Cambria Math"/>
                  </w:rPr>
                  <m:t>V</m:t>
                </m:r>
              </m:e>
              <m:sub>
                <m:r>
                  <w:rPr>
                    <w:sz w:val="20"/>
                    <w:rFonts w:ascii="Cambria Math" w:hAnsi="Cambria Math"/>
                  </w:rPr>
                  <m:t>j</m:t>
                </m:r>
                <m:r>
                  <w:rPr>
                    <w:sz w:val="20"/>
                    <w:rFonts w:ascii="Cambria Math" w:hAnsi="Cambria Math"/>
                  </w:rPr>
                  <m:t>o</m:t>
                </m:r>
              </m:sub>
            </m:sSub>
          </m:e>
        </m:nary>
        <m:sSubSup>
          <m:e>
            <m:r>
              <w:rPr>
                <w:sz w:val="20"/>
                <w:rFonts w:ascii="Cambria Math" w:hAnsi="Cambria Math"/>
              </w:rPr>
              <m:t>ρ</m:t>
            </m:r>
          </m:e>
          <m:sub>
            <m:r>
              <w:rPr>
                <w:sz w:val="20"/>
                <w:rFonts w:ascii="Cambria Math" w:hAnsi="Cambria Math"/>
              </w:rPr>
              <m:t>j</m:t>
            </m:r>
            <m:r>
              <w:rPr>
                <w:sz w:val="20"/>
                <w:rFonts w:ascii="Cambria Math" w:hAnsi="Cambria Math"/>
              </w:rPr>
              <m:t>o</m:t>
            </m:r>
          </m:sub>
          <m:sup>
            <m:r>
              <w:rPr>
                <w:sz w:val="20"/>
                <w:rFonts w:ascii="Cambria Math" w:hAnsi="Cambria Math"/>
              </w:rPr>
              <m:t>b</m:t>
            </m:r>
          </m:sup>
        </m:sSubSup>
        <m:sSubSup>
          <m:e>
            <m:r>
              <w:rPr>
                <w:sz w:val="20"/>
                <w:rFonts w:ascii="Cambria Math" w:hAnsi="Cambria Math"/>
              </w:rPr>
              <m:t>f</m:t>
            </m:r>
          </m:e>
          <m:sub>
            <m:r>
              <w:rPr>
                <w:sz w:val="20"/>
                <w:rFonts w:ascii="Cambria Math" w:hAnsi="Cambria Math"/>
              </w:rPr>
              <m:t>j</m:t>
            </m:r>
            <m:r>
              <w:rPr>
                <w:sz w:val="20"/>
                <w:rFonts w:ascii="Cambria Math" w:hAnsi="Cambria Math"/>
              </w:rPr>
              <m:t>o</m:t>
            </m:r>
          </m:sub>
          <m:sup>
            <m:r>
              <w:rPr>
                <w:sz w:val="20"/>
                <w:rFonts w:ascii="Cambria Math" w:hAnsi="Cambria Math"/>
              </w:rPr>
              <m:t>C</m:t>
            </m:r>
          </m:sup>
        </m:sSubSup>
      </m:oMath>
    </w:p>
    <w:p>
      <w:pPr>
        <w:keepNext/>
        <w:spacing w:after="60" w:before="20"/>
        <w:jc w:val="center"/>
      </w:pPr>
      <m:oMath>
        <m:sSub>
          <m:e>
            <m:r>
              <w:rPr>
                <w:sz w:val="20"/>
                <w:rFonts w:ascii="Cambria Math" w:hAnsi="Cambria Math"/>
              </w:rPr>
              <m:t>c</m:t>
            </m:r>
          </m:e>
          <m:sub>
            <m:r>
              <w:rPr>
                <w:sz w:val="20"/>
                <w:rFonts w:ascii="Cambria Math" w:hAnsi="Cambria Math"/>
              </w:rPr>
              <m:t>p</m:t>
            </m:r>
          </m:sub>
        </m:sSub>
        <m:r>
          <w:rPr>
            <w:sz w:val="20"/>
            <w:rFonts w:ascii="Cambria Math" w:hAnsi="Cambria Math"/>
          </w:rPr>
          <m:rPr>
            <m:sty m:val="p"/>
          </m:rPr>
          <m:t>=</m:t>
        </m:r>
        <m:f>
          <m:fPr>
            <m:type m:val="bar"/>
          </m:fPr>
          <m:num>
            <m:nary>
              <m:naryPr>
                <m:chr m:val="∑"/>
                <m:limLoc m:val="undOvr"/>
                <m:subHide m:val="off"/>
                <m:supHide m:val="on"/>
              </m:naryPr>
              <m:sub>
                <m:r>
                  <w:rPr>
                    <w:sz w:val="20"/>
                    <w:rFonts w:ascii="Cambria Math" w:hAnsi="Cambria Math"/>
                  </w:rPr>
                  <m:t>j</m:t>
                </m:r>
                <m:r>
                  <w:rPr>
                    <w:sz w:val="20"/>
                    <w:rFonts w:ascii="Cambria Math" w:hAnsi="Cambria Math"/>
                  </w:rPr>
                  <m:rPr>
                    <m:sty m:val="p"/>
                  </m:rPr>
                  <m:t>∈</m:t>
                </m:r>
                <m:r>
                  <w:rPr>
                    <w:sz w:val="20"/>
                    <w:rFonts w:ascii="Cambria Math" w:hAnsi="Cambria Math"/>
                  </w:rPr>
                  <m:t>p</m:t>
                </m:r>
              </m:sub>
              <m:sup>
                <m:r>
                  <w:rPr>
                    <w:sz w:val="20"/>
                    <w:rFonts w:ascii="Cambria Math" w:hAnsi="Cambria Math"/>
                  </w:rPr>
                  <m:t>​</m:t>
                </m:r>
              </m:sup>
              <m:e>
                <m:sSub>
                  <m:e>
                    <m:r>
                      <w:rPr>
                        <w:sz w:val="20"/>
                        <w:rFonts w:ascii="Cambria Math" w:hAnsi="Cambria Math"/>
                      </w:rPr>
                      <m:t>C</m:t>
                    </m:r>
                  </m:e>
                  <m:sub>
                    <m:r>
                      <w:rPr>
                        <w:sz w:val="20"/>
                        <w:rFonts w:ascii="Cambria Math" w:hAnsi="Cambria Math"/>
                      </w:rPr>
                      <m:t>j</m:t>
                    </m:r>
                  </m:sub>
                </m:sSub>
              </m:e>
            </m:nary>
            <m:r>
              <w:rPr>
                <w:sz w:val="20"/>
                <w:rFonts w:ascii="Cambria Math" w:hAnsi="Cambria Math"/>
              </w:rPr>
              <m:rPr>
                <m:sty m:val="p"/>
              </m:rPr>
              <m:t>+</m:t>
            </m:r>
            <m:sSub>
              <m:e>
                <m:r>
                  <w:rPr>
                    <w:sz w:val="20"/>
                    <w:rFonts w:ascii="Cambria Math" w:hAnsi="Cambria Math"/>
                  </w:rPr>
                  <m:t>C</m:t>
                </m:r>
              </m:e>
              <m:sub>
                <m:r>
                  <w:rPr>
                    <w:sz w:val="20"/>
                    <w:rFonts w:ascii="Cambria Math" w:hAnsi="Cambria Math"/>
                  </w:rPr>
                  <m:t>p</m:t>
                </m:r>
                <m:r>
                  <w:rPr>
                    <w:sz w:val="20"/>
                    <w:rFonts w:ascii="Cambria Math" w:hAnsi="Cambria Math"/>
                  </w:rPr>
                  <m:rPr>
                    <m:sty m:val="p"/>
                  </m:rPr>
                  <m:t>,</m:t>
                </m:r>
                <m:r>
                  <w:rPr>
                    <w:sz w:val="20"/>
                    <w:rFonts w:ascii="Cambria Math" w:hAnsi="Cambria Math"/>
                  </w:rPr>
                  <m:rPr>
                    <m:sty m:val="p"/>
                  </m:rPr>
                  <m:t>o</m:t>
                </m:r>
                <m:r>
                  <w:rPr>
                    <w:sz w:val="20"/>
                    <w:rFonts w:ascii="Cambria Math" w:hAnsi="Cambria Math"/>
                  </w:rPr>
                  <m:rPr>
                    <m:sty m:val="p"/>
                  </m:rPr>
                  <m:t>t</m:t>
                </m:r>
                <m:r>
                  <w:rPr>
                    <w:sz w:val="20"/>
                    <w:rFonts w:ascii="Cambria Math" w:hAnsi="Cambria Math"/>
                  </w:rPr>
                  <m:rPr>
                    <m:sty m:val="p"/>
                  </m:rPr>
                  <m:t>h</m:t>
                </m:r>
                <m:r>
                  <w:rPr>
                    <w:sz w:val="20"/>
                    <w:rFonts w:ascii="Cambria Math" w:hAnsi="Cambria Math"/>
                  </w:rPr>
                  <m:rPr>
                    <m:sty m:val="p"/>
                  </m:rPr>
                  <m:t>e</m:t>
                </m:r>
                <m:r>
                  <w:rPr>
                    <w:sz w:val="20"/>
                    <w:rFonts w:ascii="Cambria Math" w:hAnsi="Cambria Math"/>
                  </w:rPr>
                  <m:rPr>
                    <m:sty m:val="p"/>
                  </m:rPr>
                  <m:t>r</m:t>
                </m:r>
              </m:sub>
            </m:sSub>
          </m:num>
          <m:den>
            <m:sSub>
              <m:e>
                <m:r>
                  <w:rPr>
                    <w:sz w:val="20"/>
                    <w:rFonts w:ascii="Cambria Math" w:hAnsi="Cambria Math"/>
                  </w:rPr>
                  <m:t>a</m:t>
                </m:r>
              </m:e>
              <m:sub>
                <m:r>
                  <w:rPr>
                    <w:sz w:val="20"/>
                    <w:rFonts w:ascii="Cambria Math" w:hAnsi="Cambria Math"/>
                  </w:rPr>
                  <m:t>p</m:t>
                </m:r>
              </m:sub>
            </m:sSub>
          </m:den>
        </m:f>
      </m:oMath>
    </w:p>
    <w:p>
      <w:pPr>
        <w:keepNext/>
        <w:spacing w:after="60"/>
      </w:pPr>
      <w:r>
        <w:rPr>
          <w:rFonts w:ascii="Arial" w:hAnsi="Arial" w:eastAsia="Arial" w:cs="Arial"/>
          <w:b w:val="0"/>
          <w:color w:val="215F52"/>
          <w:sz w:val="17"/>
        </w:rPr>
        <w:t>V is green material volume in m3; rho_b is oven-dry kg per green m3; f_C is dry-mass carbon fraction. C_j is Mg C; c_p is Mg C/ha. The plot denominator a_p is in ha. Pools must be disjoint and moisture conventions matched.</w:t>
      </w:r>
    </w:p>
    <w:p>
      <w:pPr>
        <w:keepNext/>
        <w:spacing w:after="80"/>
      </w:pPr>
      <w:r>
        <w:rPr>
          <w:rFonts w:ascii="Arial" w:hAnsi="Arial" w:eastAsia="Arial" w:cs="Arial"/>
          <w:b w:val="0"/>
          <w:color w:val="62716E"/>
          <w:sz w:val="16"/>
        </w:rPr>
        <w:t>Basis: M02.1; M02.2; F-M01. Calculation location: Evidence!G; Factors!D:G; upstream organ and plot records.</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Individual / plot / organ or pool / date</w:t>
            </w:r>
          </w:p>
        </w:tc>
        <w:tc>
          <w:tcPr>
            <w:tcW w:type="dxa" w:w="3572"/>
            <w:vAlign w:val="center"/>
            <w:shd w:fill="F1F5F2"/>
          </w:tcPr>
          <w:p>
            <w:pPr>
              <w:keepNext/>
              <w:spacing w:after="20"/>
            </w:pPr>
            <w:r>
              <w:rPr>
                <w:rFonts w:ascii="Arial" w:hAnsi="Arial" w:eastAsia="Arial" w:cs="Arial"/>
                <w:b/>
                <w:color w:val="215F52"/>
                <w:sz w:val="17"/>
              </w:rPr>
              <w:t>Volume, density, carbon fraction and plot area</w:t>
            </w:r>
          </w:p>
        </w:tc>
        <w:tc>
          <w:tcPr>
            <w:tcW w:type="dxa" w:w="3390"/>
            <w:vAlign w:val="center"/>
            <w:shd w:fill="F1F5F2"/>
          </w:tcPr>
          <w:p>
            <w:pPr>
              <w:keepNext/>
              <w:spacing w:after="20"/>
            </w:pPr>
            <w:r>
              <w:rPr>
                <w:rFonts w:ascii="Arial" w:hAnsi="Arial" w:eastAsia="Arial" w:cs="Arial"/>
                <w:b/>
                <w:color w:val="215F52"/>
                <w:sz w:val="17"/>
              </w:rPr>
              <w:t>Carbon result, uncertainty and evidence location</w:t>
            </w:r>
          </w:p>
        </w:tc>
      </w:tr>
      <w:tr>
        <w:trPr>
          <w:trHeight w:val="442" w:hRule="atLeast"/>
        </w:trPr>
        <w:tc>
          <w:tcPr>
            <w:tcW w:type="dxa" w:w="2778"/>
            <w:vAlign w:val="top"/>
          </w:tcPr>
          <w:p>
            <w:pPr>
              <w:keepNext w:val="0"/>
              <w:spacing w:after="20"/>
            </w:pPr>
            <w:sdt>
              <w:sdtPr>
                <w:id w:val="1124"/>
                <w:alias w:val="MR-08-T01-R1-C1"/>
                <w:tag w:val="MR-08-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125"/>
                <w:alias w:val="MR-08-T01-R1-C2"/>
                <w:tag w:val="MR-08-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126"/>
                <w:alias w:val="MR-08-T01-R1-C3"/>
                <w:tag w:val="MR-08-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127"/>
                <w:alias w:val="MR-08-T01-R2-C1"/>
                <w:tag w:val="MR-08-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128"/>
                <w:alias w:val="MR-08-T01-R2-C2"/>
                <w:tag w:val="MR-08-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129"/>
                <w:alias w:val="MR-08-T01-R2-C3"/>
                <w:tag w:val="MR-08-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130"/>
                <w:alias w:val="MR-08-T01-R3-C1"/>
                <w:tag w:val="MR-08-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131"/>
                <w:alias w:val="MR-08-T01-R3-C2"/>
                <w:tag w:val="MR-08-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132"/>
                <w:alias w:val="MR-08-T01-R3-C3"/>
                <w:tag w:val="MR-08-T01-R3-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color w:val="215F52"/>
          <w:sz w:val="20"/>
        </w:rPr>
        <w:t>MR-08-T02 / Reused estimator and applicability</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Route / model or map / actual version</w:t>
            </w:r>
          </w:p>
        </w:tc>
        <w:tc>
          <w:tcPr>
            <w:tcW w:type="dxa" w:w="3572"/>
            <w:vAlign w:val="center"/>
            <w:shd w:fill="F1F5F2"/>
          </w:tcPr>
          <w:p>
            <w:pPr>
              <w:keepNext/>
              <w:spacing w:after="20"/>
            </w:pPr>
            <w:r>
              <w:rPr>
                <w:rFonts w:ascii="Arial" w:hAnsi="Arial" w:eastAsia="Arial" w:cs="Arial"/>
                <w:b/>
                <w:color w:val="215F52"/>
                <w:sz w:val="17"/>
              </w:rPr>
              <w:t>Input domain, validation and transfer checks</w:t>
            </w:r>
          </w:p>
        </w:tc>
        <w:tc>
          <w:tcPr>
            <w:tcW w:type="dxa" w:w="3390"/>
            <w:vAlign w:val="center"/>
            <w:shd w:fill="F1F5F2"/>
          </w:tcPr>
          <w:p>
            <w:pPr>
              <w:keepNext/>
              <w:spacing w:after="20"/>
            </w:pPr>
            <w:r>
              <w:rPr>
                <w:rFonts w:ascii="Arial" w:hAnsi="Arial" w:eastAsia="Arial" w:cs="Arial"/>
                <w:b/>
                <w:color w:val="215F52"/>
                <w:sz w:val="17"/>
              </w:rPr>
              <w:t>Accepted use, restrictions and raw-source reference</w:t>
            </w:r>
          </w:p>
        </w:tc>
      </w:tr>
      <w:tr>
        <w:trPr>
          <w:trHeight w:val="442" w:hRule="atLeast"/>
        </w:trPr>
        <w:tc>
          <w:tcPr>
            <w:tcW w:type="dxa" w:w="2778"/>
            <w:vAlign w:val="top"/>
          </w:tcPr>
          <w:p>
            <w:pPr>
              <w:keepNext w:val="0"/>
              <w:spacing w:after="20"/>
            </w:pPr>
            <w:sdt>
              <w:sdtPr>
                <w:id w:val="1133"/>
                <w:alias w:val="MR-08-T02-R1-C1"/>
                <w:tag w:val="MR-08-T02-R1-C1"/>
                <w:text w:multiLine="1"/>
              </w:sdtPr>
              <w:sdtContent>
                <w:r>
                  <w:rPr>
                    <w:rFonts w:ascii="Arial" w:hAnsi="Arial"/>
                    <w:color w:val="62716E"/>
                    <w:sz w:val="18"/>
                  </w:rPr>
                  <w:t>[Complete]</w:t>
                </w:r>
              </w:sdtContent>
            </w:sdt>
          </w:p>
        </w:tc>
        <w:tc>
          <w:tcPr>
            <w:tcW w:type="dxa" w:w="3572"/>
            <w:vAlign w:val="top"/>
          </w:tcPr>
          <w:p>
            <w:pPr>
              <w:keepNext w:val="0"/>
              <w:spacing w:after="20"/>
            </w:pPr>
            <w:sdt>
              <w:sdtPr>
                <w:id w:val="1134"/>
                <w:alias w:val="MR-08-T02-R1-C2"/>
                <w:tag w:val="MR-08-T02-R1-C2"/>
                <w:text w:multiLine="1"/>
              </w:sdtPr>
              <w:sdtContent>
                <w:r>
                  <w:rPr>
                    <w:rFonts w:ascii="Arial" w:hAnsi="Arial"/>
                    <w:color w:val="62716E"/>
                    <w:sz w:val="18"/>
                  </w:rPr>
                  <w:t>[Complete]</w:t>
                </w:r>
              </w:sdtContent>
            </w:sdt>
          </w:p>
        </w:tc>
        <w:tc>
          <w:tcPr>
            <w:tcW w:type="dxa" w:w="3390"/>
            <w:vAlign w:val="top"/>
          </w:tcPr>
          <w:p>
            <w:pPr>
              <w:keepNext w:val="0"/>
              <w:spacing w:after="20"/>
            </w:pPr>
            <w:sdt>
              <w:sdtPr>
                <w:id w:val="1135"/>
                <w:alias w:val="MR-08-T02-R1-C3"/>
                <w:tag w:val="MR-08-T02-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136"/>
                <w:alias w:val="MR-08-T02-R2-C1"/>
                <w:tag w:val="MR-08-T02-R2-C1"/>
                <w:text w:multiLine="1"/>
              </w:sdtPr>
              <w:sdtContent>
                <w:r>
                  <w:rPr>
                    <w:rFonts w:ascii="Arial" w:hAnsi="Arial"/>
                    <w:color w:val="62716E"/>
                    <w:sz w:val="18"/>
                  </w:rPr>
                  <w:t>[Complete]</w:t>
                </w:r>
              </w:sdtContent>
            </w:sdt>
          </w:p>
        </w:tc>
        <w:tc>
          <w:tcPr>
            <w:tcW w:type="dxa" w:w="3572"/>
            <w:vAlign w:val="top"/>
          </w:tcPr>
          <w:p>
            <w:pPr>
              <w:keepNext w:val="0"/>
              <w:spacing w:after="20"/>
            </w:pPr>
            <w:sdt>
              <w:sdtPr>
                <w:id w:val="1137"/>
                <w:alias w:val="MR-08-T02-R2-C2"/>
                <w:tag w:val="MR-08-T02-R2-C2"/>
                <w:text w:multiLine="1"/>
              </w:sdtPr>
              <w:sdtContent>
                <w:r>
                  <w:rPr>
                    <w:rFonts w:ascii="Arial" w:hAnsi="Arial"/>
                    <w:color w:val="62716E"/>
                    <w:sz w:val="18"/>
                  </w:rPr>
                  <w:t>[Complete]</w:t>
                </w:r>
              </w:sdtContent>
            </w:sdt>
          </w:p>
        </w:tc>
        <w:tc>
          <w:tcPr>
            <w:tcW w:type="dxa" w:w="3390"/>
            <w:vAlign w:val="top"/>
          </w:tcPr>
          <w:p>
            <w:pPr>
              <w:keepNext w:val="0"/>
              <w:spacing w:after="20"/>
            </w:pPr>
            <w:sdt>
              <w:sdtPr>
                <w:id w:val="1138"/>
                <w:alias w:val="MR-08-T02-R2-C3"/>
                <w:tag w:val="MR-08-T02-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139"/>
                <w:alias w:val="MR-08-T02-R3-C1"/>
                <w:tag w:val="MR-08-T02-R3-C1"/>
                <w:text w:multiLine="1"/>
              </w:sdtPr>
              <w:sdtContent>
                <w:r>
                  <w:rPr>
                    <w:rFonts w:ascii="Arial" w:hAnsi="Arial"/>
                    <w:color w:val="62716E"/>
                    <w:sz w:val="18"/>
                  </w:rPr>
                  <w:t>[Complete]</w:t>
                </w:r>
              </w:sdtContent>
            </w:sdt>
          </w:p>
        </w:tc>
        <w:tc>
          <w:tcPr>
            <w:tcW w:type="dxa" w:w="3572"/>
            <w:vAlign w:val="top"/>
          </w:tcPr>
          <w:p>
            <w:pPr>
              <w:keepNext w:val="0"/>
              <w:spacing w:after="20"/>
            </w:pPr>
            <w:sdt>
              <w:sdtPr>
                <w:id w:val="1140"/>
                <w:alias w:val="MR-08-T02-R3-C2"/>
                <w:tag w:val="MR-08-T02-R3-C2"/>
                <w:text w:multiLine="1"/>
              </w:sdtPr>
              <w:sdtContent>
                <w:r>
                  <w:rPr>
                    <w:rFonts w:ascii="Arial" w:hAnsi="Arial"/>
                    <w:color w:val="62716E"/>
                    <w:sz w:val="18"/>
                  </w:rPr>
                  <w:t>[Complete]</w:t>
                </w:r>
              </w:sdtContent>
            </w:sdt>
          </w:p>
        </w:tc>
        <w:tc>
          <w:tcPr>
            <w:tcW w:type="dxa" w:w="3390"/>
            <w:vAlign w:val="top"/>
          </w:tcPr>
          <w:p>
            <w:pPr>
              <w:keepNext w:val="0"/>
              <w:spacing w:after="20"/>
            </w:pPr>
            <w:sdt>
              <w:sdtPr>
                <w:id w:val="1141"/>
                <w:alias w:val="MR-08-T02-R3-C3"/>
                <w:tag w:val="MR-08-T02-R3-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Describe growth, mortality, recruitment, damage and relevant changes since the PD. Retain failed tests and actual model records. Distinguish a correction of standing stock from a change through time; no universal carbon multiplier is inferred.</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142"/>
                <w:alias w:val="MR-response-23"/>
                <w:tag w:val="MR-response-23"/>
                <w:text w:multiLine="1"/>
              </w:sdtPr>
              <w:sdtContent>
                <w:r>
                  <w:rPr>
                    <w:rFonts w:ascii="Arial" w:hAnsi="Arial"/>
                    <w:color w:val="62716E"/>
                    <w:sz w:val="18"/>
                  </w:rPr>
                  <w:t>[Enter response and exact evidence references.]</w:t>
                </w:r>
              </w:sdtContent>
            </w:sdt>
          </w:p>
        </w:tc>
      </w:tr>
    </w:tbl>
    <w:p>
      <w:pPr>
        <w:spacing w:after="20" w:line="40" w:lineRule="exact"/>
      </w:pPr>
      <w:r>
        <w:rPr>
          <w:sz w:val="4"/>
        </w:rPr>
      </w:r>
    </w:p>
    <w:p>
      <w:bookmarkStart w:id="356" w:name="MR_09"/>
      <w:pPr>
        <w:pStyle w:val="Heading1"/>
        <w:keepNext/>
        <w:pageBreakBefore/>
      </w:pPr>
      <w:r>
        <w:rPr>
          <w:rFonts w:ascii="Arial" w:hAnsi="Arial" w:eastAsia="Arial" w:cs="Arial"/>
          <w:b w:val="0"/>
          <w:color w:val="215F52"/>
          <w:sz w:val="38"/>
        </w:rPr>
        <w:t>09  Quality control, custody and missing observations</w:t>
      </w:r>
      <w:bookmarkEnd w:id="356"/>
    </w:p>
    <w:p>
      <w:pPr>
        <w:keepNext/>
        <w:spacing w:after="100"/>
      </w:pPr>
      <w:r>
        <w:rPr>
          <w:rFonts w:ascii="Arial" w:hAnsi="Arial" w:eastAsia="Arial" w:cs="Arial"/>
          <w:b w:val="0"/>
          <w:color w:val="62716E"/>
          <w:sz w:val="16"/>
        </w:rPr>
        <w:t>[1] P-03; P-04; T-04; T-06; F-01; A-05</w:t>
      </w:r>
    </w:p>
    <w:p>
      <w:pPr>
        <w:spacing w:after="100"/>
      </w:pPr>
      <w:r>
        <w:rPr>
          <w:rFonts w:ascii="Arial" w:hAnsi="Arial" w:eastAsia="Arial" w:cs="Arial"/>
          <w:b w:val="0"/>
          <w:color w:val="243A36"/>
          <w:sz w:val="19"/>
        </w:rPr>
        <w:t>Trace field records, instruments, laboratory batches, calibration, processing, manual adjustments and archived outputs. Identify who collected, checked and accepted each dataset. Preserve originals and superseded versions.</w:t>
      </w:r>
    </w:p>
    <w:p>
      <w:pPr>
        <w:keepNext/>
        <w:spacing w:after="100"/>
      </w:pPr>
      <w:r>
        <w:rPr>
          <w:rFonts w:ascii="Arial" w:hAnsi="Arial" w:eastAsia="Arial" w:cs="Arial"/>
          <w:b/>
          <w:color w:val="215F52"/>
          <w:sz w:val="20"/>
        </w:rPr>
        <w:t>MR-09-T01 / Instrument, batch and data acceptance</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Dataset / instrument / batch / custodian</w:t>
            </w:r>
          </w:p>
        </w:tc>
        <w:tc>
          <w:tcPr>
            <w:tcW w:type="dxa" w:w="3572"/>
            <w:vAlign w:val="center"/>
            <w:shd w:fill="F1F5F2"/>
          </w:tcPr>
          <w:p>
            <w:pPr>
              <w:keepNext/>
              <w:spacing w:after="20"/>
            </w:pPr>
            <w:r>
              <w:rPr>
                <w:rFonts w:ascii="Arial" w:hAnsi="Arial" w:eastAsia="Arial" w:cs="Arial"/>
                <w:b/>
                <w:color w:val="215F52"/>
                <w:sz w:val="17"/>
              </w:rPr>
              <w:t>Calibration and quality criterion; actual result</w:t>
            </w:r>
          </w:p>
        </w:tc>
        <w:tc>
          <w:tcPr>
            <w:tcW w:type="dxa" w:w="3390"/>
            <w:vAlign w:val="center"/>
            <w:shd w:fill="F1F5F2"/>
          </w:tcPr>
          <w:p>
            <w:pPr>
              <w:keepNext/>
              <w:spacing w:after="20"/>
            </w:pPr>
            <w:r>
              <w:rPr>
                <w:rFonts w:ascii="Arial" w:hAnsi="Arial" w:eastAsia="Arial" w:cs="Arial"/>
                <w:b/>
                <w:color w:val="215F52"/>
                <w:sz w:val="17"/>
              </w:rPr>
              <w:t>Acceptance, limitation or corrective-action ID</w:t>
            </w:r>
          </w:p>
        </w:tc>
      </w:tr>
      <w:tr>
        <w:trPr>
          <w:trHeight w:val="442" w:hRule="atLeast"/>
        </w:trPr>
        <w:tc>
          <w:tcPr>
            <w:tcW w:type="dxa" w:w="2778"/>
            <w:vAlign w:val="top"/>
          </w:tcPr>
          <w:p>
            <w:pPr>
              <w:keepNext w:val="0"/>
              <w:spacing w:after="20"/>
            </w:pPr>
            <w:sdt>
              <w:sdtPr>
                <w:id w:val="1143"/>
                <w:alias w:val="MR-09-T01-R1-C1"/>
                <w:tag w:val="MR-09-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144"/>
                <w:alias w:val="MR-09-T01-R1-C2"/>
                <w:tag w:val="MR-09-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145"/>
                <w:alias w:val="MR-09-T01-R1-C3"/>
                <w:tag w:val="MR-09-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146"/>
                <w:alias w:val="MR-09-T01-R2-C1"/>
                <w:tag w:val="MR-09-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147"/>
                <w:alias w:val="MR-09-T01-R2-C2"/>
                <w:tag w:val="MR-09-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148"/>
                <w:alias w:val="MR-09-T01-R2-C3"/>
                <w:tag w:val="MR-09-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149"/>
                <w:alias w:val="MR-09-T01-R3-C1"/>
                <w:tag w:val="MR-09-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150"/>
                <w:alias w:val="MR-09-T01-R3-C2"/>
                <w:tag w:val="MR-09-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151"/>
                <w:alias w:val="MR-09-T01-R3-C3"/>
                <w:tag w:val="MR-09-T01-R3-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color w:val="215F52"/>
          <w:sz w:val="20"/>
        </w:rPr>
        <w:t>MR-09-T02 / Missing-data and substitution register</w:t>
      </w:r>
    </w:p>
    <w:p>
      <w:pPr>
        <w:keepNext/>
        <w:spacing w:after="100"/>
      </w:pPr>
      <w:r>
        <w:rPr>
          <w:rFonts w:ascii="Arial" w:hAnsi="Arial" w:eastAsia="Arial" w:cs="Arial"/>
          <w:b/>
          <w:color w:val="215F52"/>
          <w:sz w:val="17"/>
        </w:rPr>
        <w:t>MR-09-T02 / Calculation notation</w:t>
      </w:r>
    </w:p>
    <w:p>
      <w:pPr>
        <w:keepNext/>
        <w:spacing w:after="60" w:before="20"/>
        <w:jc w:val="center"/>
      </w:pPr>
      <m:oMath>
        <m:sSub>
          <m:e>
            <m:r>
              <w:rPr>
                <w:sz w:val="20"/>
                <w:rFonts w:ascii="Cambria Math" w:hAnsi="Cambria Math"/>
              </w:rPr>
              <m:t>x</m:t>
            </m:r>
          </m:e>
          <m:sub>
            <m:r>
              <w:rPr>
                <w:sz w:val="20"/>
                <w:rFonts w:ascii="Cambria Math" w:hAnsi="Cambria Math"/>
              </w:rPr>
              <m:rPr>
                <m:sty m:val="p"/>
              </m:rPr>
              <m:t>ℓ</m:t>
            </m:r>
          </m:sub>
        </m:sSub>
        <m:r>
          <w:rPr>
            <w:sz w:val="20"/>
            <w:rFonts w:ascii="Cambria Math" w:hAnsi="Cambria Math"/>
          </w:rPr>
          <m:t> </m:t>
        </m:r>
        <m:d>
          <m:dPr>
            <m:begChr m:val="["/>
            <m:endChr m:val="]"/>
            <m:sepChr m:val=""/>
            <m:grow/>
          </m:dPr>
          <m:e>
            <m:sSub>
              <m:e>
                <m:r>
                  <w:rPr>
                    <w:sz w:val="20"/>
                    <w:rFonts w:ascii="Cambria Math" w:hAnsi="Cambria Math"/>
                  </w:rPr>
                  <m:t>u</m:t>
                </m:r>
              </m:e>
              <m:sub>
                <m:r>
                  <w:rPr>
                    <w:sz w:val="20"/>
                    <w:rFonts w:ascii="Cambria Math" w:hAnsi="Cambria Math"/>
                  </w:rPr>
                  <m:rPr>
                    <m:sty m:val="p"/>
                  </m:rPr>
                  <m:t>ℓ</m:t>
                </m:r>
              </m:sub>
            </m:sSub>
          </m:e>
        </m:d>
      </m:oMath>
    </w:p>
    <w:p>
      <w:pPr>
        <w:keepNext/>
        <w:spacing w:after="60"/>
      </w:pPr>
      <w:r>
        <w:rPr>
          <w:rFonts w:ascii="Arial" w:hAnsi="Arial" w:eastAsia="Arial" w:cs="Arial"/>
          <w:b w:val="0"/>
          <w:color w:val="215F52"/>
          <w:sz w:val="17"/>
        </w:rPr>
        <w:t>x_l is the identified observation, input, or output; u_l is its declared unit. Record the exact equation and source file, worksheet, cell/range, period, and status. This notation does not prescribe an estimator.</w:t>
      </w:r>
    </w:p>
    <w:p>
      <w:pPr>
        <w:keepNext/>
        <w:spacing w:after="80"/>
      </w:pPr>
      <w:r>
        <w:rPr>
          <w:rFonts w:ascii="Arial" w:hAnsi="Arial" w:eastAsia="Arial" w:cs="Arial"/>
          <w:b w:val="0"/>
          <w:color w:val="62716E"/>
          <w:sz w:val="16"/>
        </w:rPr>
        <w:t>Basis: F-01; T-01. Calculation location: Evidence!A:J; Components!F:L.</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Variable / period / missing support</w:t>
            </w:r>
          </w:p>
        </w:tc>
        <w:tc>
          <w:tcPr>
            <w:tcW w:type="dxa" w:w="3572"/>
            <w:vAlign w:val="center"/>
            <w:shd w:fill="F1F5F2"/>
          </w:tcPr>
          <w:p>
            <w:pPr>
              <w:keepNext/>
              <w:spacing w:after="20"/>
            </w:pPr>
            <w:r>
              <w:rPr>
                <w:rFonts w:ascii="Arial" w:hAnsi="Arial" w:eastAsia="Arial" w:cs="Arial"/>
                <w:b/>
                <w:color w:val="215F52"/>
                <w:sz w:val="17"/>
              </w:rPr>
              <w:t>Replacement or bound; unit; uncertainty</w:t>
            </w:r>
          </w:p>
        </w:tc>
        <w:tc>
          <w:tcPr>
            <w:tcW w:type="dxa" w:w="3390"/>
            <w:vAlign w:val="center"/>
            <w:shd w:fill="F1F5F2"/>
          </w:tcPr>
          <w:p>
            <w:pPr>
              <w:keepNext/>
              <w:spacing w:after="20"/>
            </w:pPr>
            <w:r>
              <w:rPr>
                <w:rFonts w:ascii="Arial" w:hAnsi="Arial" w:eastAsia="Arial" w:cs="Arial"/>
                <w:b/>
                <w:color w:val="215F52"/>
                <w:sz w:val="17"/>
              </w:rPr>
              <w:t>Approval, effect on matched accounts and remaining gap</w:t>
            </w:r>
          </w:p>
        </w:tc>
      </w:tr>
      <w:tr>
        <w:trPr>
          <w:trHeight w:val="442" w:hRule="atLeast"/>
        </w:trPr>
        <w:tc>
          <w:tcPr>
            <w:tcW w:type="dxa" w:w="2778"/>
            <w:vAlign w:val="top"/>
          </w:tcPr>
          <w:p>
            <w:pPr>
              <w:keepNext w:val="0"/>
              <w:spacing w:after="20"/>
            </w:pPr>
            <w:sdt>
              <w:sdtPr>
                <w:id w:val="1152"/>
                <w:alias w:val="MR-09-T02-R1-C1"/>
                <w:tag w:val="MR-09-T02-R1-C1"/>
                <w:text w:multiLine="1"/>
              </w:sdtPr>
              <w:sdtContent>
                <w:r>
                  <w:rPr>
                    <w:rFonts w:ascii="Arial" w:hAnsi="Arial"/>
                    <w:color w:val="62716E"/>
                    <w:sz w:val="18"/>
                  </w:rPr>
                  <w:t>[Complete]</w:t>
                </w:r>
              </w:sdtContent>
            </w:sdt>
          </w:p>
        </w:tc>
        <w:tc>
          <w:tcPr>
            <w:tcW w:type="dxa" w:w="3572"/>
            <w:vAlign w:val="top"/>
          </w:tcPr>
          <w:p>
            <w:pPr>
              <w:keepNext w:val="0"/>
              <w:spacing w:after="20"/>
            </w:pPr>
            <w:sdt>
              <w:sdtPr>
                <w:id w:val="1153"/>
                <w:alias w:val="MR-09-T02-R1-C2"/>
                <w:tag w:val="MR-09-T02-R1-C2"/>
                <w:text w:multiLine="1"/>
              </w:sdtPr>
              <w:sdtContent>
                <w:r>
                  <w:rPr>
                    <w:rFonts w:ascii="Arial" w:hAnsi="Arial"/>
                    <w:color w:val="62716E"/>
                    <w:sz w:val="18"/>
                  </w:rPr>
                  <w:t>[Complete]</w:t>
                </w:r>
              </w:sdtContent>
            </w:sdt>
          </w:p>
        </w:tc>
        <w:tc>
          <w:tcPr>
            <w:tcW w:type="dxa" w:w="3390"/>
            <w:vAlign w:val="top"/>
          </w:tcPr>
          <w:p>
            <w:pPr>
              <w:keepNext w:val="0"/>
              <w:spacing w:after="20"/>
            </w:pPr>
            <w:sdt>
              <w:sdtPr>
                <w:id w:val="1154"/>
                <w:alias w:val="MR-09-T02-R1-C3"/>
                <w:tag w:val="MR-09-T02-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155"/>
                <w:alias w:val="MR-09-T02-R2-C1"/>
                <w:tag w:val="MR-09-T02-R2-C1"/>
                <w:text w:multiLine="1"/>
              </w:sdtPr>
              <w:sdtContent>
                <w:r>
                  <w:rPr>
                    <w:rFonts w:ascii="Arial" w:hAnsi="Arial"/>
                    <w:color w:val="62716E"/>
                    <w:sz w:val="18"/>
                  </w:rPr>
                  <w:t>[Complete]</w:t>
                </w:r>
              </w:sdtContent>
            </w:sdt>
          </w:p>
        </w:tc>
        <w:tc>
          <w:tcPr>
            <w:tcW w:type="dxa" w:w="3572"/>
            <w:vAlign w:val="top"/>
          </w:tcPr>
          <w:p>
            <w:pPr>
              <w:keepNext w:val="0"/>
              <w:spacing w:after="20"/>
            </w:pPr>
            <w:sdt>
              <w:sdtPr>
                <w:id w:val="1156"/>
                <w:alias w:val="MR-09-T02-R2-C2"/>
                <w:tag w:val="MR-09-T02-R2-C2"/>
                <w:text w:multiLine="1"/>
              </w:sdtPr>
              <w:sdtContent>
                <w:r>
                  <w:rPr>
                    <w:rFonts w:ascii="Arial" w:hAnsi="Arial"/>
                    <w:color w:val="62716E"/>
                    <w:sz w:val="18"/>
                  </w:rPr>
                  <w:t>[Complete]</w:t>
                </w:r>
              </w:sdtContent>
            </w:sdt>
          </w:p>
        </w:tc>
        <w:tc>
          <w:tcPr>
            <w:tcW w:type="dxa" w:w="3390"/>
            <w:vAlign w:val="top"/>
          </w:tcPr>
          <w:p>
            <w:pPr>
              <w:keepNext w:val="0"/>
              <w:spacing w:after="20"/>
            </w:pPr>
            <w:sdt>
              <w:sdtPr>
                <w:id w:val="1157"/>
                <w:alias w:val="MR-09-T02-R2-C3"/>
                <w:tag w:val="MR-09-T02-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158"/>
                <w:alias w:val="MR-09-T02-R3-C1"/>
                <w:tag w:val="MR-09-T02-R3-C1"/>
                <w:text w:multiLine="1"/>
              </w:sdtPr>
              <w:sdtContent>
                <w:r>
                  <w:rPr>
                    <w:rFonts w:ascii="Arial" w:hAnsi="Arial"/>
                    <w:color w:val="62716E"/>
                    <w:sz w:val="18"/>
                  </w:rPr>
                  <w:t>[Complete]</w:t>
                </w:r>
              </w:sdtContent>
            </w:sdt>
          </w:p>
        </w:tc>
        <w:tc>
          <w:tcPr>
            <w:tcW w:type="dxa" w:w="3572"/>
            <w:vAlign w:val="top"/>
          </w:tcPr>
          <w:p>
            <w:pPr>
              <w:keepNext w:val="0"/>
              <w:spacing w:after="20"/>
            </w:pPr>
            <w:sdt>
              <w:sdtPr>
                <w:id w:val="1159"/>
                <w:alias w:val="MR-09-T02-R3-C2"/>
                <w:tag w:val="MR-09-T02-R3-C2"/>
                <w:text w:multiLine="1"/>
              </w:sdtPr>
              <w:sdtContent>
                <w:r>
                  <w:rPr>
                    <w:rFonts w:ascii="Arial" w:hAnsi="Arial"/>
                    <w:color w:val="62716E"/>
                    <w:sz w:val="18"/>
                  </w:rPr>
                  <w:t>[Complete]</w:t>
                </w:r>
              </w:sdtContent>
            </w:sdt>
          </w:p>
        </w:tc>
        <w:tc>
          <w:tcPr>
            <w:tcW w:type="dxa" w:w="3390"/>
            <w:vAlign w:val="top"/>
          </w:tcPr>
          <w:p>
            <w:pPr>
              <w:keepNext w:val="0"/>
              <w:spacing w:after="20"/>
            </w:pPr>
            <w:sdt>
              <w:sdtPr>
                <w:id w:val="1160"/>
                <w:alias w:val="MR-09-T02-R3-C3"/>
                <w:tag w:val="MR-09-T02-R3-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Explain how detection limits, inaccessible areas, clouds, lost samples or monitoring failures affect the result. A non-detection is interpreted through the coverage and detection capability of the method, not automatically as zero.</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161"/>
                <w:alias w:val="MR-response-26"/>
                <w:tag w:val="MR-response-26"/>
                <w:text w:multiLine="1"/>
              </w:sdtPr>
              <w:sdtContent>
                <w:r>
                  <w:rPr>
                    <w:rFonts w:ascii="Arial" w:hAnsi="Arial"/>
                    <w:color w:val="62716E"/>
                    <w:sz w:val="18"/>
                  </w:rPr>
                  <w:t>[Enter response and exact evidence references.]</w:t>
                </w:r>
              </w:sdtContent>
            </w:sdt>
          </w:p>
        </w:tc>
      </w:tr>
    </w:tbl>
    <w:p>
      <w:pPr>
        <w:spacing w:after="20" w:line="40" w:lineRule="exact"/>
      </w:pPr>
      <w:r>
        <w:rPr>
          <w:sz w:val="4"/>
        </w:rPr>
      </w:r>
    </w:p>
    <w:p>
      <w:bookmarkStart w:id="369" w:name="MR_10"/>
      <w:pPr>
        <w:pStyle w:val="Heading1"/>
        <w:keepNext/>
        <w:pageBreakBefore/>
      </w:pPr>
      <w:r>
        <w:rPr>
          <w:rFonts w:ascii="Arial" w:hAnsi="Arial" w:eastAsia="Arial" w:cs="Arial"/>
          <w:b w:val="0"/>
          <w:color w:val="215F52"/>
          <w:sz w:val="38"/>
        </w:rPr>
        <w:t>10  Deviations, corrections and parameter changes</w:t>
      </w:r>
      <w:bookmarkEnd w:id="369"/>
    </w:p>
    <w:p>
      <w:pPr>
        <w:keepNext/>
        <w:spacing w:after="100"/>
      </w:pPr>
      <w:r>
        <w:rPr>
          <w:rFonts w:ascii="Arial" w:hAnsi="Arial" w:eastAsia="Arial" w:cs="Arial"/>
          <w:b w:val="0"/>
          <w:color w:val="62716E"/>
          <w:sz w:val="16"/>
        </w:rPr>
        <w:t>[1] S-18; CYC-06; P-03; P-13; P-14; FRM-05</w:t>
      </w:r>
    </w:p>
    <w:p>
      <w:pPr>
        <w:spacing w:after="100"/>
      </w:pPr>
      <w:r>
        <w:rPr>
          <w:rFonts w:ascii="Arial" w:hAnsi="Arial" w:eastAsia="Arial" w:cs="Arial"/>
          <w:b w:val="0"/>
          <w:color w:val="243A36"/>
          <w:sz w:val="19"/>
        </w:rPr>
        <w:t>Separate a deviation in implementation, a data correction, a change to the method, and a proposed change not yet authorized. Preserve the original PD and frozen forecast, with a dated link to each approved amendment.</w:t>
      </w:r>
    </w:p>
    <w:p>
      <w:pPr>
        <w:keepNext/>
        <w:spacing w:after="100"/>
      </w:pPr>
      <w:r>
        <w:rPr>
          <w:rFonts w:ascii="Arial" w:hAnsi="Arial" w:eastAsia="Arial" w:cs="Arial"/>
          <w:b/>
          <w:color w:val="215F52"/>
          <w:sz w:val="20"/>
        </w:rPr>
        <w:t>MR-10-T01 / Deviation and decision register</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PD provision / planned approach / event date</w:t>
            </w:r>
          </w:p>
        </w:tc>
        <w:tc>
          <w:tcPr>
            <w:tcW w:type="dxa" w:w="3572"/>
            <w:vAlign w:val="center"/>
            <w:shd w:fill="F1F5F2"/>
          </w:tcPr>
          <w:p>
            <w:pPr>
              <w:keepNext/>
              <w:spacing w:after="20"/>
            </w:pPr>
            <w:r>
              <w:rPr>
                <w:rFonts w:ascii="Arial" w:hAnsi="Arial" w:eastAsia="Arial" w:cs="Arial"/>
                <w:b/>
                <w:color w:val="215F52"/>
                <w:sz w:val="17"/>
              </w:rPr>
              <w:t>Actual approach, reason and affected variables</w:t>
            </w:r>
          </w:p>
        </w:tc>
        <w:tc>
          <w:tcPr>
            <w:tcW w:type="dxa" w:w="3390"/>
            <w:vAlign w:val="center"/>
            <w:shd w:fill="F1F5F2"/>
          </w:tcPr>
          <w:p>
            <w:pPr>
              <w:keepNext/>
              <w:spacing w:after="20"/>
            </w:pPr>
            <w:r>
              <w:rPr>
                <w:rFonts w:ascii="Arial" w:hAnsi="Arial" w:eastAsia="Arial" w:cs="Arial"/>
                <w:b/>
                <w:color w:val="215F52"/>
                <w:sz w:val="17"/>
              </w:rPr>
              <w:t>Approval, effective period, finding and remedy</w:t>
            </w:r>
          </w:p>
        </w:tc>
      </w:tr>
      <w:tr>
        <w:trPr>
          <w:trHeight w:val="442" w:hRule="atLeast"/>
        </w:trPr>
        <w:tc>
          <w:tcPr>
            <w:tcW w:type="dxa" w:w="2778"/>
            <w:vAlign w:val="top"/>
          </w:tcPr>
          <w:p>
            <w:pPr>
              <w:keepNext w:val="0"/>
              <w:spacing w:after="20"/>
            </w:pPr>
            <w:sdt>
              <w:sdtPr>
                <w:id w:val="1162"/>
                <w:alias w:val="MR-10-T01-R1-C1"/>
                <w:tag w:val="MR-10-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163"/>
                <w:alias w:val="MR-10-T01-R1-C2"/>
                <w:tag w:val="MR-10-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164"/>
                <w:alias w:val="MR-10-T01-R1-C3"/>
                <w:tag w:val="MR-10-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165"/>
                <w:alias w:val="MR-10-T01-R2-C1"/>
                <w:tag w:val="MR-10-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166"/>
                <w:alias w:val="MR-10-T01-R2-C2"/>
                <w:tag w:val="MR-10-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167"/>
                <w:alias w:val="MR-10-T01-R2-C3"/>
                <w:tag w:val="MR-10-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168"/>
                <w:alias w:val="MR-10-T01-R3-C1"/>
                <w:tag w:val="MR-10-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169"/>
                <w:alias w:val="MR-10-T01-R3-C2"/>
                <w:tag w:val="MR-10-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170"/>
                <w:alias w:val="MR-10-T01-R3-C3"/>
                <w:tag w:val="MR-10-T01-R3-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color w:val="215F52"/>
          <w:sz w:val="20"/>
        </w:rPr>
        <w:t>MR-10-T02 / Parameter change and account effect</w:t>
      </w:r>
    </w:p>
    <w:p>
      <w:pPr>
        <w:keepNext/>
        <w:spacing w:after="100"/>
      </w:pPr>
      <w:r>
        <w:rPr>
          <w:rFonts w:ascii="Arial" w:hAnsi="Arial" w:eastAsia="Arial" w:cs="Arial"/>
          <w:b/>
          <w:color w:val="215F52"/>
          <w:sz w:val="17"/>
        </w:rPr>
        <w:t>MR-10-T02 / Calculation notation</w:t>
      </w:r>
    </w:p>
    <w:p>
      <w:pPr>
        <w:keepNext/>
        <w:spacing w:after="60" w:before="20"/>
        <w:jc w:val="center"/>
      </w:pPr>
      <m:oMath>
        <m:sSub>
          <m:e>
            <m:r>
              <w:rPr>
                <w:sz w:val="20"/>
                <w:rFonts w:ascii="Cambria Math" w:hAnsi="Cambria Math"/>
              </w:rPr>
              <m:t>x</m:t>
            </m:r>
          </m:e>
          <m:sub>
            <m:r>
              <w:rPr>
                <w:sz w:val="20"/>
                <w:rFonts w:ascii="Cambria Math" w:hAnsi="Cambria Math"/>
              </w:rPr>
              <m:rPr>
                <m:sty m:val="p"/>
              </m:rPr>
              <m:t>ℓ</m:t>
            </m:r>
          </m:sub>
        </m:sSub>
        <m:r>
          <w:rPr>
            <w:sz w:val="20"/>
            <w:rFonts w:ascii="Cambria Math" w:hAnsi="Cambria Math"/>
          </w:rPr>
          <m:t> </m:t>
        </m:r>
        <m:d>
          <m:dPr>
            <m:begChr m:val="["/>
            <m:endChr m:val="]"/>
            <m:sepChr m:val=""/>
            <m:grow/>
          </m:dPr>
          <m:e>
            <m:sSub>
              <m:e>
                <m:r>
                  <w:rPr>
                    <w:sz w:val="20"/>
                    <w:rFonts w:ascii="Cambria Math" w:hAnsi="Cambria Math"/>
                  </w:rPr>
                  <m:t>u</m:t>
                </m:r>
              </m:e>
              <m:sub>
                <m:r>
                  <w:rPr>
                    <w:sz w:val="20"/>
                    <w:rFonts w:ascii="Cambria Math" w:hAnsi="Cambria Math"/>
                  </w:rPr>
                  <m:rPr>
                    <m:sty m:val="p"/>
                  </m:rPr>
                  <m:t>ℓ</m:t>
                </m:r>
              </m:sub>
            </m:sSub>
          </m:e>
        </m:d>
      </m:oMath>
    </w:p>
    <w:p>
      <w:pPr>
        <w:keepNext/>
        <w:spacing w:after="60"/>
      </w:pPr>
      <w:r>
        <w:rPr>
          <w:rFonts w:ascii="Arial" w:hAnsi="Arial" w:eastAsia="Arial" w:cs="Arial"/>
          <w:b w:val="0"/>
          <w:color w:val="215F52"/>
          <w:sz w:val="17"/>
        </w:rPr>
        <w:t>x_l is the identified observation, input, or output; u_l is its declared unit. Record the exact equation and source file, worksheet, cell/range, period, and status. This notation does not prescribe an estimator.</w:t>
      </w:r>
    </w:p>
    <w:p>
      <w:pPr>
        <w:keepNext/>
        <w:spacing w:after="80"/>
      </w:pPr>
      <w:r>
        <w:rPr>
          <w:rFonts w:ascii="Arial" w:hAnsi="Arial" w:eastAsia="Arial" w:cs="Arial"/>
          <w:b w:val="0"/>
          <w:color w:val="62716E"/>
          <w:sz w:val="16"/>
        </w:rPr>
        <w:t>Basis: F-01; T-01. Calculation location: Evidence!A:J; Components!F:L.</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Symbol / unit / FRM-05 field</w:t>
            </w:r>
          </w:p>
        </w:tc>
        <w:tc>
          <w:tcPr>
            <w:tcW w:type="dxa" w:w="3572"/>
            <w:vAlign w:val="center"/>
            <w:shd w:fill="F1F5F2"/>
          </w:tcPr>
          <w:p>
            <w:pPr>
              <w:keepNext/>
              <w:spacing w:after="20"/>
            </w:pPr>
            <w:r>
              <w:rPr>
                <w:rFonts w:ascii="Arial" w:hAnsi="Arial" w:eastAsia="Arial" w:cs="Arial"/>
                <w:b/>
                <w:color w:val="215F52"/>
                <w:sz w:val="17"/>
              </w:rPr>
              <w:t>Old and new values, versions and evidence</w:t>
            </w:r>
          </w:p>
        </w:tc>
        <w:tc>
          <w:tcPr>
            <w:tcW w:type="dxa" w:w="3390"/>
            <w:vAlign w:val="center"/>
            <w:shd w:fill="F1F5F2"/>
          </w:tcPr>
          <w:p>
            <w:pPr>
              <w:keepNext/>
              <w:spacing w:after="20"/>
            </w:pPr>
            <w:r>
              <w:rPr>
                <w:rFonts w:ascii="Arial" w:hAnsi="Arial" w:eastAsia="Arial" w:cs="Arial"/>
                <w:b/>
                <w:color w:val="215F52"/>
                <w:sz w:val="17"/>
              </w:rPr>
              <w:t>Baseline, project, leakage and net effects</w:t>
            </w:r>
          </w:p>
        </w:tc>
      </w:tr>
      <w:tr>
        <w:trPr>
          <w:trHeight w:val="442" w:hRule="atLeast"/>
        </w:trPr>
        <w:tc>
          <w:tcPr>
            <w:tcW w:type="dxa" w:w="2778"/>
            <w:vAlign w:val="top"/>
          </w:tcPr>
          <w:p>
            <w:pPr>
              <w:keepNext w:val="0"/>
              <w:spacing w:after="20"/>
            </w:pPr>
            <w:sdt>
              <w:sdtPr>
                <w:id w:val="1171"/>
                <w:alias w:val="MR-10-T02-R1-C1"/>
                <w:tag w:val="MR-10-T02-R1-C1"/>
                <w:text w:multiLine="1"/>
              </w:sdtPr>
              <w:sdtContent>
                <w:r>
                  <w:rPr>
                    <w:rFonts w:ascii="Arial" w:hAnsi="Arial"/>
                    <w:color w:val="62716E"/>
                    <w:sz w:val="18"/>
                  </w:rPr>
                  <w:t>[Complete]</w:t>
                </w:r>
              </w:sdtContent>
            </w:sdt>
          </w:p>
        </w:tc>
        <w:tc>
          <w:tcPr>
            <w:tcW w:type="dxa" w:w="3572"/>
            <w:vAlign w:val="top"/>
          </w:tcPr>
          <w:p>
            <w:pPr>
              <w:keepNext w:val="0"/>
              <w:spacing w:after="20"/>
            </w:pPr>
            <w:sdt>
              <w:sdtPr>
                <w:id w:val="1172"/>
                <w:alias w:val="MR-10-T02-R1-C2"/>
                <w:tag w:val="MR-10-T02-R1-C2"/>
                <w:text w:multiLine="1"/>
              </w:sdtPr>
              <w:sdtContent>
                <w:r>
                  <w:rPr>
                    <w:rFonts w:ascii="Arial" w:hAnsi="Arial"/>
                    <w:color w:val="62716E"/>
                    <w:sz w:val="18"/>
                  </w:rPr>
                  <w:t>[Complete]</w:t>
                </w:r>
              </w:sdtContent>
            </w:sdt>
          </w:p>
        </w:tc>
        <w:tc>
          <w:tcPr>
            <w:tcW w:type="dxa" w:w="3390"/>
            <w:vAlign w:val="top"/>
          </w:tcPr>
          <w:p>
            <w:pPr>
              <w:keepNext w:val="0"/>
              <w:spacing w:after="20"/>
            </w:pPr>
            <w:sdt>
              <w:sdtPr>
                <w:id w:val="1173"/>
                <w:alias w:val="MR-10-T02-R1-C3"/>
                <w:tag w:val="MR-10-T02-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174"/>
                <w:alias w:val="MR-10-T02-R2-C1"/>
                <w:tag w:val="MR-10-T02-R2-C1"/>
                <w:text w:multiLine="1"/>
              </w:sdtPr>
              <w:sdtContent>
                <w:r>
                  <w:rPr>
                    <w:rFonts w:ascii="Arial" w:hAnsi="Arial"/>
                    <w:color w:val="62716E"/>
                    <w:sz w:val="18"/>
                  </w:rPr>
                  <w:t>[Complete]</w:t>
                </w:r>
              </w:sdtContent>
            </w:sdt>
          </w:p>
        </w:tc>
        <w:tc>
          <w:tcPr>
            <w:tcW w:type="dxa" w:w="3572"/>
            <w:vAlign w:val="top"/>
          </w:tcPr>
          <w:p>
            <w:pPr>
              <w:keepNext w:val="0"/>
              <w:spacing w:after="20"/>
            </w:pPr>
            <w:sdt>
              <w:sdtPr>
                <w:id w:val="1175"/>
                <w:alias w:val="MR-10-T02-R2-C2"/>
                <w:tag w:val="MR-10-T02-R2-C2"/>
                <w:text w:multiLine="1"/>
              </w:sdtPr>
              <w:sdtContent>
                <w:r>
                  <w:rPr>
                    <w:rFonts w:ascii="Arial" w:hAnsi="Arial"/>
                    <w:color w:val="62716E"/>
                    <w:sz w:val="18"/>
                  </w:rPr>
                  <w:t>[Complete]</w:t>
                </w:r>
              </w:sdtContent>
            </w:sdt>
          </w:p>
        </w:tc>
        <w:tc>
          <w:tcPr>
            <w:tcW w:type="dxa" w:w="3390"/>
            <w:vAlign w:val="top"/>
          </w:tcPr>
          <w:p>
            <w:pPr>
              <w:keepNext w:val="0"/>
              <w:spacing w:after="20"/>
            </w:pPr>
            <w:sdt>
              <w:sdtPr>
                <w:id w:val="1176"/>
                <w:alias w:val="MR-10-T02-R2-C3"/>
                <w:tag w:val="MR-10-T02-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177"/>
                <w:alias w:val="MR-10-T02-R3-C1"/>
                <w:tag w:val="MR-10-T02-R3-C1"/>
                <w:text w:multiLine="1"/>
              </w:sdtPr>
              <w:sdtContent>
                <w:r>
                  <w:rPr>
                    <w:rFonts w:ascii="Arial" w:hAnsi="Arial"/>
                    <w:color w:val="62716E"/>
                    <w:sz w:val="18"/>
                  </w:rPr>
                  <w:t>[Complete]</w:t>
                </w:r>
              </w:sdtContent>
            </w:sdt>
          </w:p>
        </w:tc>
        <w:tc>
          <w:tcPr>
            <w:tcW w:type="dxa" w:w="3572"/>
            <w:vAlign w:val="top"/>
          </w:tcPr>
          <w:p>
            <w:pPr>
              <w:keepNext w:val="0"/>
              <w:spacing w:after="20"/>
            </w:pPr>
            <w:sdt>
              <w:sdtPr>
                <w:id w:val="1178"/>
                <w:alias w:val="MR-10-T02-R3-C2"/>
                <w:tag w:val="MR-10-T02-R3-C2"/>
                <w:text w:multiLine="1"/>
              </w:sdtPr>
              <w:sdtContent>
                <w:r>
                  <w:rPr>
                    <w:rFonts w:ascii="Arial" w:hAnsi="Arial"/>
                    <w:color w:val="62716E"/>
                    <w:sz w:val="18"/>
                  </w:rPr>
                  <w:t>[Complete]</w:t>
                </w:r>
              </w:sdtContent>
            </w:sdt>
          </w:p>
        </w:tc>
        <w:tc>
          <w:tcPr>
            <w:tcW w:type="dxa" w:w="3390"/>
            <w:vAlign w:val="top"/>
          </w:tcPr>
          <w:p>
            <w:pPr>
              <w:keepNext w:val="0"/>
              <w:spacing w:after="20"/>
            </w:pPr>
            <w:sdt>
              <w:sdtPr>
                <w:id w:val="1179"/>
                <w:alias w:val="MR-10-T02-R3-C3"/>
                <w:tag w:val="MR-10-T02-R3-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Record AP-01 through AP-12 by applicability, including the exact unchanged-profile reference where retained. State whether revalidation or a restriction is required by the governing rules. Prior validation does not close a newly identified error.</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180"/>
                <w:alias w:val="MR-response-29"/>
                <w:tag w:val="MR-response-29"/>
                <w:text w:multiLine="1"/>
              </w:sdtPr>
              <w:sdtContent>
                <w:r>
                  <w:rPr>
                    <w:rFonts w:ascii="Arial" w:hAnsi="Arial"/>
                    <w:color w:val="62716E"/>
                    <w:sz w:val="18"/>
                  </w:rPr>
                  <w:t>[Enter response and exact evidence references.]</w:t>
                </w:r>
              </w:sdtContent>
            </w:sdt>
          </w:p>
        </w:tc>
      </w:tr>
    </w:tbl>
    <w:p>
      <w:pPr>
        <w:spacing w:after="20" w:line="40" w:lineRule="exact"/>
      </w:pPr>
      <w:r>
        <w:rPr>
          <w:sz w:val="4"/>
        </w:rPr>
      </w:r>
    </w:p>
    <w:p>
      <w:bookmarkStart w:id="382" w:name="MR_11"/>
      <w:pPr>
        <w:pStyle w:val="Heading1"/>
        <w:keepNext/>
        <w:pageBreakBefore/>
      </w:pPr>
      <w:r>
        <w:rPr>
          <w:rFonts w:ascii="Arial" w:hAnsi="Arial" w:eastAsia="Arial" w:cs="Arial"/>
          <w:b w:val="0"/>
          <w:color w:val="215F52"/>
          <w:sz w:val="38"/>
        </w:rPr>
        <w:t>11  Counterfactual for the monitored interval</w:t>
      </w:r>
      <w:bookmarkEnd w:id="382"/>
    </w:p>
    <w:p>
      <w:pPr>
        <w:keepNext/>
        <w:spacing w:after="100"/>
      </w:pPr>
      <w:r>
        <w:rPr>
          <w:rFonts w:ascii="Arial" w:hAnsi="Arial" w:eastAsia="Arial" w:cs="Arial"/>
          <w:b w:val="0"/>
          <w:color w:val="62716E"/>
          <w:sz w:val="16"/>
        </w:rPr>
        <w:t>[1] S-07; S-08; S-18; AO-05; F-B01; F-B02; P-13; MIG-05</w:t>
      </w:r>
    </w:p>
    <w:p>
      <w:pPr>
        <w:spacing w:after="100"/>
      </w:pPr>
      <w:r>
        <w:rPr>
          <w:rFonts w:ascii="Arial" w:hAnsi="Arial" w:eastAsia="Arial" w:cs="Arial"/>
          <w:b w:val="0"/>
          <w:color w:val="243A36"/>
          <w:sz w:val="19"/>
        </w:rPr>
        <w:t>Identify the approved baseline applicable to this interval, including reference region, drivers, pools, gases and allocation. Distinguish observed conditions from the counterfactual; the baseline does not become an observation because the account is ex post.</w:t>
      </w:r>
    </w:p>
    <w:p>
      <w:pPr>
        <w:keepNext/>
        <w:spacing w:after="100"/>
      </w:pPr>
      <w:r>
        <w:rPr>
          <w:rFonts w:ascii="Arial" w:hAnsi="Arial" w:eastAsia="Arial" w:cs="Arial"/>
          <w:b/>
          <w:color w:val="215F52"/>
          <w:sz w:val="20"/>
        </w:rPr>
        <w:t>MR-11-T01 / Retained baseline components</w:t>
      </w:r>
    </w:p>
    <w:p>
      <w:pPr>
        <w:keepNext/>
        <w:spacing w:after="100"/>
      </w:pPr>
      <w:r>
        <w:rPr>
          <w:rFonts w:ascii="Arial" w:hAnsi="Arial" w:eastAsia="Arial" w:cs="Arial"/>
          <w:b/>
          <w:color w:val="215F52"/>
          <w:sz w:val="17"/>
        </w:rPr>
        <w:t>MR-11-T01 / Calculation notation</w:t>
      </w:r>
    </w:p>
    <w:p>
      <w:pPr>
        <w:keepNext/>
        <w:spacing w:after="60" w:before="20"/>
        <w:jc w:val="center"/>
      </w:pPr>
      <m:oMath>
        <m:sSub>
          <m:e>
            <m:r>
              <w:rPr>
                <w:sz w:val="20"/>
                <w:rFonts w:ascii="Cambria Math" w:hAnsi="Cambria Math"/>
              </w:rPr>
              <m:t>N</m:t>
            </m:r>
          </m:e>
          <m:sub>
            <m:r>
              <w:rPr>
                <w:sz w:val="20"/>
                <w:rFonts w:ascii="Cambria Math" w:hAnsi="Cambria Math"/>
              </w:rPr>
              <m:rPr>
                <m:sty m:val="p"/>
              </m:rPr>
              <m:t>B</m:t>
            </m:r>
            <m:r>
              <w:rPr>
                <w:sz w:val="20"/>
                <w:rFonts w:ascii="Cambria Math" w:hAnsi="Cambria Math"/>
              </w:rPr>
              <m:rPr>
                <m:sty m:val="p"/>
              </m:rPr>
              <m:t>L</m:t>
            </m:r>
            <m:r>
              <w:rPr>
                <w:sz w:val="20"/>
                <w:rFonts w:ascii="Cambria Math" w:hAnsi="Cambria Math"/>
              </w:rPr>
              <m:rPr>
                <m:sty m:val="p"/>
              </m:rPr>
              <m:t>,</m:t>
            </m:r>
            <m:r>
              <w:rPr>
                <w:sz w:val="20"/>
                <w:rFonts w:ascii="Cambria Math" w:hAnsi="Cambria Math"/>
              </w:rPr>
              <m:t>t</m:t>
            </m:r>
          </m:sub>
        </m:sSub>
        <m:r>
          <w:rPr>
            <w:sz w:val="20"/>
            <w:rFonts w:ascii="Cambria Math" w:hAnsi="Cambria Math"/>
          </w:rPr>
          <m:rPr>
            <m:sty m:val="p"/>
          </m:rPr>
          <m:t>=</m:t>
        </m:r>
        <m:nary>
          <m:naryPr>
            <m:chr m:val="∑"/>
            <m:limLoc m:val="undOvr"/>
            <m:subHide m:val="off"/>
            <m:supHide m:val="on"/>
          </m:naryPr>
          <m:sub>
            <m:r>
              <w:rPr>
                <w:sz w:val="20"/>
                <w:rFonts w:ascii="Cambria Math" w:hAnsi="Cambria Math"/>
              </w:rPr>
              <m:rPr>
                <m:sty m:val="p"/>
              </m:rPr>
              <m:t>ℓ</m:t>
            </m:r>
            <m:r>
              <w:rPr>
                <w:sz w:val="20"/>
                <w:rFonts w:ascii="Cambria Math" w:hAnsi="Cambria Math"/>
              </w:rPr>
              <m:rPr>
                <m:sty m:val="p"/>
              </m:rPr>
              <m:t>∈</m:t>
            </m:r>
            <m:sSub>
              <m:e>
                <m:r>
                  <w:rPr>
                    <w:sz w:val="20"/>
                    <w:rFonts w:ascii="Cambria Math" w:hAnsi="Cambria Math"/>
                  </w:rPr>
                  <m:rPr>
                    <m:sty m:val="p"/>
                    <m:scr m:val="script"/>
                  </m:rPr>
                  <m:t>I</m:t>
                </m:r>
              </m:e>
              <m:sub>
                <m:r>
                  <w:rPr>
                    <w:sz w:val="20"/>
                    <w:rFonts w:ascii="Cambria Math" w:hAnsi="Cambria Math"/>
                  </w:rPr>
                  <m:rPr>
                    <m:sty m:val="p"/>
                  </m:rPr>
                  <m:t>B</m:t>
                </m:r>
                <m:r>
                  <w:rPr>
                    <w:sz w:val="20"/>
                    <w:rFonts w:ascii="Cambria Math" w:hAnsi="Cambria Math"/>
                  </w:rPr>
                  <m:rPr>
                    <m:sty m:val="p"/>
                  </m:rPr>
                  <m:t>L</m:t>
                </m:r>
                <m:r>
                  <w:rPr>
                    <w:sz w:val="20"/>
                    <w:rFonts w:ascii="Cambria Math" w:hAnsi="Cambria Math"/>
                  </w:rPr>
                  <m:rPr>
                    <m:sty m:val="p"/>
                  </m:rPr>
                  <m:t>,</m:t>
                </m:r>
                <m:r>
                  <w:rPr>
                    <w:sz w:val="20"/>
                    <w:rFonts w:ascii="Cambria Math" w:hAnsi="Cambria Math"/>
                  </w:rPr>
                  <m:t>t</m:t>
                </m:r>
              </m:sub>
            </m:sSub>
          </m:sub>
          <m:sup>
            <m:r>
              <w:rPr>
                <w:sz w:val="20"/>
                <w:rFonts w:ascii="Cambria Math" w:hAnsi="Cambria Math"/>
              </w:rPr>
              <m:t>​</m:t>
            </m:r>
          </m:sup>
          <m:e>
            <m:sSub>
              <m:e>
                <m:r>
                  <w:rPr>
                    <w:sz w:val="20"/>
                    <w:rFonts w:ascii="Cambria Math" w:hAnsi="Cambria Math"/>
                  </w:rPr>
                  <m:t>q</m:t>
                </m:r>
              </m:e>
              <m:sub>
                <m:r>
                  <w:rPr>
                    <w:sz w:val="20"/>
                    <w:rFonts w:ascii="Cambria Math" w:hAnsi="Cambria Math"/>
                  </w:rPr>
                  <m:rPr>
                    <m:sty m:val="p"/>
                  </m:rPr>
                  <m:t>ℓ</m:t>
                </m:r>
                <m:r>
                  <w:rPr>
                    <w:sz w:val="20"/>
                    <w:rFonts w:ascii="Cambria Math" w:hAnsi="Cambria Math"/>
                  </w:rPr>
                  <m:rPr>
                    <m:sty m:val="p"/>
                  </m:rPr>
                  <m:t>,</m:t>
                </m:r>
                <m:r>
                  <w:rPr>
                    <w:sz w:val="20"/>
                    <w:rFonts w:ascii="Cambria Math" w:hAnsi="Cambria Math"/>
                  </w:rPr>
                  <m:rPr>
                    <m:sty m:val="p"/>
                  </m:rPr>
                  <m:t>B</m:t>
                </m:r>
                <m:r>
                  <w:rPr>
                    <w:sz w:val="20"/>
                    <w:rFonts w:ascii="Cambria Math" w:hAnsi="Cambria Math"/>
                  </w:rPr>
                  <m:rPr>
                    <m:sty m:val="p"/>
                  </m:rPr>
                  <m:t>L</m:t>
                </m:r>
                <m:r>
                  <w:rPr>
                    <w:sz w:val="20"/>
                    <w:rFonts w:ascii="Cambria Math" w:hAnsi="Cambria Math"/>
                  </w:rPr>
                  <m:rPr>
                    <m:sty m:val="p"/>
                  </m:rPr>
                  <m:t>,</m:t>
                </m:r>
                <m:r>
                  <w:rPr>
                    <w:sz w:val="20"/>
                    <w:rFonts w:ascii="Cambria Math" w:hAnsi="Cambria Math"/>
                  </w:rPr>
                  <m:t>t</m:t>
                </m:r>
              </m:sub>
            </m:sSub>
          </m:e>
        </m:nary>
      </m:oMath>
    </w:p>
    <w:p>
      <w:pPr>
        <w:keepNext/>
        <w:spacing w:after="60"/>
      </w:pPr>
      <w:r>
        <w:rPr>
          <w:rFonts w:ascii="Arial" w:hAnsi="Arial" w:eastAsia="Arial" w:cs="Arial"/>
          <w:b w:val="0"/>
          <w:color w:val="215F52"/>
          <w:sz w:val="17"/>
        </w:rPr>
        <w:t>Baseline inputs belong to the approved counterfactual and matched period. Do not enter a subtotal that already deducts project emissions as N_BL and deduct those emissions again. Define each driver, pool, and gas and keep the original cell expression.</w:t>
      </w:r>
    </w:p>
    <w:p>
      <w:pPr>
        <w:keepNext/>
        <w:spacing w:after="80"/>
      </w:pPr>
      <w:r>
        <w:rPr>
          <w:rFonts w:ascii="Arial" w:hAnsi="Arial" w:eastAsia="Arial" w:cs="Arial"/>
          <w:b w:val="0"/>
          <w:color w:val="62716E"/>
          <w:sz w:val="16"/>
        </w:rPr>
        <w:t>Basis: M04.4; M04.5; P-13. Calculation location: Components!D=BL; ExAnte!F; ExPost!F.</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Driver / pool / gas / period</w:t>
            </w:r>
          </w:p>
        </w:tc>
        <w:tc>
          <w:tcPr>
            <w:tcW w:type="dxa" w:w="3572"/>
            <w:vAlign w:val="center"/>
            <w:shd w:fill="F1F5F2"/>
          </w:tcPr>
          <w:p>
            <w:pPr>
              <w:keepNext/>
              <w:spacing w:after="20"/>
            </w:pPr>
            <w:r>
              <w:rPr>
                <w:rFonts w:ascii="Arial" w:hAnsi="Arial" w:eastAsia="Arial" w:cs="Arial"/>
                <w:b/>
                <w:color w:val="215F52"/>
                <w:sz w:val="17"/>
              </w:rPr>
              <w:t>Input, factor and net component mass</w:t>
            </w:r>
          </w:p>
        </w:tc>
        <w:tc>
          <w:tcPr>
            <w:tcW w:type="dxa" w:w="3390"/>
            <w:vAlign w:val="center"/>
            <w:shd w:fill="F1F5F2"/>
          </w:tcPr>
          <w:p>
            <w:pPr>
              <w:keepNext/>
              <w:spacing w:after="20"/>
            </w:pPr>
            <w:r>
              <w:rPr>
                <w:rFonts w:ascii="Arial" w:hAnsi="Arial" w:eastAsia="Arial" w:cs="Arial"/>
                <w:b/>
                <w:color w:val="215F52"/>
                <w:sz w:val="17"/>
              </w:rPr>
              <w:t>Equation, raw-source cell and approved basis</w:t>
            </w:r>
          </w:p>
        </w:tc>
      </w:tr>
      <w:tr>
        <w:trPr>
          <w:trHeight w:val="442" w:hRule="atLeast"/>
        </w:trPr>
        <w:tc>
          <w:tcPr>
            <w:tcW w:type="dxa" w:w="2778"/>
            <w:vAlign w:val="top"/>
          </w:tcPr>
          <w:p>
            <w:pPr>
              <w:keepNext w:val="0"/>
              <w:spacing w:after="20"/>
            </w:pPr>
            <w:sdt>
              <w:sdtPr>
                <w:id w:val="1181"/>
                <w:alias w:val="MR-11-T01-R1-C1"/>
                <w:tag w:val="MR-11-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182"/>
                <w:alias w:val="MR-11-T01-R1-C2"/>
                <w:tag w:val="MR-11-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183"/>
                <w:alias w:val="MR-11-T01-R1-C3"/>
                <w:tag w:val="MR-11-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184"/>
                <w:alias w:val="MR-11-T01-R2-C1"/>
                <w:tag w:val="MR-11-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185"/>
                <w:alias w:val="MR-11-T01-R2-C2"/>
                <w:tag w:val="MR-11-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186"/>
                <w:alias w:val="MR-11-T01-R2-C3"/>
                <w:tag w:val="MR-11-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187"/>
                <w:alias w:val="MR-11-T01-R3-C1"/>
                <w:tag w:val="MR-11-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188"/>
                <w:alias w:val="MR-11-T01-R3-C2"/>
                <w:tag w:val="MR-11-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189"/>
                <w:alias w:val="MR-11-T01-R3-C3"/>
                <w:tag w:val="MR-11-T01-R3-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190"/>
                <w:alias w:val="MR-11-T01-R4-C1"/>
                <w:tag w:val="MR-11-T01-R4-C1"/>
                <w:text w:multiLine="1"/>
              </w:sdtPr>
              <w:sdtContent>
                <w:r>
                  <w:rPr>
                    <w:rFonts w:ascii="Arial" w:hAnsi="Arial"/>
                    <w:color w:val="62716E"/>
                    <w:sz w:val="18"/>
                  </w:rPr>
                  <w:t>[Complete]</w:t>
                </w:r>
              </w:sdtContent>
            </w:sdt>
          </w:p>
        </w:tc>
        <w:tc>
          <w:tcPr>
            <w:tcW w:type="dxa" w:w="3572"/>
            <w:vAlign w:val="top"/>
          </w:tcPr>
          <w:p>
            <w:pPr>
              <w:keepNext w:val="0"/>
              <w:spacing w:after="20"/>
            </w:pPr>
            <w:sdt>
              <w:sdtPr>
                <w:id w:val="1191"/>
                <w:alias w:val="MR-11-T01-R4-C2"/>
                <w:tag w:val="MR-11-T01-R4-C2"/>
                <w:text w:multiLine="1"/>
              </w:sdtPr>
              <w:sdtContent>
                <w:r>
                  <w:rPr>
                    <w:rFonts w:ascii="Arial" w:hAnsi="Arial"/>
                    <w:color w:val="62716E"/>
                    <w:sz w:val="18"/>
                  </w:rPr>
                  <w:t>[Complete]</w:t>
                </w:r>
              </w:sdtContent>
            </w:sdt>
          </w:p>
        </w:tc>
        <w:tc>
          <w:tcPr>
            <w:tcW w:type="dxa" w:w="3390"/>
            <w:vAlign w:val="top"/>
          </w:tcPr>
          <w:p>
            <w:pPr>
              <w:keepNext w:val="0"/>
              <w:spacing w:after="20"/>
            </w:pPr>
            <w:sdt>
              <w:sdtPr>
                <w:id w:val="1192"/>
                <w:alias w:val="MR-11-T01-R4-C3"/>
                <w:tag w:val="MR-11-T01-R4-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Explain whether the original counterfactual is retained or changed, with the governing decision and matched effect on project and leakage calculations. A subtotal already net of project emissions is not a gross baseline input. Record applicable national reference or nesting obligations through the dated profile.</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193"/>
                <w:alias w:val="MR-response-31"/>
                <w:tag w:val="MR-response-31"/>
                <w:text w:multiLine="1"/>
              </w:sdtPr>
              <w:sdtContent>
                <w:r>
                  <w:rPr>
                    <w:rFonts w:ascii="Arial" w:hAnsi="Arial"/>
                    <w:color w:val="62716E"/>
                    <w:sz w:val="18"/>
                  </w:rPr>
                  <w:t>[Enter response and exact evidence references.]</w:t>
                </w:r>
              </w:sdtContent>
            </w:sdt>
          </w:p>
        </w:tc>
      </w:tr>
    </w:tbl>
    <w:p>
      <w:pPr>
        <w:spacing w:after="20" w:line="40" w:lineRule="exact"/>
      </w:pPr>
      <w:r>
        <w:rPr>
          <w:sz w:val="4"/>
        </w:rPr>
      </w:r>
    </w:p>
    <w:p>
      <w:bookmarkStart w:id="393" w:name="MR_12"/>
      <w:pPr>
        <w:pStyle w:val="Heading1"/>
        <w:keepNext/>
        <w:pageBreakBefore/>
      </w:pPr>
      <w:r>
        <w:rPr>
          <w:rFonts w:ascii="Arial" w:hAnsi="Arial" w:eastAsia="Arial" w:cs="Arial"/>
          <w:b w:val="0"/>
          <w:color w:val="215F52"/>
          <w:sz w:val="38"/>
        </w:rPr>
        <w:t>12  Actual project emissions and removals</w:t>
      </w:r>
      <w:bookmarkEnd w:id="393"/>
    </w:p>
    <w:p>
      <w:pPr>
        <w:keepNext/>
        <w:spacing w:after="100"/>
      </w:pPr>
      <w:r>
        <w:rPr>
          <w:rFonts w:ascii="Arial" w:hAnsi="Arial" w:eastAsia="Arial" w:cs="Arial"/>
          <w:b w:val="0"/>
          <w:color w:val="62716E"/>
          <w:sz w:val="16"/>
        </w:rPr>
        <w:t>[1] M04.4; M04.5; F-C01; F-C02; T-08; AP-07; P-02</w:t>
      </w:r>
    </w:p>
    <w:p>
      <w:pPr>
        <w:spacing w:after="100"/>
      </w:pPr>
      <w:r>
        <w:rPr>
          <w:rFonts w:ascii="Arial" w:hAnsi="Arial" w:eastAsia="Arial" w:cs="Arial"/>
          <w:b w:val="0"/>
          <w:color w:val="243A36"/>
          <w:sz w:val="19"/>
        </w:rPr>
        <w:t>Report observed project activity and supported conversions, including implementation emissions and any removals within the approved scope. Identify sources as included, excluded under a stated rule, or unresolved. Do not replace observations with an assumed ex-ante effectiveness.</w:t>
      </w:r>
    </w:p>
    <w:p>
      <w:pPr>
        <w:keepNext/>
        <w:spacing w:after="100"/>
      </w:pPr>
      <w:r>
        <w:rPr>
          <w:rFonts w:ascii="Arial" w:hAnsi="Arial" w:eastAsia="Arial" w:cs="Arial"/>
          <w:b/>
          <w:color w:val="215F52"/>
          <w:sz w:val="20"/>
        </w:rPr>
        <w:t>MR-12-T01 / Gas and source account</w:t>
      </w:r>
    </w:p>
    <w:p>
      <w:pPr>
        <w:keepNext/>
        <w:spacing w:after="100"/>
      </w:pPr>
      <w:r>
        <w:rPr>
          <w:rFonts w:ascii="Arial" w:hAnsi="Arial" w:eastAsia="Arial" w:cs="Arial"/>
          <w:b/>
          <w:color w:val="215F52"/>
          <w:sz w:val="17"/>
        </w:rPr>
        <w:t>MR-12-T01 / Calculation notation</w:t>
      </w:r>
    </w:p>
    <w:p>
      <w:pPr>
        <w:keepNext/>
        <w:spacing w:after="60" w:before="20"/>
        <w:jc w:val="center"/>
      </w:pPr>
      <m:oMath>
        <m:sSub>
          <m:e>
            <m:r>
              <w:rPr>
                <w:sz w:val="20"/>
                <w:rFonts w:ascii="Cambria Math" w:hAnsi="Cambria Math"/>
              </w:rPr>
              <m:t>N</m:t>
            </m:r>
          </m:e>
          <m:sub>
            <m:r>
              <w:rPr>
                <w:sz w:val="20"/>
                <w:rFonts w:ascii="Cambria Math" w:hAnsi="Cambria Math"/>
              </w:rPr>
              <m:t>s</m:t>
            </m:r>
            <m:r>
              <w:rPr>
                <w:sz w:val="20"/>
                <w:rFonts w:ascii="Cambria Math" w:hAnsi="Cambria Math"/>
              </w:rPr>
              <m:rPr>
                <m:sty m:val="p"/>
              </m:rPr>
              <m:t>,</m:t>
            </m:r>
            <m:r>
              <w:rPr>
                <w:sz w:val="20"/>
                <w:rFonts w:ascii="Cambria Math" w:hAnsi="Cambria Math"/>
              </w:rPr>
              <m:t>t</m:t>
            </m:r>
          </m:sub>
        </m:sSub>
        <m:r>
          <w:rPr>
            <w:sz w:val="20"/>
            <w:rFonts w:ascii="Cambria Math" w:hAnsi="Cambria Math"/>
          </w:rPr>
          <m:rPr>
            <m:sty m:val="p"/>
          </m:rPr>
          <m:t>=</m:t>
        </m:r>
        <m:sSub>
          <m:e>
            <m:r>
              <w:rPr>
                <w:sz w:val="20"/>
                <w:rFonts w:ascii="Cambria Math" w:hAnsi="Cambria Math"/>
              </w:rPr>
              <m:t>E</m:t>
            </m:r>
          </m:e>
          <m:sub>
            <m:r>
              <w:rPr>
                <w:sz w:val="20"/>
                <w:rFonts w:ascii="Cambria Math" w:hAnsi="Cambria Math"/>
              </w:rPr>
              <m:rPr>
                <m:sty m:val="p"/>
              </m:rPr>
              <m:t>C</m:t>
            </m:r>
            <m:sSub>
              <m:e>
                <m:r>
                  <w:rPr>
                    <w:sz w:val="20"/>
                    <w:rFonts w:ascii="Cambria Math" w:hAnsi="Cambria Math"/>
                  </w:rPr>
                  <m:rPr>
                    <m:sty m:val="p"/>
                  </m:rPr>
                  <m:t>O</m:t>
                </m:r>
              </m:e>
              <m:sub>
                <m:r>
                  <w:rPr>
                    <w:sz w:val="20"/>
                    <w:rFonts w:ascii="Cambria Math" w:hAnsi="Cambria Math"/>
                  </w:rPr>
                  <m:rPr>
                    <m:sty m:val="p"/>
                  </m:rPr>
                  <m:t>2</m:t>
                </m:r>
              </m:sub>
            </m:sSub>
            <m:r>
              <w:rPr>
                <w:sz w:val="20"/>
                <w:rFonts w:ascii="Cambria Math" w:hAnsi="Cambria Math"/>
              </w:rPr>
              <m:rPr>
                <m:sty m:val="p"/>
              </m:rPr>
              <m:t>,</m:t>
            </m:r>
            <m:r>
              <w:rPr>
                <w:sz w:val="20"/>
                <w:rFonts w:ascii="Cambria Math" w:hAnsi="Cambria Math"/>
              </w:rPr>
              <m:t>s</m:t>
            </m:r>
            <m:r>
              <w:rPr>
                <w:sz w:val="20"/>
                <w:rFonts w:ascii="Cambria Math" w:hAnsi="Cambria Math"/>
              </w:rPr>
              <m:rPr>
                <m:sty m:val="p"/>
              </m:rPr>
              <m:t>,</m:t>
            </m:r>
            <m:r>
              <w:rPr>
                <w:sz w:val="20"/>
                <w:rFonts w:ascii="Cambria Math" w:hAnsi="Cambria Math"/>
              </w:rPr>
              <m:t>t</m:t>
            </m:r>
          </m:sub>
        </m:sSub>
        <m:r>
          <w:rPr>
            <w:sz w:val="20"/>
            <w:rFonts w:ascii="Cambria Math" w:hAnsi="Cambria Math"/>
          </w:rPr>
          <m:rPr>
            <m:sty m:val="p"/>
          </m:rPr>
          <m:t>−</m:t>
        </m:r>
        <m:sSub>
          <m:e>
            <m:r>
              <w:rPr>
                <w:sz w:val="20"/>
                <w:rFonts w:ascii="Cambria Math" w:hAnsi="Cambria Math"/>
              </w:rPr>
              <m:t>R</m:t>
            </m:r>
          </m:e>
          <m:sub>
            <m:r>
              <w:rPr>
                <w:sz w:val="20"/>
                <w:rFonts w:ascii="Cambria Math" w:hAnsi="Cambria Math"/>
              </w:rPr>
              <m:rPr>
                <m:sty m:val="p"/>
              </m:rPr>
              <m:t>C</m:t>
            </m:r>
            <m:sSub>
              <m:e>
                <m:r>
                  <w:rPr>
                    <w:sz w:val="20"/>
                    <w:rFonts w:ascii="Cambria Math" w:hAnsi="Cambria Math"/>
                  </w:rPr>
                  <m:rPr>
                    <m:sty m:val="p"/>
                  </m:rPr>
                  <m:t>O</m:t>
                </m:r>
              </m:e>
              <m:sub>
                <m:r>
                  <w:rPr>
                    <w:sz w:val="20"/>
                    <w:rFonts w:ascii="Cambria Math" w:hAnsi="Cambria Math"/>
                  </w:rPr>
                  <m:rPr>
                    <m:sty m:val="p"/>
                  </m:rPr>
                  <m:t>2</m:t>
                </m:r>
              </m:sub>
            </m:sSub>
            <m:r>
              <w:rPr>
                <w:sz w:val="20"/>
                <w:rFonts w:ascii="Cambria Math" w:hAnsi="Cambria Math"/>
              </w:rPr>
              <m:rPr>
                <m:sty m:val="p"/>
              </m:rPr>
              <m:t>,</m:t>
            </m:r>
            <m:r>
              <w:rPr>
                <w:sz w:val="20"/>
                <w:rFonts w:ascii="Cambria Math" w:hAnsi="Cambria Math"/>
              </w:rPr>
              <m:t>s</m:t>
            </m:r>
            <m:r>
              <w:rPr>
                <w:sz w:val="20"/>
                <w:rFonts w:ascii="Cambria Math" w:hAnsi="Cambria Math"/>
              </w:rPr>
              <m:rPr>
                <m:sty m:val="p"/>
              </m:rPr>
              <m:t>,</m:t>
            </m:r>
            <m:r>
              <w:rPr>
                <w:sz w:val="20"/>
                <w:rFonts w:ascii="Cambria Math" w:hAnsi="Cambria Math"/>
              </w:rPr>
              <m:t>t</m:t>
            </m:r>
          </m:sub>
        </m:sSub>
        <m:r>
          <w:rPr>
            <w:sz w:val="20"/>
            <w:rFonts w:ascii="Cambria Math" w:hAnsi="Cambria Math"/>
          </w:rPr>
          <m:rPr>
            <m:sty m:val="p"/>
          </m:rPr>
          <m:t>+</m:t>
        </m:r>
        <m:nary>
          <m:naryPr>
            <m:chr m:val="∑"/>
            <m:limLoc m:val="undOvr"/>
            <m:subHide m:val="off"/>
            <m:supHide m:val="on"/>
          </m:naryPr>
          <m:sub>
            <m:r>
              <w:rPr>
                <w:sz w:val="20"/>
                <w:rFonts w:ascii="Cambria Math" w:hAnsi="Cambria Math"/>
              </w:rPr>
              <m:t>g</m:t>
            </m:r>
            <m:r>
              <w:rPr>
                <w:sz w:val="20"/>
                <w:rFonts w:ascii="Cambria Math" w:hAnsi="Cambria Math"/>
              </w:rPr>
              <m:rPr>
                <m:sty m:val="p"/>
              </m:rPr>
              <m:t>≠</m:t>
            </m:r>
            <m:r>
              <w:rPr>
                <w:sz w:val="20"/>
                <w:rFonts w:ascii="Cambria Math" w:hAnsi="Cambria Math"/>
              </w:rPr>
              <m:rPr>
                <m:sty m:val="p"/>
              </m:rPr>
              <m:t>C</m:t>
            </m:r>
            <m:sSub>
              <m:e>
                <m:r>
                  <w:rPr>
                    <w:sz w:val="20"/>
                    <w:rFonts w:ascii="Cambria Math" w:hAnsi="Cambria Math"/>
                  </w:rPr>
                  <m:rPr>
                    <m:sty m:val="p"/>
                  </m:rPr>
                  <m:t>O</m:t>
                </m:r>
              </m:e>
              <m:sub>
                <m:r>
                  <w:rPr>
                    <w:sz w:val="20"/>
                    <w:rFonts w:ascii="Cambria Math" w:hAnsi="Cambria Math"/>
                  </w:rPr>
                  <m:rPr>
                    <m:sty m:val="p"/>
                  </m:rPr>
                  <m:t>2</m:t>
                </m:r>
              </m:sub>
            </m:sSub>
          </m:sub>
          <m:sup>
            <m:r>
              <w:rPr>
                <w:sz w:val="20"/>
                <w:rFonts w:ascii="Cambria Math" w:hAnsi="Cambria Math"/>
              </w:rPr>
              <m:t>​</m:t>
            </m:r>
          </m:sup>
          <m:e>
            <m:sSub>
              <m:e>
                <m:r>
                  <w:rPr>
                    <w:sz w:val="20"/>
                    <w:rFonts w:ascii="Cambria Math" w:hAnsi="Cambria Math"/>
                  </w:rPr>
                  <m:rPr>
                    <m:sty m:val="p"/>
                  </m:rPr>
                  <m:t>G</m:t>
                </m:r>
                <m:r>
                  <w:rPr>
                    <w:sz w:val="20"/>
                    <w:rFonts w:ascii="Cambria Math" w:hAnsi="Cambria Math"/>
                  </w:rPr>
                  <m:rPr>
                    <m:sty m:val="p"/>
                  </m:rPr>
                  <m:t>W</m:t>
                </m:r>
                <m:r>
                  <w:rPr>
                    <w:sz w:val="20"/>
                    <w:rFonts w:ascii="Cambria Math" w:hAnsi="Cambria Math"/>
                  </w:rPr>
                  <m:rPr>
                    <m:sty m:val="p"/>
                  </m:rPr>
                  <m:t>P</m:t>
                </m:r>
              </m:e>
              <m:sub>
                <m:r>
                  <w:rPr>
                    <w:sz w:val="20"/>
                    <w:rFonts w:ascii="Cambria Math" w:hAnsi="Cambria Math"/>
                  </w:rPr>
                  <m:t>g</m:t>
                </m:r>
              </m:sub>
            </m:sSub>
          </m:e>
        </m:nary>
        <m:sSub>
          <m:e>
            <m:r>
              <w:rPr>
                <w:sz w:val="20"/>
                <w:rFonts w:ascii="Cambria Math" w:hAnsi="Cambria Math"/>
              </w:rPr>
              <m:t>E</m:t>
            </m:r>
          </m:e>
          <m:sub>
            <m:r>
              <w:rPr>
                <w:sz w:val="20"/>
                <w:rFonts w:ascii="Cambria Math" w:hAnsi="Cambria Math"/>
              </w:rPr>
              <m:t>g</m:t>
            </m:r>
            <m:r>
              <w:rPr>
                <w:sz w:val="20"/>
                <w:rFonts w:ascii="Cambria Math" w:hAnsi="Cambria Math"/>
              </w:rPr>
              <m:rPr>
                <m:sty m:val="p"/>
              </m:rPr>
              <m:t>,</m:t>
            </m:r>
            <m:r>
              <w:rPr>
                <w:sz w:val="20"/>
                <w:rFonts w:ascii="Cambria Math" w:hAnsi="Cambria Math"/>
              </w:rPr>
              <m:t>s</m:t>
            </m:r>
            <m:r>
              <w:rPr>
                <w:sz w:val="20"/>
                <w:rFonts w:ascii="Cambria Math" w:hAnsi="Cambria Math"/>
              </w:rPr>
              <m:rPr>
                <m:sty m:val="p"/>
              </m:rPr>
              <m:t>,</m:t>
            </m:r>
            <m:r>
              <w:rPr>
                <w:sz w:val="20"/>
                <w:rFonts w:ascii="Cambria Math" w:hAnsi="Cambria Math"/>
              </w:rPr>
              <m:t>t</m:t>
            </m:r>
          </m:sub>
        </m:sSub>
      </m:oMath>
    </w:p>
    <w:p>
      <w:pPr>
        <w:keepNext/>
        <w:spacing w:after="60"/>
      </w:pPr>
      <w:r>
        <w:rPr>
          <w:rFonts w:ascii="Arial" w:hAnsi="Arial" w:eastAsia="Arial" w:cs="Arial"/>
          <w:b w:val="0"/>
          <w:color w:val="215F52"/>
          <w:sz w:val="17"/>
        </w:rPr>
        <w:t>s is BL or PJ; E is emissions and R is CO2 removals. Record gas-specific masses and the adopted characterization source and horizon. Do not characterize an already characterized CO2e quantity again. The workbook imports these qualified component calculations.</w:t>
      </w:r>
    </w:p>
    <w:p>
      <w:pPr>
        <w:keepNext/>
        <w:spacing w:after="80"/>
      </w:pPr>
      <w:r>
        <w:rPr>
          <w:rFonts w:ascii="Arial" w:hAnsi="Arial" w:eastAsia="Arial" w:cs="Arial"/>
          <w:b w:val="0"/>
          <w:color w:val="62716E"/>
          <w:sz w:val="16"/>
        </w:rPr>
        <w:t>Basis: M04.4; AP-07. Calculation location: Components!F:L; Profile!B17.</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Source / sink / gas / period</w:t>
            </w:r>
          </w:p>
        </w:tc>
        <w:tc>
          <w:tcPr>
            <w:tcW w:type="dxa" w:w="3572"/>
            <w:vAlign w:val="center"/>
            <w:shd w:fill="F1F5F2"/>
          </w:tcPr>
          <w:p>
            <w:pPr>
              <w:keepNext/>
              <w:spacing w:after="20"/>
            </w:pPr>
            <w:r>
              <w:rPr>
                <w:rFonts w:ascii="Arial" w:hAnsi="Arial" w:eastAsia="Arial" w:cs="Arial"/>
                <w:b/>
                <w:color w:val="215F52"/>
                <w:sz w:val="17"/>
              </w:rPr>
              <w:t>Raw amount, unit, factor and net contribution</w:t>
            </w:r>
          </w:p>
        </w:tc>
        <w:tc>
          <w:tcPr>
            <w:tcW w:type="dxa" w:w="3390"/>
            <w:vAlign w:val="center"/>
            <w:shd w:fill="F1F5F2"/>
          </w:tcPr>
          <w:p>
            <w:pPr>
              <w:keepNext/>
              <w:spacing w:after="20"/>
            </w:pPr>
            <w:r>
              <w:rPr>
                <w:rFonts w:ascii="Arial" w:hAnsi="Arial" w:eastAsia="Arial" w:cs="Arial"/>
                <w:b/>
                <w:color w:val="215F52"/>
                <w:sz w:val="17"/>
              </w:rPr>
              <w:t>GWP source/horizon, conversion and evidence</w:t>
            </w:r>
          </w:p>
        </w:tc>
      </w:tr>
      <w:tr>
        <w:trPr>
          <w:trHeight w:val="442" w:hRule="atLeast"/>
        </w:trPr>
        <w:tc>
          <w:tcPr>
            <w:tcW w:type="dxa" w:w="2778"/>
            <w:vAlign w:val="top"/>
          </w:tcPr>
          <w:p>
            <w:pPr>
              <w:keepNext w:val="0"/>
              <w:spacing w:after="20"/>
            </w:pPr>
            <w:sdt>
              <w:sdtPr>
                <w:id w:val="1194"/>
                <w:alias w:val="MR-12-T01-R1-C1"/>
                <w:tag w:val="MR-12-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195"/>
                <w:alias w:val="MR-12-T01-R1-C2"/>
                <w:tag w:val="MR-12-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196"/>
                <w:alias w:val="MR-12-T01-R1-C3"/>
                <w:tag w:val="MR-12-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197"/>
                <w:alias w:val="MR-12-T01-R2-C1"/>
                <w:tag w:val="MR-12-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198"/>
                <w:alias w:val="MR-12-T01-R2-C2"/>
                <w:tag w:val="MR-12-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199"/>
                <w:alias w:val="MR-12-T01-R2-C3"/>
                <w:tag w:val="MR-12-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00"/>
                <w:alias w:val="MR-12-T01-R3-C1"/>
                <w:tag w:val="MR-12-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201"/>
                <w:alias w:val="MR-12-T01-R3-C2"/>
                <w:tag w:val="MR-12-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202"/>
                <w:alias w:val="MR-12-T01-R3-C3"/>
                <w:tag w:val="MR-12-T01-R3-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03"/>
                <w:alias w:val="MR-12-T01-R4-C1"/>
                <w:tag w:val="MR-12-T01-R4-C1"/>
                <w:text w:multiLine="1"/>
              </w:sdtPr>
              <w:sdtContent>
                <w:r>
                  <w:rPr>
                    <w:rFonts w:ascii="Arial" w:hAnsi="Arial"/>
                    <w:color w:val="62716E"/>
                    <w:sz w:val="18"/>
                  </w:rPr>
                  <w:t>[Complete]</w:t>
                </w:r>
              </w:sdtContent>
            </w:sdt>
          </w:p>
        </w:tc>
        <w:tc>
          <w:tcPr>
            <w:tcW w:type="dxa" w:w="3572"/>
            <w:vAlign w:val="top"/>
          </w:tcPr>
          <w:p>
            <w:pPr>
              <w:keepNext w:val="0"/>
              <w:spacing w:after="20"/>
            </w:pPr>
            <w:sdt>
              <w:sdtPr>
                <w:id w:val="1204"/>
                <w:alias w:val="MR-12-T01-R4-C2"/>
                <w:tag w:val="MR-12-T01-R4-C2"/>
                <w:text w:multiLine="1"/>
              </w:sdtPr>
              <w:sdtContent>
                <w:r>
                  <w:rPr>
                    <w:rFonts w:ascii="Arial" w:hAnsi="Arial"/>
                    <w:color w:val="62716E"/>
                    <w:sz w:val="18"/>
                  </w:rPr>
                  <w:t>[Complete]</w:t>
                </w:r>
              </w:sdtContent>
            </w:sdt>
          </w:p>
        </w:tc>
        <w:tc>
          <w:tcPr>
            <w:tcW w:type="dxa" w:w="3390"/>
            <w:vAlign w:val="top"/>
          </w:tcPr>
          <w:p>
            <w:pPr>
              <w:keepNext w:val="0"/>
              <w:spacing w:after="20"/>
            </w:pPr>
            <w:sdt>
              <w:sdtPr>
                <w:id w:val="1205"/>
                <w:alias w:val="MR-12-T01-R4-C3"/>
                <w:tag w:val="MR-12-T01-R4-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color w:val="215F52"/>
          <w:sz w:val="20"/>
        </w:rPr>
        <w:t>MR-12-T02 / Component calculation and exclusions</w:t>
      </w:r>
    </w:p>
    <w:p>
      <w:pPr>
        <w:keepNext/>
        <w:spacing w:after="100"/>
      </w:pPr>
      <w:r>
        <w:rPr>
          <w:rFonts w:ascii="Arial" w:hAnsi="Arial" w:eastAsia="Arial" w:cs="Arial"/>
          <w:b/>
          <w:color w:val="215F52"/>
          <w:sz w:val="17"/>
        </w:rPr>
        <w:t>MR-12-T02 / Calculation notation</w:t>
      </w:r>
    </w:p>
    <w:p>
      <w:pPr>
        <w:keepNext/>
        <w:spacing w:after="60" w:before="20"/>
        <w:jc w:val="center"/>
      </w:pPr>
      <m:oMath>
        <m:sSub>
          <m:e>
            <m:r>
              <w:rPr>
                <w:sz w:val="20"/>
                <w:rFonts w:ascii="Cambria Math" w:hAnsi="Cambria Math"/>
              </w:rPr>
              <m:t>q</m:t>
            </m:r>
          </m:e>
          <m:sub>
            <m:r>
              <w:rPr>
                <w:sz w:val="20"/>
                <w:rFonts w:ascii="Cambria Math" w:hAnsi="Cambria Math"/>
              </w:rPr>
              <m:rPr>
                <m:sty m:val="p"/>
              </m:rPr>
              <m:t>ℓ</m:t>
            </m:r>
            <m:r>
              <w:rPr>
                <w:sz w:val="20"/>
                <w:rFonts w:ascii="Cambria Math" w:hAnsi="Cambria Math"/>
              </w:rPr>
              <m:rPr>
                <m:sty m:val="p"/>
              </m:rPr>
              <m:t>,</m:t>
            </m:r>
            <m:r>
              <w:rPr>
                <w:sz w:val="20"/>
                <w:rFonts w:ascii="Cambria Math" w:hAnsi="Cambria Math"/>
              </w:rPr>
              <m:t>s</m:t>
            </m:r>
            <m:r>
              <w:rPr>
                <w:sz w:val="20"/>
                <w:rFonts w:ascii="Cambria Math" w:hAnsi="Cambria Math"/>
              </w:rPr>
              <m:rPr>
                <m:sty m:val="p"/>
              </m:rPr>
              <m:t>,</m:t>
            </m:r>
            <m:r>
              <w:rPr>
                <w:sz w:val="20"/>
                <w:rFonts w:ascii="Cambria Math" w:hAnsi="Cambria Math"/>
              </w:rPr>
              <m:t>t</m:t>
            </m:r>
          </m:sub>
        </m:sSub>
        <m:r>
          <w:rPr>
            <w:sz w:val="20"/>
            <w:rFonts w:ascii="Cambria Math" w:hAnsi="Cambria Math"/>
          </w:rPr>
          <m:rPr>
            <m:sty m:val="p"/>
          </m:rPr>
          <m:t>=</m:t>
        </m:r>
        <m:sSub>
          <m:e>
            <m:r>
              <w:rPr>
                <w:sz w:val="20"/>
                <w:rFonts w:ascii="Cambria Math" w:hAnsi="Cambria Math"/>
              </w:rPr>
              <m:t>x</m:t>
            </m:r>
          </m:e>
          <m:sub>
            <m:r>
              <w:rPr>
                <w:sz w:val="20"/>
                <w:rFonts w:ascii="Cambria Math" w:hAnsi="Cambria Math"/>
              </w:rPr>
              <m:rPr>
                <m:sty m:val="p"/>
              </m:rPr>
              <m:t>ℓ</m:t>
            </m:r>
            <m:r>
              <w:rPr>
                <w:sz w:val="20"/>
                <w:rFonts w:ascii="Cambria Math" w:hAnsi="Cambria Math"/>
              </w:rPr>
              <m:rPr>
                <m:sty m:val="p"/>
              </m:rPr>
              <m:t>,</m:t>
            </m:r>
            <m:r>
              <w:rPr>
                <w:sz w:val="20"/>
                <w:rFonts w:ascii="Cambria Math" w:hAnsi="Cambria Math"/>
              </w:rPr>
              <m:t>s</m:t>
            </m:r>
            <m:r>
              <w:rPr>
                <w:sz w:val="20"/>
                <w:rFonts w:ascii="Cambria Math" w:hAnsi="Cambria Math"/>
              </w:rPr>
              <m:rPr>
                <m:sty m:val="p"/>
              </m:rPr>
              <m:t>,</m:t>
            </m:r>
            <m:r>
              <w:rPr>
                <w:sz w:val="20"/>
                <w:rFonts w:ascii="Cambria Math" w:hAnsi="Cambria Math"/>
              </w:rPr>
              <m:t>t</m:t>
            </m:r>
          </m:sub>
        </m:sSub>
        <m:sSub>
          <m:e>
            <m:r>
              <w:rPr>
                <w:sz w:val="20"/>
                <w:rFonts w:ascii="Cambria Math" w:hAnsi="Cambria Math"/>
              </w:rPr>
              <m:t>f</m:t>
            </m:r>
          </m:e>
          <m:sub>
            <m:r>
              <w:rPr>
                <w:sz w:val="20"/>
                <w:rFonts w:ascii="Cambria Math" w:hAnsi="Cambria Math"/>
              </w:rPr>
              <m:rPr>
                <m:sty m:val="p"/>
              </m:rPr>
              <m:t>ℓ</m:t>
            </m:r>
            <m:r>
              <w:rPr>
                <w:sz w:val="20"/>
                <w:rFonts w:ascii="Cambria Math" w:hAnsi="Cambria Math"/>
              </w:rPr>
              <m:rPr>
                <m:sty m:val="p"/>
              </m:rPr>
              <m:t>,</m:t>
            </m:r>
            <m:r>
              <w:rPr>
                <w:sz w:val="20"/>
                <w:rFonts w:ascii="Cambria Math" w:hAnsi="Cambria Math"/>
              </w:rPr>
              <m:t>s</m:t>
            </m:r>
            <m:r>
              <w:rPr>
                <w:sz w:val="20"/>
                <w:rFonts w:ascii="Cambria Math" w:hAnsi="Cambria Math"/>
              </w:rPr>
              <m:rPr>
                <m:sty m:val="p"/>
              </m:rPr>
              <m:t>,</m:t>
            </m:r>
            <m:r>
              <w:rPr>
                <w:sz w:val="20"/>
                <w:rFonts w:ascii="Cambria Math" w:hAnsi="Cambria Math"/>
              </w:rPr>
              <m:t>t</m:t>
            </m:r>
          </m:sub>
        </m:sSub>
      </m:oMath>
    </w:p>
    <w:p>
      <w:pPr>
        <w:keepNext/>
        <w:spacing w:after="60" w:before="20"/>
        <w:jc w:val="center"/>
      </w:pPr>
      <m:oMath>
        <m:sSub>
          <m:e>
            <m:r>
              <w:rPr>
                <w:sz w:val="20"/>
                <w:rFonts w:ascii="Cambria Math" w:hAnsi="Cambria Math"/>
              </w:rPr>
              <m:t>N</m:t>
            </m:r>
          </m:e>
          <m:sub>
            <m:r>
              <w:rPr>
                <w:sz w:val="20"/>
                <w:rFonts w:ascii="Cambria Math" w:hAnsi="Cambria Math"/>
              </w:rPr>
              <m:t>s</m:t>
            </m:r>
            <m:r>
              <w:rPr>
                <w:sz w:val="20"/>
                <w:rFonts w:ascii="Cambria Math" w:hAnsi="Cambria Math"/>
              </w:rPr>
              <m:rPr>
                <m:sty m:val="p"/>
              </m:rPr>
              <m:t>,</m:t>
            </m:r>
            <m:r>
              <w:rPr>
                <w:sz w:val="20"/>
                <w:rFonts w:ascii="Cambria Math" w:hAnsi="Cambria Math"/>
              </w:rPr>
              <m:t>t</m:t>
            </m:r>
          </m:sub>
        </m:sSub>
        <m:r>
          <w:rPr>
            <w:sz w:val="20"/>
            <w:rFonts w:ascii="Cambria Math" w:hAnsi="Cambria Math"/>
          </w:rPr>
          <m:rPr>
            <m:sty m:val="p"/>
          </m:rPr>
          <m:t>=</m:t>
        </m:r>
        <m:nary>
          <m:naryPr>
            <m:chr m:val="∑"/>
            <m:limLoc m:val="undOvr"/>
            <m:subHide m:val="off"/>
            <m:supHide m:val="on"/>
          </m:naryPr>
          <m:sub>
            <m:r>
              <w:rPr>
                <w:sz w:val="20"/>
                <w:rFonts w:ascii="Cambria Math" w:hAnsi="Cambria Math"/>
              </w:rPr>
              <m:rPr>
                <m:sty m:val="p"/>
              </m:rPr>
              <m:t>ℓ</m:t>
            </m:r>
            <m:r>
              <w:rPr>
                <w:sz w:val="20"/>
                <w:rFonts w:ascii="Cambria Math" w:hAnsi="Cambria Math"/>
              </w:rPr>
              <m:rPr>
                <m:sty m:val="p"/>
              </m:rPr>
              <m:t>∈</m:t>
            </m:r>
            <m:sSub>
              <m:e>
                <m:r>
                  <w:rPr>
                    <w:sz w:val="20"/>
                    <w:rFonts w:ascii="Cambria Math" w:hAnsi="Cambria Math"/>
                  </w:rPr>
                  <m:rPr>
                    <m:sty m:val="p"/>
                    <m:scr m:val="script"/>
                  </m:rPr>
                  <m:t>I</m:t>
                </m:r>
              </m:e>
              <m:sub>
                <m:r>
                  <w:rPr>
                    <w:sz w:val="20"/>
                    <w:rFonts w:ascii="Cambria Math" w:hAnsi="Cambria Math"/>
                  </w:rPr>
                  <m:t>s</m:t>
                </m:r>
                <m:r>
                  <w:rPr>
                    <w:sz w:val="20"/>
                    <w:rFonts w:ascii="Cambria Math" w:hAnsi="Cambria Math"/>
                  </w:rPr>
                  <m:rPr>
                    <m:sty m:val="p"/>
                  </m:rPr>
                  <m:t>,</m:t>
                </m:r>
                <m:r>
                  <w:rPr>
                    <w:sz w:val="20"/>
                    <w:rFonts w:ascii="Cambria Math" w:hAnsi="Cambria Math"/>
                  </w:rPr>
                  <m:t>t</m:t>
                </m:r>
              </m:sub>
            </m:sSub>
          </m:sub>
          <m:sup>
            <m:r>
              <w:rPr>
                <w:sz w:val="20"/>
                <w:rFonts w:ascii="Cambria Math" w:hAnsi="Cambria Math"/>
              </w:rPr>
              <m:t>​</m:t>
            </m:r>
          </m:sup>
          <m:e>
            <m:sSub>
              <m:e>
                <m:r>
                  <w:rPr>
                    <w:sz w:val="20"/>
                    <w:rFonts w:ascii="Cambria Math" w:hAnsi="Cambria Math"/>
                  </w:rPr>
                  <m:t>q</m:t>
                </m:r>
              </m:e>
              <m:sub>
                <m:r>
                  <w:rPr>
                    <w:sz w:val="20"/>
                    <w:rFonts w:ascii="Cambria Math" w:hAnsi="Cambria Math"/>
                  </w:rPr>
                  <m:rPr>
                    <m:sty m:val="p"/>
                  </m:rPr>
                  <m:t>ℓ</m:t>
                </m:r>
                <m:r>
                  <w:rPr>
                    <w:sz w:val="20"/>
                    <w:rFonts w:ascii="Cambria Math" w:hAnsi="Cambria Math"/>
                  </w:rPr>
                  <m:rPr>
                    <m:sty m:val="p"/>
                  </m:rPr>
                  <m:t>,</m:t>
                </m:r>
                <m:r>
                  <w:rPr>
                    <w:sz w:val="20"/>
                    <w:rFonts w:ascii="Cambria Math" w:hAnsi="Cambria Math"/>
                  </w:rPr>
                  <m:t>s</m:t>
                </m:r>
                <m:r>
                  <w:rPr>
                    <w:sz w:val="20"/>
                    <w:rFonts w:ascii="Cambria Math" w:hAnsi="Cambria Math"/>
                  </w:rPr>
                  <m:rPr>
                    <m:sty m:val="p"/>
                  </m:rPr>
                  <m:t>,</m:t>
                </m:r>
                <m:r>
                  <w:rPr>
                    <w:sz w:val="20"/>
                    <w:rFonts w:ascii="Cambria Math" w:hAnsi="Cambria Math"/>
                  </w:rPr>
                  <m:t>t</m:t>
                </m:r>
              </m:sub>
            </m:sSub>
          </m:e>
        </m:nary>
      </m:oMath>
    </w:p>
    <w:p>
      <w:pPr>
        <w:keepNext/>
        <w:spacing w:after="60"/>
      </w:pPr>
      <w:r>
        <w:rPr>
          <w:rFonts w:ascii="Arial" w:hAnsi="Arial" w:eastAsia="Arial" w:cs="Arial"/>
          <w:b w:val="0"/>
          <w:color w:val="215F52"/>
          <w:sz w:val="17"/>
        </w:rPr>
        <w:t>x and f have reciprocal units yielding t CO2e per period. I is the set of included, evidenced, disjoint components for the same basis, period and account. For precomputed mass, f=1 must be explicitly entered with its meaning. BL and PJ are net emissions; LK is attributable leakage.</w:t>
      </w:r>
    </w:p>
    <w:p>
      <w:pPr>
        <w:keepNext/>
        <w:spacing w:after="80"/>
      </w:pPr>
      <w:r>
        <w:rPr>
          <w:rFonts w:ascii="Arial" w:hAnsi="Arial" w:eastAsia="Arial" w:cs="Arial"/>
          <w:b w:val="0"/>
          <w:color w:val="62716E"/>
          <w:sz w:val="16"/>
        </w:rPr>
        <w:t>Basis: M04.4; M04.5; T-08; arithmetic implementation. Calculation location: Components!G:I; ExAnte!F:H; ExPost!F:H.</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Component / symbol / included status</w:t>
            </w:r>
          </w:p>
        </w:tc>
        <w:tc>
          <w:tcPr>
            <w:tcW w:type="dxa" w:w="3572"/>
            <w:vAlign w:val="center"/>
            <w:shd w:fill="F1F5F2"/>
          </w:tcPr>
          <w:p>
            <w:pPr>
              <w:keepNext/>
              <w:spacing w:after="20"/>
            </w:pPr>
            <w:r>
              <w:rPr>
                <w:rFonts w:ascii="Arial" w:hAnsi="Arial" w:eastAsia="Arial" w:cs="Arial"/>
                <w:b/>
                <w:color w:val="215F52"/>
                <w:sz w:val="17"/>
              </w:rPr>
              <w:t>Activity value, factor and output unit</w:t>
            </w:r>
          </w:p>
        </w:tc>
        <w:tc>
          <w:tcPr>
            <w:tcW w:type="dxa" w:w="3390"/>
            <w:vAlign w:val="center"/>
            <w:shd w:fill="F1F5F2"/>
          </w:tcPr>
          <w:p>
            <w:pPr>
              <w:keepNext/>
              <w:spacing w:after="20"/>
            </w:pPr>
            <w:r>
              <w:rPr>
                <w:rFonts w:ascii="Arial" w:hAnsi="Arial" w:eastAsia="Arial" w:cs="Arial"/>
                <w:b/>
                <w:color w:val="215F52"/>
                <w:sz w:val="17"/>
              </w:rPr>
              <w:t>Source cell, zero/exclusion basis and review</w:t>
            </w:r>
          </w:p>
        </w:tc>
      </w:tr>
      <w:tr>
        <w:trPr>
          <w:trHeight w:val="442" w:hRule="atLeast"/>
        </w:trPr>
        <w:tc>
          <w:tcPr>
            <w:tcW w:type="dxa" w:w="2778"/>
            <w:vAlign w:val="top"/>
          </w:tcPr>
          <w:p>
            <w:pPr>
              <w:keepNext w:val="0"/>
              <w:spacing w:after="20"/>
            </w:pPr>
            <w:sdt>
              <w:sdtPr>
                <w:id w:val="1206"/>
                <w:alias w:val="MR-12-T02-R1-C1"/>
                <w:tag w:val="MR-12-T02-R1-C1"/>
                <w:text w:multiLine="1"/>
              </w:sdtPr>
              <w:sdtContent>
                <w:r>
                  <w:rPr>
                    <w:rFonts w:ascii="Arial" w:hAnsi="Arial"/>
                    <w:color w:val="62716E"/>
                    <w:sz w:val="18"/>
                  </w:rPr>
                  <w:t>[Complete]</w:t>
                </w:r>
              </w:sdtContent>
            </w:sdt>
          </w:p>
        </w:tc>
        <w:tc>
          <w:tcPr>
            <w:tcW w:type="dxa" w:w="3572"/>
            <w:vAlign w:val="top"/>
          </w:tcPr>
          <w:p>
            <w:pPr>
              <w:keepNext w:val="0"/>
              <w:spacing w:after="20"/>
            </w:pPr>
            <w:sdt>
              <w:sdtPr>
                <w:id w:val="1207"/>
                <w:alias w:val="MR-12-T02-R1-C2"/>
                <w:tag w:val="MR-12-T02-R1-C2"/>
                <w:text w:multiLine="1"/>
              </w:sdtPr>
              <w:sdtContent>
                <w:r>
                  <w:rPr>
                    <w:rFonts w:ascii="Arial" w:hAnsi="Arial"/>
                    <w:color w:val="62716E"/>
                    <w:sz w:val="18"/>
                  </w:rPr>
                  <w:t>[Complete]</w:t>
                </w:r>
              </w:sdtContent>
            </w:sdt>
          </w:p>
        </w:tc>
        <w:tc>
          <w:tcPr>
            <w:tcW w:type="dxa" w:w="3390"/>
            <w:vAlign w:val="top"/>
          </w:tcPr>
          <w:p>
            <w:pPr>
              <w:keepNext w:val="0"/>
              <w:spacing w:after="20"/>
            </w:pPr>
            <w:sdt>
              <w:sdtPr>
                <w:id w:val="1208"/>
                <w:alias w:val="MR-12-T02-R1-C3"/>
                <w:tag w:val="MR-12-T02-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09"/>
                <w:alias w:val="MR-12-T02-R2-C1"/>
                <w:tag w:val="MR-12-T02-R2-C1"/>
                <w:text w:multiLine="1"/>
              </w:sdtPr>
              <w:sdtContent>
                <w:r>
                  <w:rPr>
                    <w:rFonts w:ascii="Arial" w:hAnsi="Arial"/>
                    <w:color w:val="62716E"/>
                    <w:sz w:val="18"/>
                  </w:rPr>
                  <w:t>[Complete]</w:t>
                </w:r>
              </w:sdtContent>
            </w:sdt>
          </w:p>
        </w:tc>
        <w:tc>
          <w:tcPr>
            <w:tcW w:type="dxa" w:w="3572"/>
            <w:vAlign w:val="top"/>
          </w:tcPr>
          <w:p>
            <w:pPr>
              <w:keepNext w:val="0"/>
              <w:spacing w:after="20"/>
            </w:pPr>
            <w:sdt>
              <w:sdtPr>
                <w:id w:val="1210"/>
                <w:alias w:val="MR-12-T02-R2-C2"/>
                <w:tag w:val="MR-12-T02-R2-C2"/>
                <w:text w:multiLine="1"/>
              </w:sdtPr>
              <w:sdtContent>
                <w:r>
                  <w:rPr>
                    <w:rFonts w:ascii="Arial" w:hAnsi="Arial"/>
                    <w:color w:val="62716E"/>
                    <w:sz w:val="18"/>
                  </w:rPr>
                  <w:t>[Complete]</w:t>
                </w:r>
              </w:sdtContent>
            </w:sdt>
          </w:p>
        </w:tc>
        <w:tc>
          <w:tcPr>
            <w:tcW w:type="dxa" w:w="3390"/>
            <w:vAlign w:val="top"/>
          </w:tcPr>
          <w:p>
            <w:pPr>
              <w:keepNext w:val="0"/>
              <w:spacing w:after="20"/>
            </w:pPr>
            <w:sdt>
              <w:sdtPr>
                <w:id w:val="1211"/>
                <w:alias w:val="MR-12-T02-R2-C3"/>
                <w:tag w:val="MR-12-T02-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12"/>
                <w:alias w:val="MR-12-T02-R3-C1"/>
                <w:tag w:val="MR-12-T02-R3-C1"/>
                <w:text w:multiLine="1"/>
              </w:sdtPr>
              <w:sdtContent>
                <w:r>
                  <w:rPr>
                    <w:rFonts w:ascii="Arial" w:hAnsi="Arial"/>
                    <w:color w:val="62716E"/>
                    <w:sz w:val="18"/>
                  </w:rPr>
                  <w:t>[Complete]</w:t>
                </w:r>
              </w:sdtContent>
            </w:sdt>
          </w:p>
        </w:tc>
        <w:tc>
          <w:tcPr>
            <w:tcW w:type="dxa" w:w="3572"/>
            <w:vAlign w:val="top"/>
          </w:tcPr>
          <w:p>
            <w:pPr>
              <w:keepNext w:val="0"/>
              <w:spacing w:after="20"/>
            </w:pPr>
            <w:sdt>
              <w:sdtPr>
                <w:id w:val="1213"/>
                <w:alias w:val="MR-12-T02-R3-C2"/>
                <w:tag w:val="MR-12-T02-R3-C2"/>
                <w:text w:multiLine="1"/>
              </w:sdtPr>
              <w:sdtContent>
                <w:r>
                  <w:rPr>
                    <w:rFonts w:ascii="Arial" w:hAnsi="Arial"/>
                    <w:color w:val="62716E"/>
                    <w:sz w:val="18"/>
                  </w:rPr>
                  <w:t>[Complete]</w:t>
                </w:r>
              </w:sdtContent>
            </w:sdt>
          </w:p>
        </w:tc>
        <w:tc>
          <w:tcPr>
            <w:tcW w:type="dxa" w:w="3390"/>
            <w:vAlign w:val="top"/>
          </w:tcPr>
          <w:p>
            <w:pPr>
              <w:keepNext w:val="0"/>
              <w:spacing w:after="20"/>
            </w:pPr>
            <w:sdt>
              <w:sdtPr>
                <w:id w:val="1214"/>
                <w:alias w:val="MR-12-T02-R3-C3"/>
                <w:tag w:val="MR-12-T02-R3-C3"/>
                <w:text w:multiLine="1"/>
              </w:sdtPr>
              <w:sdtContent>
                <w:r>
                  <w:rPr>
                    <w:rFonts w:ascii="Arial" w:hAnsi="Arial"/>
                    <w:color w:val="62716E"/>
                    <w:sz w:val="18"/>
                  </w:rPr>
                  <w:t>[Complete]</w:t>
                </w:r>
              </w:sdtContent>
            </w:sdt>
          </w:p>
        </w:tc>
      </w:tr>
    </w:tbl>
    <w:p>
      <w:pPr>
        <w:spacing w:after="20" w:before="0" w:line="40" w:lineRule="exact"/>
      </w:pPr>
      <w:r>
        <w:rPr>
          <w:sz w:val="4"/>
        </w:rPr>
      </w:r>
    </w:p>
    <w:p>
      <w:bookmarkStart w:id="409" w:name="MR_13"/>
      <w:pPr>
        <w:pStyle w:val="Heading1"/>
        <w:keepNext/>
        <w:pageBreakBefore/>
      </w:pPr>
      <w:r>
        <w:rPr>
          <w:rFonts w:ascii="Arial" w:hAnsi="Arial" w:eastAsia="Arial" w:cs="Arial"/>
          <w:b w:val="0"/>
          <w:color w:val="215F52"/>
          <w:sz w:val="38"/>
        </w:rPr>
        <w:t>13  Offsite activity and attributable leakage</w:t>
      </w:r>
      <w:bookmarkEnd w:id="409"/>
    </w:p>
    <w:p>
      <w:pPr>
        <w:keepNext/>
        <w:spacing w:after="100"/>
      </w:pPr>
      <w:r>
        <w:rPr>
          <w:rFonts w:ascii="Arial" w:hAnsi="Arial" w:eastAsia="Arial" w:cs="Arial"/>
          <w:b w:val="0"/>
          <w:color w:val="62716E"/>
          <w:sz w:val="16"/>
        </w:rPr>
        <w:t>[1] S-09; F-L01; T-08; T-16; P-03; P-04</w:t>
      </w:r>
    </w:p>
    <w:p>
      <w:pPr>
        <w:spacing w:after="100"/>
      </w:pPr>
      <w:r>
        <w:rPr>
          <w:rFonts w:ascii="Arial" w:hAnsi="Arial" w:eastAsia="Arial" w:cs="Arial"/>
          <w:b w:val="0"/>
          <w:color w:val="243A36"/>
          <w:sz w:val="19"/>
        </w:rPr>
        <w:t>Distinguish observed offsite loss from displacement attributable to the project. Use matched support for the with-project and without-project offsite accounts, and identify all attribution adjustments and restrictions.</w:t>
      </w:r>
    </w:p>
    <w:p>
      <w:pPr>
        <w:keepNext/>
        <w:spacing w:after="100"/>
      </w:pPr>
      <w:r>
        <w:rPr>
          <w:rFonts w:ascii="Arial" w:hAnsi="Arial" w:eastAsia="Arial" w:cs="Arial"/>
          <w:b/>
          <w:color w:val="215F52"/>
          <w:sz w:val="20"/>
        </w:rPr>
        <w:t>MR-13-T01 / Leakage evidence and matched account</w:t>
      </w:r>
    </w:p>
    <w:p>
      <w:pPr>
        <w:keepNext/>
        <w:spacing w:after="100"/>
      </w:pPr>
      <w:r>
        <w:rPr>
          <w:rFonts w:ascii="Arial" w:hAnsi="Arial" w:eastAsia="Arial" w:cs="Arial"/>
          <w:b/>
          <w:color w:val="215F52"/>
          <w:sz w:val="17"/>
        </w:rPr>
        <w:t>MR-13-T01 / Calculation notation</w:t>
      </w:r>
    </w:p>
    <w:p>
      <w:pPr>
        <w:keepNext/>
        <w:spacing w:after="60" w:before="20"/>
        <w:jc w:val="center"/>
      </w:pPr>
      <m:oMath>
        <m:sSub>
          <m:e>
            <m:acc>
              <m:accPr>
                <m:chr m:val="̂"/>
              </m:accPr>
              <m:e>
                <m:r>
                  <w:rPr>
                    <w:sz w:val="20"/>
                    <w:rFonts w:ascii="Cambria Math" w:hAnsi="Cambria Math"/>
                  </w:rPr>
                  <m:t>L</m:t>
                </m:r>
              </m:e>
            </m:acc>
          </m:e>
          <m:sub>
            <m:r>
              <w:rPr>
                <w:sz w:val="20"/>
                <w:rFonts w:ascii="Cambria Math" w:hAnsi="Cambria Math"/>
              </w:rPr>
              <m:t>t</m:t>
            </m:r>
          </m:sub>
        </m:sSub>
        <m:r>
          <w:rPr>
            <w:sz w:val="20"/>
            <w:rFonts w:ascii="Cambria Math" w:hAnsi="Cambria Math"/>
          </w:rPr>
          <m:rPr>
            <m:sty m:val="p"/>
          </m:rPr>
          <m:t>=</m:t>
        </m:r>
        <m:sSub>
          <m:e>
            <m:r>
              <w:rPr>
                <w:sz w:val="20"/>
                <w:rFonts w:ascii="Cambria Math" w:hAnsi="Cambria Math"/>
              </w:rPr>
              <m:t>N</m:t>
            </m:r>
          </m:e>
          <m:sub>
            <m:r>
              <w:rPr>
                <w:sz w:val="20"/>
                <w:rFonts w:ascii="Cambria Math" w:hAnsi="Cambria Math"/>
              </w:rPr>
              <m:rPr>
                <m:sty m:val="p"/>
              </m:rPr>
              <m:t>P</m:t>
            </m:r>
            <m:r>
              <w:rPr>
                <w:sz w:val="20"/>
                <w:rFonts w:ascii="Cambria Math" w:hAnsi="Cambria Math"/>
              </w:rPr>
              <m:rPr>
                <m:sty m:val="p"/>
              </m:rPr>
              <m:t>L</m:t>
            </m:r>
            <m:r>
              <w:rPr>
                <w:sz w:val="20"/>
                <w:rFonts w:ascii="Cambria Math" w:hAnsi="Cambria Math"/>
              </w:rPr>
              <m:rPr>
                <m:sty m:val="p"/>
              </m:rPr>
              <m:t>K</m:t>
            </m:r>
            <m:r>
              <w:rPr>
                <w:sz w:val="20"/>
                <w:rFonts w:ascii="Cambria Math" w:hAnsi="Cambria Math"/>
              </w:rPr>
              <m:rPr>
                <m:sty m:val="p"/>
              </m:rPr>
              <m:t>A</m:t>
            </m:r>
            <m:r>
              <w:rPr>
                <w:sz w:val="20"/>
                <w:rFonts w:ascii="Cambria Math" w:hAnsi="Cambria Math"/>
              </w:rPr>
              <m:rPr>
                <m:sty m:val="p"/>
              </m:rPr>
              <m:t>,</m:t>
            </m:r>
            <m:r>
              <w:rPr>
                <w:sz w:val="20"/>
                <w:rFonts w:ascii="Cambria Math" w:hAnsi="Cambria Math"/>
              </w:rPr>
              <m:rPr>
                <m:sty m:val="p"/>
              </m:rPr>
              <m:t>w</m:t>
            </m:r>
            <m:r>
              <w:rPr>
                <w:sz w:val="20"/>
                <w:rFonts w:ascii="Cambria Math" w:hAnsi="Cambria Math"/>
              </w:rPr>
              <m:rPr>
                <m:sty m:val="p"/>
              </m:rPr>
              <m:t>i</m:t>
            </m:r>
            <m:r>
              <w:rPr>
                <w:sz w:val="20"/>
                <w:rFonts w:ascii="Cambria Math" w:hAnsi="Cambria Math"/>
              </w:rPr>
              <m:rPr>
                <m:sty m:val="p"/>
              </m:rPr>
              <m:t>t</m:t>
            </m:r>
            <m:r>
              <w:rPr>
                <w:sz w:val="20"/>
                <w:rFonts w:ascii="Cambria Math" w:hAnsi="Cambria Math"/>
              </w:rPr>
              <m:rPr>
                <m:sty m:val="p"/>
              </m:rPr>
              <m:t>h</m:t>
            </m:r>
            <m:r>
              <w:rPr>
                <w:sz w:val="20"/>
                <w:rFonts w:ascii="Cambria Math" w:hAnsi="Cambria Math"/>
              </w:rPr>
              <m:rPr>
                <m:sty m:val="p"/>
              </m:rPr>
              <m:t>,</m:t>
            </m:r>
            <m:r>
              <w:rPr>
                <w:sz w:val="20"/>
                <w:rFonts w:ascii="Cambria Math" w:hAnsi="Cambria Math"/>
              </w:rPr>
              <m:t>t</m:t>
            </m:r>
          </m:sub>
        </m:sSub>
        <m:r>
          <w:rPr>
            <w:sz w:val="20"/>
            <w:rFonts w:ascii="Cambria Math" w:hAnsi="Cambria Math"/>
          </w:rPr>
          <m:rPr>
            <m:sty m:val="p"/>
          </m:rPr>
          <m:t>−</m:t>
        </m:r>
        <m:sSub>
          <m:e>
            <m:r>
              <w:rPr>
                <w:sz w:val="20"/>
                <w:rFonts w:ascii="Cambria Math" w:hAnsi="Cambria Math"/>
              </w:rPr>
              <m:t>N</m:t>
            </m:r>
          </m:e>
          <m:sub>
            <m:r>
              <w:rPr>
                <w:sz w:val="20"/>
                <w:rFonts w:ascii="Cambria Math" w:hAnsi="Cambria Math"/>
              </w:rPr>
              <m:rPr>
                <m:sty m:val="p"/>
              </m:rPr>
              <m:t>P</m:t>
            </m:r>
            <m:r>
              <w:rPr>
                <w:sz w:val="20"/>
                <w:rFonts w:ascii="Cambria Math" w:hAnsi="Cambria Math"/>
              </w:rPr>
              <m:rPr>
                <m:sty m:val="p"/>
              </m:rPr>
              <m:t>L</m:t>
            </m:r>
            <m:r>
              <w:rPr>
                <w:sz w:val="20"/>
                <w:rFonts w:ascii="Cambria Math" w:hAnsi="Cambria Math"/>
              </w:rPr>
              <m:rPr>
                <m:sty m:val="p"/>
              </m:rPr>
              <m:t>K</m:t>
            </m:r>
            <m:r>
              <w:rPr>
                <w:sz w:val="20"/>
                <w:rFonts w:ascii="Cambria Math" w:hAnsi="Cambria Math"/>
              </w:rPr>
              <m:rPr>
                <m:sty m:val="p"/>
              </m:rPr>
              <m:t>A</m:t>
            </m:r>
            <m:r>
              <w:rPr>
                <w:sz w:val="20"/>
                <w:rFonts w:ascii="Cambria Math" w:hAnsi="Cambria Math"/>
              </w:rPr>
              <m:rPr>
                <m:sty m:val="p"/>
              </m:rPr>
              <m:t>,</m:t>
            </m:r>
            <m:r>
              <w:rPr>
                <w:sz w:val="20"/>
                <w:rFonts w:ascii="Cambria Math" w:hAnsi="Cambria Math"/>
              </w:rPr>
              <m:rPr>
                <m:sty m:val="p"/>
              </m:rPr>
              <m:t>w</m:t>
            </m:r>
            <m:r>
              <w:rPr>
                <w:sz w:val="20"/>
                <w:rFonts w:ascii="Cambria Math" w:hAnsi="Cambria Math"/>
              </w:rPr>
              <m:rPr>
                <m:sty m:val="p"/>
              </m:rPr>
              <m:t>i</m:t>
            </m:r>
            <m:r>
              <w:rPr>
                <w:sz w:val="20"/>
                <w:rFonts w:ascii="Cambria Math" w:hAnsi="Cambria Math"/>
              </w:rPr>
              <m:rPr>
                <m:sty m:val="p"/>
              </m:rPr>
              <m:t>t</m:t>
            </m:r>
            <m:r>
              <w:rPr>
                <w:sz w:val="20"/>
                <w:rFonts w:ascii="Cambria Math" w:hAnsi="Cambria Math"/>
              </w:rPr>
              <m:rPr>
                <m:sty m:val="p"/>
              </m:rPr>
              <m:t>h</m:t>
            </m:r>
            <m:r>
              <w:rPr>
                <w:sz w:val="20"/>
                <w:rFonts w:ascii="Cambria Math" w:hAnsi="Cambria Math"/>
              </w:rPr>
              <m:rPr>
                <m:sty m:val="p"/>
              </m:rPr>
              <m:t>o</m:t>
            </m:r>
            <m:r>
              <w:rPr>
                <w:sz w:val="20"/>
                <w:rFonts w:ascii="Cambria Math" w:hAnsi="Cambria Math"/>
              </w:rPr>
              <m:rPr>
                <m:sty m:val="p"/>
              </m:rPr>
              <m:t>u</m:t>
            </m:r>
            <m:r>
              <w:rPr>
                <w:sz w:val="20"/>
                <w:rFonts w:ascii="Cambria Math" w:hAnsi="Cambria Math"/>
              </w:rPr>
              <m:rPr>
                <m:sty m:val="p"/>
              </m:rPr>
              <m:t>t</m:t>
            </m:r>
            <m:r>
              <w:rPr>
                <w:sz w:val="20"/>
                <w:rFonts w:ascii="Cambria Math" w:hAnsi="Cambria Math"/>
              </w:rPr>
              <m:rPr>
                <m:sty m:val="p"/>
              </m:rPr>
              <m:t>,</m:t>
            </m:r>
            <m:r>
              <w:rPr>
                <w:sz w:val="20"/>
                <w:rFonts w:ascii="Cambria Math" w:hAnsi="Cambria Math"/>
              </w:rPr>
              <m:t>t</m:t>
            </m:r>
          </m:sub>
        </m:sSub>
      </m:oMath>
    </w:p>
    <w:p>
      <w:pPr>
        <w:keepNext/>
        <w:spacing w:after="60"/>
      </w:pPr>
      <w:r>
        <w:rPr>
          <w:rFonts w:ascii="Arial" w:hAnsi="Arial" w:eastAsia="Arial" w:cs="Arial"/>
          <w:b w:val="0"/>
          <w:color w:val="215F52"/>
          <w:sz w:val="17"/>
        </w:rPr>
        <w:t>The two accounts have matched geography, activities, gases and intervals. Any source ratio remains an explicit numerator/denominator, not an assumed percentage. A signed diagnostic does not automatically authorize an extra benefit; the applicable attribution profile governs.</w:t>
      </w:r>
    </w:p>
    <w:p>
      <w:pPr>
        <w:keepNext/>
        <w:spacing w:after="80"/>
      </w:pPr>
      <w:r>
        <w:rPr>
          <w:rFonts w:ascii="Arial" w:hAnsi="Arial" w:eastAsia="Arial" w:cs="Arial"/>
          <w:b w:val="0"/>
          <w:color w:val="62716E"/>
          <w:sz w:val="16"/>
        </w:rPr>
        <w:t>Basis: F-L01; T-08. Calculation location: Components!D=LK; ExAnte!H; ExPost!H.</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Activity / offsite domain / interval</w:t>
            </w:r>
          </w:p>
        </w:tc>
        <w:tc>
          <w:tcPr>
            <w:tcW w:type="dxa" w:w="3572"/>
            <w:vAlign w:val="center"/>
            <w:shd w:fill="F1F5F2"/>
          </w:tcPr>
          <w:p>
            <w:pPr>
              <w:keepNext/>
              <w:spacing w:after="20"/>
            </w:pPr>
            <w:r>
              <w:rPr>
                <w:rFonts w:ascii="Arial" w:hAnsi="Arial" w:eastAsia="Arial" w:cs="Arial"/>
                <w:b/>
                <w:color w:val="215F52"/>
                <w:sz w:val="17"/>
              </w:rPr>
              <w:t>With-project and without-project amounts; unit</w:t>
            </w:r>
          </w:p>
        </w:tc>
        <w:tc>
          <w:tcPr>
            <w:tcW w:type="dxa" w:w="3390"/>
            <w:vAlign w:val="center"/>
            <w:shd w:fill="F1F5F2"/>
          </w:tcPr>
          <w:p>
            <w:pPr>
              <w:keepNext/>
              <w:spacing w:after="20"/>
            </w:pPr>
            <w:r>
              <w:rPr>
                <w:rFonts w:ascii="Arial" w:hAnsi="Arial" w:eastAsia="Arial" w:cs="Arial"/>
                <w:b/>
                <w:color w:val="215F52"/>
                <w:sz w:val="17"/>
              </w:rPr>
              <w:t>Attributed leakage, adjustment and source evidence</w:t>
            </w:r>
          </w:p>
        </w:tc>
      </w:tr>
      <w:tr>
        <w:trPr>
          <w:trHeight w:val="442" w:hRule="atLeast"/>
        </w:trPr>
        <w:tc>
          <w:tcPr>
            <w:tcW w:type="dxa" w:w="2778"/>
            <w:vAlign w:val="top"/>
          </w:tcPr>
          <w:p>
            <w:pPr>
              <w:keepNext w:val="0"/>
              <w:spacing w:after="20"/>
            </w:pPr>
            <w:sdt>
              <w:sdtPr>
                <w:id w:val="1215"/>
                <w:alias w:val="MR-13-T01-R1-C1"/>
                <w:tag w:val="MR-13-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216"/>
                <w:alias w:val="MR-13-T01-R1-C2"/>
                <w:tag w:val="MR-13-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217"/>
                <w:alias w:val="MR-13-T01-R1-C3"/>
                <w:tag w:val="MR-13-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18"/>
                <w:alias w:val="MR-13-T01-R2-C1"/>
                <w:tag w:val="MR-13-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219"/>
                <w:alias w:val="MR-13-T01-R2-C2"/>
                <w:tag w:val="MR-13-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220"/>
                <w:alias w:val="MR-13-T01-R2-C3"/>
                <w:tag w:val="MR-13-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21"/>
                <w:alias w:val="MR-13-T01-R3-C1"/>
                <w:tag w:val="MR-13-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222"/>
                <w:alias w:val="MR-13-T01-R3-C2"/>
                <w:tag w:val="MR-13-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223"/>
                <w:alias w:val="MR-13-T01-R3-C3"/>
                <w:tag w:val="MR-13-T01-R3-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24"/>
                <w:alias w:val="MR-13-T01-R4-C1"/>
                <w:tag w:val="MR-13-T01-R4-C1"/>
                <w:text w:multiLine="1"/>
              </w:sdtPr>
              <w:sdtContent>
                <w:r>
                  <w:rPr>
                    <w:rFonts w:ascii="Arial" w:hAnsi="Arial"/>
                    <w:color w:val="62716E"/>
                    <w:sz w:val="18"/>
                  </w:rPr>
                  <w:t>[Complete]</w:t>
                </w:r>
              </w:sdtContent>
            </w:sdt>
          </w:p>
        </w:tc>
        <w:tc>
          <w:tcPr>
            <w:tcW w:type="dxa" w:w="3572"/>
            <w:vAlign w:val="top"/>
          </w:tcPr>
          <w:p>
            <w:pPr>
              <w:keepNext w:val="0"/>
              <w:spacing w:after="20"/>
            </w:pPr>
            <w:sdt>
              <w:sdtPr>
                <w:id w:val="1225"/>
                <w:alias w:val="MR-13-T01-R4-C2"/>
                <w:tag w:val="MR-13-T01-R4-C2"/>
                <w:text w:multiLine="1"/>
              </w:sdtPr>
              <w:sdtContent>
                <w:r>
                  <w:rPr>
                    <w:rFonts w:ascii="Arial" w:hAnsi="Arial"/>
                    <w:color w:val="62716E"/>
                    <w:sz w:val="18"/>
                  </w:rPr>
                  <w:t>[Complete]</w:t>
                </w:r>
              </w:sdtContent>
            </w:sdt>
          </w:p>
        </w:tc>
        <w:tc>
          <w:tcPr>
            <w:tcW w:type="dxa" w:w="3390"/>
            <w:vAlign w:val="top"/>
          </w:tcPr>
          <w:p>
            <w:pPr>
              <w:keepNext w:val="0"/>
              <w:spacing w:after="20"/>
            </w:pPr>
            <w:sdt>
              <w:sdtPr>
                <w:id w:val="1226"/>
                <w:alias w:val="MR-13-T01-R4-C3"/>
                <w:tag w:val="MR-13-T01-R4-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Record actual surveys, reference evidence, drivers, included pools and gases, temporal allocation, remaining uncertainty and the governing rule for signed diagnostics. Explain every zero or exclusion. Keep components already included in project emissions out of a second leakage deduction.</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227"/>
                <w:alias w:val="MR-response-35"/>
                <w:tag w:val="MR-response-35"/>
                <w:text w:multiLine="1"/>
              </w:sdtPr>
              <w:sdtContent>
                <w:r>
                  <w:rPr>
                    <w:rFonts w:ascii="Arial" w:hAnsi="Arial"/>
                    <w:color w:val="62716E"/>
                    <w:sz w:val="18"/>
                  </w:rPr>
                  <w:t>[Enter response and exact evidence references.]</w:t>
                </w:r>
              </w:sdtContent>
            </w:sdt>
          </w:p>
        </w:tc>
      </w:tr>
    </w:tbl>
    <w:p>
      <w:pPr>
        <w:spacing w:after="20" w:line="40" w:lineRule="exact"/>
      </w:pPr>
      <w:r>
        <w:rPr>
          <w:sz w:val="4"/>
        </w:rPr>
      </w:r>
    </w:p>
    <w:p>
      <w:bookmarkStart w:id="420" w:name="MR_14"/>
      <w:pPr>
        <w:pStyle w:val="Heading1"/>
        <w:keepNext/>
        <w:pageBreakBefore/>
      </w:pPr>
      <w:r>
        <w:rPr>
          <w:rFonts w:ascii="Arial" w:hAnsi="Arial" w:eastAsia="Arial" w:cs="Arial"/>
          <w:b w:val="0"/>
          <w:color w:val="215F52"/>
          <w:sz w:val="38"/>
        </w:rPr>
        <w:t>14  Stocks, delayed releases and cohort continuity</w:t>
      </w:r>
      <w:bookmarkEnd w:id="420"/>
    </w:p>
    <w:p>
      <w:pPr>
        <w:keepNext/>
        <w:spacing w:after="100"/>
      </w:pPr>
      <w:r>
        <w:rPr>
          <w:rFonts w:ascii="Arial" w:hAnsi="Arial" w:eastAsia="Arial" w:cs="Arial"/>
          <w:b w:val="0"/>
          <w:color w:val="62716E"/>
          <w:sz w:val="16"/>
        </w:rPr>
        <w:t>[1] M04.1; M04.2; M04.3; F-C03a; F-C03b; F-C04; T-08; MIG-07</w:t>
      </w:r>
    </w:p>
    <w:p>
      <w:pPr>
        <w:spacing w:after="100"/>
      </w:pPr>
      <w:r>
        <w:rPr>
          <w:rFonts w:ascii="Arial" w:hAnsi="Arial" w:eastAsia="Arial" w:cs="Arial"/>
          <w:b w:val="0"/>
          <w:color w:val="243A36"/>
          <w:sz w:val="19"/>
        </w:rPr>
        <w:t>Reconcile the same physical loss through one consistent stock-change or event-release pathway. Retain cohorts originating before the current reporting interval and before migration where they still release material. Distinguish biomass, carbon, CO2 and CO2e.</w:t>
      </w:r>
    </w:p>
    <w:p>
      <w:pPr>
        <w:keepNext/>
        <w:spacing w:after="100"/>
      </w:pPr>
      <w:r>
        <w:rPr>
          <w:rFonts w:ascii="Arial" w:hAnsi="Arial" w:eastAsia="Arial" w:cs="Arial"/>
          <w:b/>
          <w:color w:val="215F52"/>
          <w:sz w:val="20"/>
        </w:rPr>
        <w:t>MR-14-T01 / Cohort release and remaining material</w:t>
      </w:r>
    </w:p>
    <w:p>
      <w:pPr>
        <w:keepNext/>
        <w:spacing w:after="100"/>
      </w:pPr>
      <w:r>
        <w:rPr>
          <w:rFonts w:ascii="Arial" w:hAnsi="Arial" w:eastAsia="Arial" w:cs="Arial"/>
          <w:b/>
          <w:color w:val="215F52"/>
          <w:sz w:val="17"/>
        </w:rPr>
        <w:t>MR-14-T01 / Calculation notation</w:t>
      </w:r>
    </w:p>
    <w:p>
      <w:pPr>
        <w:keepNext/>
        <w:spacing w:after="60" w:before="20"/>
        <w:jc w:val="center"/>
      </w:pPr>
      <m:oMath>
        <m:sSubSup>
          <m:e>
            <m:r>
              <w:rPr>
                <w:sz w:val="20"/>
                <w:rFonts w:ascii="Cambria Math" w:hAnsi="Cambria Math"/>
              </w:rPr>
              <m:t>E</m:t>
            </m:r>
          </m:e>
          <m:sub>
            <m:r>
              <w:rPr>
                <w:sz w:val="20"/>
                <w:rFonts w:ascii="Cambria Math" w:hAnsi="Cambria Math"/>
              </w:rPr>
              <m:t>i</m:t>
            </m:r>
            <m:r>
              <w:rPr>
                <w:sz w:val="20"/>
                <w:rFonts w:ascii="Cambria Math" w:hAnsi="Cambria Math"/>
              </w:rPr>
              <m:rPr>
                <m:sty m:val="p"/>
              </m:rPr>
              <m:t>,</m:t>
            </m:r>
            <m:r>
              <w:rPr>
                <w:sz w:val="20"/>
                <w:rFonts w:ascii="Cambria Math" w:hAnsi="Cambria Math"/>
              </w:rPr>
              <m:t>t</m:t>
            </m:r>
          </m:sub>
          <m:sup>
            <m:r>
              <w:rPr>
                <w:sz w:val="20"/>
                <w:rFonts w:ascii="Cambria Math" w:hAnsi="Cambria Math"/>
              </w:rPr>
              <m:rPr>
                <m:sty m:val="p"/>
              </m:rPr>
              <m:t>C</m:t>
            </m:r>
            <m:sSub>
              <m:e>
                <m:r>
                  <w:rPr>
                    <w:sz w:val="20"/>
                    <w:rFonts w:ascii="Cambria Math" w:hAnsi="Cambria Math"/>
                  </w:rPr>
                  <m:rPr>
                    <m:sty m:val="p"/>
                  </m:rPr>
                  <m:t>O</m:t>
                </m:r>
              </m:e>
              <m:sub>
                <m:r>
                  <w:rPr>
                    <w:sz w:val="20"/>
                    <w:rFonts w:ascii="Cambria Math" w:hAnsi="Cambria Math"/>
                  </w:rPr>
                  <m:rPr>
                    <m:sty m:val="p"/>
                  </m:rPr>
                  <m:t>2</m:t>
                </m:r>
              </m:sub>
            </m:sSub>
          </m:sup>
        </m:sSubSup>
        <m:r>
          <w:rPr>
            <w:sz w:val="20"/>
            <w:rFonts w:ascii="Cambria Math" w:hAnsi="Cambria Math"/>
          </w:rPr>
          <m:rPr>
            <m:sty m:val="p"/>
          </m:rPr>
          <m:t>=</m:t>
        </m:r>
        <m:f>
          <m:fPr>
            <m:type m:val="bar"/>
          </m:fPr>
          <m:num>
            <m:r>
              <w:rPr>
                <w:sz w:val="20"/>
                <w:rFonts w:ascii="Cambria Math" w:hAnsi="Cambria Math"/>
              </w:rPr>
              <m:t>44</m:t>
            </m:r>
          </m:num>
          <m:den>
            <m:r>
              <w:rPr>
                <w:sz w:val="20"/>
                <w:rFonts w:ascii="Cambria Math" w:hAnsi="Cambria Math"/>
              </w:rPr>
              <m:t>12</m:t>
            </m:r>
          </m:den>
        </m:f>
        <m:nary>
          <m:naryPr>
            <m:chr m:val="∑"/>
            <m:limLoc m:val="undOvr"/>
            <m:subHide m:val="off"/>
            <m:supHide m:val="on"/>
          </m:naryPr>
          <m:sub>
            <m:r>
              <w:rPr>
                <w:sz w:val="20"/>
                <w:rFonts w:ascii="Cambria Math" w:hAnsi="Cambria Math"/>
              </w:rPr>
              <m:t>τ</m:t>
            </m:r>
            <m:r>
              <w:rPr>
                <w:sz w:val="20"/>
                <w:rFonts w:ascii="Cambria Math" w:hAnsi="Cambria Math"/>
              </w:rPr>
              <m:rPr>
                <m:sty m:val="p"/>
              </m:rPr>
              <m:t>≤</m:t>
            </m:r>
            <m:r>
              <w:rPr>
                <w:sz w:val="20"/>
                <w:rFonts w:ascii="Cambria Math" w:hAnsi="Cambria Math"/>
              </w:rPr>
              <m:t>t</m:t>
            </m:r>
          </m:sub>
          <m:sup>
            <m:r>
              <w:rPr>
                <w:sz w:val="20"/>
                <w:rFonts w:ascii="Cambria Math" w:hAnsi="Cambria Math"/>
              </w:rPr>
              <m:t>​</m:t>
            </m:r>
          </m:sup>
          <m:e>
            <m:nary>
              <m:naryPr>
                <m:chr m:val="∑"/>
                <m:limLoc m:val="undOvr"/>
                <m:subHide m:val="off"/>
                <m:supHide m:val="on"/>
              </m:naryPr>
              <m:sub>
                <m:r>
                  <w:rPr>
                    <w:sz w:val="20"/>
                    <w:rFonts w:ascii="Cambria Math" w:hAnsi="Cambria Math"/>
                  </w:rPr>
                  <m:t>o</m:t>
                </m:r>
              </m:sub>
              <m:sup>
                <m:r>
                  <w:rPr>
                    <w:sz w:val="20"/>
                    <w:rFonts w:ascii="Cambria Math" w:hAnsi="Cambria Math"/>
                  </w:rPr>
                  <m:t>​</m:t>
                </m:r>
              </m:sup>
              <m:e>
                <m:sSub>
                  <m:e>
                    <m:r>
                      <w:rPr>
                        <w:sz w:val="20"/>
                        <w:rFonts w:ascii="Cambria Math" w:hAnsi="Cambria Math"/>
                      </w:rPr>
                      <m:t>A</m:t>
                    </m:r>
                  </m:e>
                  <m:sub>
                    <m:r>
                      <w:rPr>
                        <w:sz w:val="20"/>
                        <w:rFonts w:ascii="Cambria Math" w:hAnsi="Cambria Math"/>
                      </w:rPr>
                      <m:t>i</m:t>
                    </m:r>
                    <m:r>
                      <w:rPr>
                        <w:sz w:val="20"/>
                        <w:rFonts w:ascii="Cambria Math" w:hAnsi="Cambria Math"/>
                      </w:rPr>
                      <m:rPr>
                        <m:sty m:val="p"/>
                      </m:rPr>
                      <m:t>,</m:t>
                    </m:r>
                    <m:r>
                      <w:rPr>
                        <w:sz w:val="20"/>
                        <w:rFonts w:ascii="Cambria Math" w:hAnsi="Cambria Math"/>
                      </w:rPr>
                      <m:t>τ</m:t>
                    </m:r>
                  </m:sub>
                </m:sSub>
              </m:e>
            </m:nary>
          </m:e>
        </m:nary>
        <m:sSub>
          <m:e>
            <m:r>
              <w:rPr>
                <w:sz w:val="20"/>
                <w:rFonts w:ascii="Cambria Math" w:hAnsi="Cambria Math"/>
              </w:rPr>
              <m:rPr>
                <m:sty m:val="p"/>
              </m:rPr>
              <m:t>ℓ</m:t>
            </m:r>
          </m:e>
          <m:sub>
            <m:r>
              <w:rPr>
                <w:sz w:val="20"/>
                <w:rFonts w:ascii="Cambria Math" w:hAnsi="Cambria Math"/>
              </w:rPr>
              <m:t>i</m:t>
            </m:r>
            <m:r>
              <w:rPr>
                <w:sz w:val="20"/>
                <w:rFonts w:ascii="Cambria Math" w:hAnsi="Cambria Math"/>
              </w:rPr>
              <m:t>o</m:t>
            </m:r>
            <m:r>
              <w:rPr>
                <w:sz w:val="20"/>
                <w:rFonts w:ascii="Cambria Math" w:hAnsi="Cambria Math"/>
              </w:rPr>
              <m:rPr>
                <m:sty m:val="p"/>
              </m:rPr>
              <m:t>,</m:t>
            </m:r>
            <m:r>
              <w:rPr>
                <w:sz w:val="20"/>
                <w:rFonts w:ascii="Cambria Math" w:hAnsi="Cambria Math"/>
              </w:rPr>
              <m:t>τ</m:t>
            </m:r>
          </m:sub>
        </m:sSub>
        <m:sSub>
          <m:e>
            <m:r>
              <w:rPr>
                <w:sz w:val="20"/>
                <w:rFonts w:ascii="Cambria Math" w:hAnsi="Cambria Math"/>
              </w:rPr>
              <m:t>k</m:t>
            </m:r>
          </m:e>
          <m:sub>
            <m:r>
              <w:rPr>
                <w:sz w:val="20"/>
                <w:rFonts w:ascii="Cambria Math" w:hAnsi="Cambria Math"/>
              </w:rPr>
              <m:t>i</m:t>
            </m:r>
            <m:r>
              <w:rPr>
                <w:sz w:val="20"/>
                <w:rFonts w:ascii="Cambria Math" w:hAnsi="Cambria Math"/>
              </w:rPr>
              <m:t>o</m:t>
            </m:r>
            <m:r>
              <w:rPr>
                <w:sz w:val="20"/>
                <w:rFonts w:ascii="Cambria Math" w:hAnsi="Cambria Math"/>
              </w:rPr>
              <m:rPr>
                <m:sty m:val="p"/>
              </m:rPr>
              <m:t>,</m:t>
            </m:r>
            <m:r>
              <w:rPr>
                <w:sz w:val="20"/>
                <w:rFonts w:ascii="Cambria Math" w:hAnsi="Cambria Math"/>
              </w:rPr>
              <m:t>τ</m:t>
            </m:r>
          </m:sub>
        </m:sSub>
        <m:d>
          <m:dPr>
            <m:begChr m:val="("/>
            <m:endChr m:val=")"/>
            <m:sepChr m:val=""/>
            <m:grow/>
          </m:dPr>
          <m:e>
            <m:r>
              <w:rPr>
                <w:sz w:val="20"/>
                <w:rFonts w:ascii="Cambria Math" w:hAnsi="Cambria Math"/>
              </w:rPr>
              <m:t>t</m:t>
            </m:r>
          </m:e>
        </m:d>
      </m:oMath>
    </w:p>
    <w:p>
      <w:pPr>
        <w:keepNext/>
        <w:spacing w:after="60"/>
      </w:pPr>
      <w:r>
        <w:rPr>
          <w:rFonts w:ascii="Arial" w:hAnsi="Arial" w:eastAsia="Arial" w:cs="Arial"/>
          <w:b w:val="0"/>
          <w:color w:val="215F52"/>
          <w:sz w:val="17"/>
        </w:rPr>
        <w:t>A is newly affected ha, ell is allocated Mg C/ha, and k is the fraction released as CO2 in interval t. The sum of fractions cannot exceed its defined allocation. Cohorts and pools are disjoint; keep remaining material and pre-period cohorts. Use exact intervals.</w:t>
      </w:r>
    </w:p>
    <w:p>
      <w:pPr>
        <w:keepNext/>
        <w:spacing w:after="80"/>
      </w:pPr>
      <w:r>
        <w:rPr>
          <w:rFonts w:ascii="Arial" w:hAnsi="Arial" w:eastAsia="Arial" w:cs="Arial"/>
          <w:b w:val="0"/>
          <w:color w:val="62716E"/>
          <w:sz w:val="16"/>
        </w:rPr>
        <w:t>Basis: M04.2; F-C03a; F-C03b; F-C04. Calculation location: Upstream cohort schedule; Components!F:L.</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Stratum / pool / event interval</w:t>
            </w:r>
          </w:p>
        </w:tc>
        <w:tc>
          <w:tcPr>
            <w:tcW w:type="dxa" w:w="3572"/>
            <w:vAlign w:val="center"/>
            <w:shd w:fill="F1F5F2"/>
          </w:tcPr>
          <w:p>
            <w:pPr>
              <w:keepNext/>
              <w:spacing w:after="20"/>
            </w:pPr>
            <w:r>
              <w:rPr>
                <w:rFonts w:ascii="Arial" w:hAnsi="Arial" w:eastAsia="Arial" w:cs="Arial"/>
                <w:b/>
                <w:color w:val="215F52"/>
                <w:sz w:val="17"/>
              </w:rPr>
              <w:t>Allocated carbon, release kernel and current release</w:t>
            </w:r>
          </w:p>
        </w:tc>
        <w:tc>
          <w:tcPr>
            <w:tcW w:type="dxa" w:w="3390"/>
            <w:vAlign w:val="center"/>
            <w:shd w:fill="F1F5F2"/>
          </w:tcPr>
          <w:p>
            <w:pPr>
              <w:keepNext/>
              <w:spacing w:after="20"/>
            </w:pPr>
            <w:r>
              <w:rPr>
                <w:rFonts w:ascii="Arial" w:hAnsi="Arial" w:eastAsia="Arial" w:cs="Arial"/>
                <w:b/>
                <w:color w:val="215F52"/>
                <w:sz w:val="17"/>
              </w:rPr>
              <w:t>Remaining allocation, balance and evidence</w:t>
            </w:r>
          </w:p>
        </w:tc>
      </w:tr>
      <w:tr>
        <w:trPr>
          <w:trHeight w:val="442" w:hRule="atLeast"/>
        </w:trPr>
        <w:tc>
          <w:tcPr>
            <w:tcW w:type="dxa" w:w="2778"/>
            <w:vAlign w:val="top"/>
          </w:tcPr>
          <w:p>
            <w:pPr>
              <w:keepNext w:val="0"/>
              <w:spacing w:after="20"/>
            </w:pPr>
            <w:sdt>
              <w:sdtPr>
                <w:id w:val="1228"/>
                <w:alias w:val="MR-14-T01-R1-C1"/>
                <w:tag w:val="MR-14-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229"/>
                <w:alias w:val="MR-14-T01-R1-C2"/>
                <w:tag w:val="MR-14-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230"/>
                <w:alias w:val="MR-14-T01-R1-C3"/>
                <w:tag w:val="MR-14-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31"/>
                <w:alias w:val="MR-14-T01-R2-C1"/>
                <w:tag w:val="MR-14-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232"/>
                <w:alias w:val="MR-14-T01-R2-C2"/>
                <w:tag w:val="MR-14-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233"/>
                <w:alias w:val="MR-14-T01-R2-C3"/>
                <w:tag w:val="MR-14-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34"/>
                <w:alias w:val="MR-14-T01-R3-C1"/>
                <w:tag w:val="MR-14-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235"/>
                <w:alias w:val="MR-14-T01-R3-C2"/>
                <w:tag w:val="MR-14-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236"/>
                <w:alias w:val="MR-14-T01-R3-C3"/>
                <w:tag w:val="MR-14-T01-R3-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37"/>
                <w:alias w:val="MR-14-T01-R4-C1"/>
                <w:tag w:val="MR-14-T01-R4-C1"/>
                <w:text w:multiLine="1"/>
              </w:sdtPr>
              <w:sdtContent>
                <w:r>
                  <w:rPr>
                    <w:rFonts w:ascii="Arial" w:hAnsi="Arial"/>
                    <w:color w:val="62716E"/>
                    <w:sz w:val="18"/>
                  </w:rPr>
                  <w:t>[Complete]</w:t>
                </w:r>
              </w:sdtContent>
            </w:sdt>
          </w:p>
        </w:tc>
        <w:tc>
          <w:tcPr>
            <w:tcW w:type="dxa" w:w="3572"/>
            <w:vAlign w:val="top"/>
          </w:tcPr>
          <w:p>
            <w:pPr>
              <w:keepNext w:val="0"/>
              <w:spacing w:after="20"/>
            </w:pPr>
            <w:sdt>
              <w:sdtPr>
                <w:id w:val="1238"/>
                <w:alias w:val="MR-14-T01-R4-C2"/>
                <w:tag w:val="MR-14-T01-R4-C2"/>
                <w:text w:multiLine="1"/>
              </w:sdtPr>
              <w:sdtContent>
                <w:r>
                  <w:rPr>
                    <w:rFonts w:ascii="Arial" w:hAnsi="Arial"/>
                    <w:color w:val="62716E"/>
                    <w:sz w:val="18"/>
                  </w:rPr>
                  <w:t>[Complete]</w:t>
                </w:r>
              </w:sdtContent>
            </w:sdt>
          </w:p>
        </w:tc>
        <w:tc>
          <w:tcPr>
            <w:tcW w:type="dxa" w:w="3390"/>
            <w:vAlign w:val="top"/>
          </w:tcPr>
          <w:p>
            <w:pPr>
              <w:keepNext w:val="0"/>
              <w:spacing w:after="20"/>
            </w:pPr>
            <w:sdt>
              <w:sdtPr>
                <w:id w:val="1239"/>
                <w:alias w:val="MR-14-T01-R4-C3"/>
                <w:tag w:val="MR-14-T01-R4-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Explain pool transfers, harvested material, decay, burning and gas characterization where applicable. Check that previously recognized releases are not counted twice and that the sequence does not release more than its documented allocation. A revised carbon stock is not itself a newly observed removal.</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240"/>
                <w:alias w:val="MR-response-37"/>
                <w:tag w:val="MR-response-37"/>
                <w:text w:multiLine="1"/>
              </w:sdtPr>
              <w:sdtContent>
                <w:r>
                  <w:rPr>
                    <w:rFonts w:ascii="Arial" w:hAnsi="Arial"/>
                    <w:color w:val="62716E"/>
                    <w:sz w:val="18"/>
                  </w:rPr>
                  <w:t>[Enter response and exact evidence references.]</w:t>
                </w:r>
              </w:sdtContent>
            </w:sdt>
          </w:p>
        </w:tc>
      </w:tr>
    </w:tbl>
    <w:p>
      <w:pPr>
        <w:spacing w:after="20" w:line="40" w:lineRule="exact"/>
      </w:pPr>
      <w:r>
        <w:rPr>
          <w:sz w:val="4"/>
        </w:rPr>
      </w:r>
    </w:p>
    <w:p>
      <w:bookmarkStart w:id="431" w:name="MR_15"/>
      <w:pPr>
        <w:pStyle w:val="Heading1"/>
        <w:keepNext/>
        <w:pageBreakBefore/>
      </w:pPr>
      <w:r>
        <w:rPr>
          <w:rFonts w:ascii="Arial" w:hAnsi="Arial" w:eastAsia="Arial" w:cs="Arial"/>
          <w:b w:val="0"/>
          <w:color w:val="215F52"/>
          <w:sz w:val="38"/>
        </w:rPr>
        <w:t>15  Signed ex-post account and reporting totals</w:t>
      </w:r>
      <w:bookmarkEnd w:id="431"/>
    </w:p>
    <w:p>
      <w:pPr>
        <w:keepNext/>
        <w:spacing w:after="100"/>
      </w:pPr>
      <w:r>
        <w:rPr>
          <w:rFonts w:ascii="Arial" w:hAnsi="Arial" w:eastAsia="Arial" w:cs="Arial"/>
          <w:b w:val="0"/>
          <w:color w:val="62716E"/>
          <w:sz w:val="16"/>
        </w:rPr>
        <w:t>[1] M04.5; F-R01; F-R03; P-04; P-13; FRM-02</w:t>
      </w:r>
    </w:p>
    <w:p>
      <w:pPr>
        <w:keepNext/>
        <w:spacing w:after="100"/>
      </w:pPr>
      <w:r>
        <w:rPr>
          <w:rFonts w:ascii="Arial" w:hAnsi="Arial" w:eastAsia="Arial" w:cs="Arial"/>
          <w:b/>
          <w:color w:val="215F52"/>
          <w:sz w:val="20"/>
        </w:rPr>
        <w:t>MR-15-T01 / Period and stratum account</w:t>
      </w:r>
    </w:p>
    <w:p>
      <w:pPr>
        <w:keepNext/>
        <w:spacing w:after="100"/>
      </w:pPr>
      <w:r>
        <w:rPr>
          <w:rFonts w:ascii="Arial" w:hAnsi="Arial" w:eastAsia="Arial" w:cs="Arial"/>
          <w:b/>
          <w:color w:val="215F52"/>
          <w:sz w:val="17"/>
        </w:rPr>
        <w:t>MR-15-T01 / Calculation notation</w:t>
      </w:r>
    </w:p>
    <w:p>
      <w:pPr>
        <w:keepNext/>
        <w:spacing w:after="60" w:before="20"/>
        <w:jc w:val="center"/>
      </w:pPr>
      <m:oMath>
        <m:sSubSup>
          <m:e>
            <m:acc>
              <m:accPr>
                <m:chr m:val="̂"/>
              </m:accPr>
              <m:e>
                <m:r>
                  <w:rPr>
                    <w:sz w:val="20"/>
                    <w:rFonts w:ascii="Cambria Math" w:hAnsi="Cambria Math"/>
                  </w:rPr>
                  <m:t>Q</m:t>
                </m:r>
              </m:e>
            </m:acc>
          </m:e>
          <m:sub>
            <m:r>
              <w:rPr>
                <w:sz w:val="20"/>
                <w:rFonts w:ascii="Cambria Math" w:hAnsi="Cambria Math"/>
              </w:rPr>
              <m:t>t</m:t>
            </m:r>
          </m:sub>
          <m:sup>
            <m:r>
              <w:rPr>
                <w:sz w:val="20"/>
                <w:rFonts w:ascii="Cambria Math" w:hAnsi="Cambria Math"/>
              </w:rPr>
              <m:t>z</m:t>
            </m:r>
          </m:sup>
        </m:sSubSup>
        <m:r>
          <w:rPr>
            <w:sz w:val="20"/>
            <w:rFonts w:ascii="Cambria Math" w:hAnsi="Cambria Math"/>
          </w:rPr>
          <m:rPr>
            <m:sty m:val="p"/>
          </m:rPr>
          <m:t>=</m:t>
        </m:r>
        <m:sSubSup>
          <m:e>
            <m:r>
              <w:rPr>
                <w:sz w:val="20"/>
                <w:rFonts w:ascii="Cambria Math" w:hAnsi="Cambria Math"/>
              </w:rPr>
              <m:t>N</m:t>
            </m:r>
          </m:e>
          <m:sub>
            <m:r>
              <w:rPr>
                <w:sz w:val="20"/>
                <w:rFonts w:ascii="Cambria Math" w:hAnsi="Cambria Math"/>
              </w:rPr>
              <m:rPr>
                <m:sty m:val="p"/>
              </m:rPr>
              <m:t>B</m:t>
            </m:r>
            <m:r>
              <w:rPr>
                <w:sz w:val="20"/>
                <w:rFonts w:ascii="Cambria Math" w:hAnsi="Cambria Math"/>
              </w:rPr>
              <m:rPr>
                <m:sty m:val="p"/>
              </m:rPr>
              <m:t>L</m:t>
            </m:r>
            <m:r>
              <w:rPr>
                <w:sz w:val="20"/>
                <w:rFonts w:ascii="Cambria Math" w:hAnsi="Cambria Math"/>
              </w:rPr>
              <m:rPr>
                <m:sty m:val="p"/>
              </m:rPr>
              <m:t>,</m:t>
            </m:r>
            <m:r>
              <w:rPr>
                <w:sz w:val="20"/>
                <w:rFonts w:ascii="Cambria Math" w:hAnsi="Cambria Math"/>
              </w:rPr>
              <m:t>t</m:t>
            </m:r>
          </m:sub>
          <m:sup>
            <m:r>
              <w:rPr>
                <w:sz w:val="20"/>
                <w:rFonts w:ascii="Cambria Math" w:hAnsi="Cambria Math"/>
              </w:rPr>
              <m:t>z</m:t>
            </m:r>
          </m:sup>
        </m:sSubSup>
        <m:r>
          <w:rPr>
            <w:sz w:val="20"/>
            <w:rFonts w:ascii="Cambria Math" w:hAnsi="Cambria Math"/>
          </w:rPr>
          <m:rPr>
            <m:sty m:val="p"/>
          </m:rPr>
          <m:t>−</m:t>
        </m:r>
        <m:sSubSup>
          <m:e>
            <m:r>
              <w:rPr>
                <w:sz w:val="20"/>
                <w:rFonts w:ascii="Cambria Math" w:hAnsi="Cambria Math"/>
              </w:rPr>
              <m:t>N</m:t>
            </m:r>
          </m:e>
          <m:sub>
            <m:r>
              <w:rPr>
                <w:sz w:val="20"/>
                <w:rFonts w:ascii="Cambria Math" w:hAnsi="Cambria Math"/>
              </w:rPr>
              <m:rPr>
                <m:sty m:val="p"/>
              </m:rPr>
              <m:t>P</m:t>
            </m:r>
            <m:r>
              <w:rPr>
                <w:sz w:val="20"/>
                <w:rFonts w:ascii="Cambria Math" w:hAnsi="Cambria Math"/>
              </w:rPr>
              <m:rPr>
                <m:sty m:val="p"/>
              </m:rPr>
              <m:t>J</m:t>
            </m:r>
            <m:r>
              <w:rPr>
                <w:sz w:val="20"/>
                <w:rFonts w:ascii="Cambria Math" w:hAnsi="Cambria Math"/>
              </w:rPr>
              <m:rPr>
                <m:sty m:val="p"/>
              </m:rPr>
              <m:t>,</m:t>
            </m:r>
            <m:r>
              <w:rPr>
                <w:sz w:val="20"/>
                <w:rFonts w:ascii="Cambria Math" w:hAnsi="Cambria Math"/>
              </w:rPr>
              <m:t>t</m:t>
            </m:r>
          </m:sub>
          <m:sup>
            <m:r>
              <w:rPr>
                <w:sz w:val="20"/>
                <w:rFonts w:ascii="Cambria Math" w:hAnsi="Cambria Math"/>
              </w:rPr>
              <m:t>z</m:t>
            </m:r>
          </m:sup>
        </m:sSubSup>
        <m:r>
          <w:rPr>
            <w:sz w:val="20"/>
            <w:rFonts w:ascii="Cambria Math" w:hAnsi="Cambria Math"/>
          </w:rPr>
          <m:rPr>
            <m:sty m:val="p"/>
          </m:rPr>
          <m:t>−</m:t>
        </m:r>
        <m:sSubSup>
          <m:e>
            <m:r>
              <w:rPr>
                <w:sz w:val="20"/>
                <w:rFonts w:ascii="Cambria Math" w:hAnsi="Cambria Math"/>
              </w:rPr>
              <m:t>L</m:t>
            </m:r>
          </m:e>
          <m:sub>
            <m:r>
              <w:rPr>
                <w:sz w:val="20"/>
                <w:rFonts w:ascii="Cambria Math" w:hAnsi="Cambria Math"/>
              </w:rPr>
              <m:t>t</m:t>
            </m:r>
          </m:sub>
          <m:sup>
            <m:r>
              <w:rPr>
                <w:sz w:val="20"/>
                <w:rFonts w:ascii="Cambria Math" w:hAnsi="Cambria Math"/>
              </w:rPr>
              <m:t>z</m:t>
            </m:r>
          </m:sup>
        </m:sSubSup>
        <m:r>
          <w:rPr>
            <w:sz w:val="20"/>
            <w:rFonts w:ascii="Cambria Math" w:hAnsi="Cambria Math"/>
          </w:rPr>
          <m:rPr>
            <m:sty m:val="p"/>
          </m:rPr>
          <m:t>,</m:t>
        </m:r>
        <m:r>
          <w:rPr>
            <w:sz w:val="20"/>
            <w:rFonts w:ascii="Cambria Math" w:hAnsi="Cambria Math"/>
          </w:rPr>
          <m:t>  </m:t>
        </m:r>
        <m:r>
          <w:rPr>
            <w:sz w:val="20"/>
            <w:rFonts w:ascii="Cambria Math" w:hAnsi="Cambria Math"/>
          </w:rPr>
          <m:t>z</m:t>
        </m:r>
        <m:r>
          <w:rPr>
            <w:sz w:val="20"/>
            <w:rFonts w:ascii="Cambria Math" w:hAnsi="Cambria Math"/>
          </w:rPr>
          <m:rPr>
            <m:sty m:val="p"/>
          </m:rPr>
          <m:t>∈</m:t>
        </m:r>
        <m:r>
          <w:rPr>
            <w:sz w:val="20"/>
            <w:rFonts w:ascii="Cambria Math" w:hAnsi="Cambria Math"/>
          </w:rPr>
          <m:rPr>
            <m:sty m:val="p"/>
          </m:rPr>
          <m:t>{</m:t>
        </m:r>
        <m:r>
          <w:rPr>
            <w:sz w:val="20"/>
            <w:rFonts w:ascii="Cambria Math" w:hAnsi="Cambria Math"/>
          </w:rPr>
          <m:rPr>
            <m:sty m:val="p"/>
          </m:rPr>
          <m:t>E</m:t>
        </m:r>
        <m:r>
          <w:rPr>
            <w:sz w:val="20"/>
            <w:rFonts w:ascii="Cambria Math" w:hAnsi="Cambria Math"/>
          </w:rPr>
          <m:rPr>
            <m:sty m:val="p"/>
          </m:rPr>
          <m:t>A</m:t>
        </m:r>
        <m:r>
          <w:rPr>
            <w:sz w:val="20"/>
            <w:rFonts w:ascii="Cambria Math" w:hAnsi="Cambria Math"/>
          </w:rPr>
          <m:rPr>
            <m:sty m:val="p"/>
          </m:rPr>
          <m:t>,</m:t>
        </m:r>
        <m:r>
          <w:rPr>
            <w:sz w:val="20"/>
            <w:rFonts w:ascii="Cambria Math" w:hAnsi="Cambria Math"/>
          </w:rPr>
          <m:rPr>
            <m:sty m:val="p"/>
          </m:rPr>
          <m:t>E</m:t>
        </m:r>
        <m:r>
          <w:rPr>
            <w:sz w:val="20"/>
            <w:rFonts w:ascii="Cambria Math" w:hAnsi="Cambria Math"/>
          </w:rPr>
          <m:rPr>
            <m:sty m:val="p"/>
          </m:rPr>
          <m:t>P</m:t>
        </m:r>
        <m:r>
          <w:rPr>
            <w:sz w:val="20"/>
            <w:rFonts w:ascii="Cambria Math" w:hAnsi="Cambria Math"/>
          </w:rPr>
          <m:rPr>
            <m:sty m:val="p"/>
          </m:rPr>
          <m:t>}</m:t>
        </m:r>
      </m:oMath>
    </w:p>
    <w:p>
      <w:pPr>
        <w:keepNext/>
        <w:spacing w:after="60"/>
      </w:pPr>
      <w:r>
        <w:rPr>
          <w:rFonts w:ascii="Arial" w:hAnsi="Arial" w:eastAsia="Arial" w:cs="Arial"/>
          <w:b w:val="0"/>
          <w:color w:val="215F52"/>
          <w:sz w:val="17"/>
        </w:rPr>
        <w:t>EA denotes the dated forecast; EP denotes the reporting-period account, not automatic verification. All terms are signed period masses on matched support. The quantity is before uncertainty, previous liabilities, reserve, and denomination.</w:t>
      </w:r>
    </w:p>
    <w:p>
      <w:pPr>
        <w:keepNext/>
        <w:spacing w:after="80"/>
      </w:pPr>
      <w:r>
        <w:rPr>
          <w:rFonts w:ascii="Arial" w:hAnsi="Arial" w:eastAsia="Arial" w:cs="Arial"/>
          <w:b w:val="0"/>
          <w:color w:val="62716E"/>
          <w:sz w:val="16"/>
        </w:rPr>
        <w:t>Basis: M04.5; F-R01. Calculation location: ExAnte!F:I; ExPost!F:I.</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Period / stratum / category</w:t>
            </w:r>
          </w:p>
        </w:tc>
        <w:tc>
          <w:tcPr>
            <w:tcW w:type="dxa" w:w="3572"/>
            <w:vAlign w:val="center"/>
            <w:shd w:fill="F1F5F2"/>
          </w:tcPr>
          <w:p>
            <w:pPr>
              <w:keepNext/>
              <w:spacing w:after="20"/>
            </w:pPr>
            <w:r>
              <w:rPr>
                <w:rFonts w:ascii="Arial" w:hAnsi="Arial" w:eastAsia="Arial" w:cs="Arial"/>
                <w:b/>
                <w:color w:val="215F52"/>
                <w:sz w:val="17"/>
              </w:rPr>
              <w:t>Baseline, project and leakage masses (t CO2e)</w:t>
            </w:r>
          </w:p>
        </w:tc>
        <w:tc>
          <w:tcPr>
            <w:tcW w:type="dxa" w:w="3390"/>
            <w:vAlign w:val="center"/>
            <w:shd w:fill="F1F5F2"/>
          </w:tcPr>
          <w:p>
            <w:pPr>
              <w:keepNext/>
              <w:spacing w:after="20"/>
            </w:pPr>
            <w:r>
              <w:rPr>
                <w:rFonts w:ascii="Arial" w:hAnsi="Arial" w:eastAsia="Arial" w:cs="Arial"/>
                <w:b/>
                <w:color w:val="215F52"/>
                <w:sz w:val="17"/>
              </w:rPr>
              <w:t>Signed result and exact workbook row</w:t>
            </w:r>
          </w:p>
        </w:tc>
      </w:tr>
      <w:tr>
        <w:trPr>
          <w:trHeight w:val="442" w:hRule="atLeast"/>
        </w:trPr>
        <w:tc>
          <w:tcPr>
            <w:tcW w:type="dxa" w:w="2778"/>
            <w:vAlign w:val="top"/>
          </w:tcPr>
          <w:p>
            <w:pPr>
              <w:keepNext w:val="0"/>
              <w:spacing w:after="20"/>
            </w:pPr>
            <w:sdt>
              <w:sdtPr>
                <w:id w:val="1241"/>
                <w:alias w:val="MR-15-T01-R1-C1"/>
                <w:tag w:val="MR-15-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242"/>
                <w:alias w:val="MR-15-T01-R1-C2"/>
                <w:tag w:val="MR-15-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243"/>
                <w:alias w:val="MR-15-T01-R1-C3"/>
                <w:tag w:val="MR-15-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44"/>
                <w:alias w:val="MR-15-T01-R2-C1"/>
                <w:tag w:val="MR-15-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245"/>
                <w:alias w:val="MR-15-T01-R2-C2"/>
                <w:tag w:val="MR-15-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246"/>
                <w:alias w:val="MR-15-T01-R2-C3"/>
                <w:tag w:val="MR-15-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47"/>
                <w:alias w:val="MR-15-T01-R3-C1"/>
                <w:tag w:val="MR-15-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248"/>
                <w:alias w:val="MR-15-T01-R3-C2"/>
                <w:tag w:val="MR-15-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249"/>
                <w:alias w:val="MR-15-T01-R3-C3"/>
                <w:tag w:val="MR-15-T01-R3-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50"/>
                <w:alias w:val="MR-15-T01-R4-C1"/>
                <w:tag w:val="MR-15-T01-R4-C1"/>
                <w:text w:multiLine="1"/>
              </w:sdtPr>
              <w:sdtContent>
                <w:r>
                  <w:rPr>
                    <w:rFonts w:ascii="Arial" w:hAnsi="Arial"/>
                    <w:color w:val="62716E"/>
                    <w:sz w:val="18"/>
                  </w:rPr>
                  <w:t>[Complete]</w:t>
                </w:r>
              </w:sdtContent>
            </w:sdt>
          </w:p>
        </w:tc>
        <w:tc>
          <w:tcPr>
            <w:tcW w:type="dxa" w:w="3572"/>
            <w:vAlign w:val="top"/>
          </w:tcPr>
          <w:p>
            <w:pPr>
              <w:keepNext w:val="0"/>
              <w:spacing w:after="20"/>
            </w:pPr>
            <w:sdt>
              <w:sdtPr>
                <w:id w:val="1251"/>
                <w:alias w:val="MR-15-T01-R4-C2"/>
                <w:tag w:val="MR-15-T01-R4-C2"/>
                <w:text w:multiLine="1"/>
              </w:sdtPr>
              <w:sdtContent>
                <w:r>
                  <w:rPr>
                    <w:rFonts w:ascii="Arial" w:hAnsi="Arial"/>
                    <w:color w:val="62716E"/>
                    <w:sz w:val="18"/>
                  </w:rPr>
                  <w:t>[Complete]</w:t>
                </w:r>
              </w:sdtContent>
            </w:sdt>
          </w:p>
        </w:tc>
        <w:tc>
          <w:tcPr>
            <w:tcW w:type="dxa" w:w="3390"/>
            <w:vAlign w:val="top"/>
          </w:tcPr>
          <w:p>
            <w:pPr>
              <w:keepNext w:val="0"/>
              <w:spacing w:after="20"/>
            </w:pPr>
            <w:sdt>
              <w:sdtPr>
                <w:id w:val="1252"/>
                <w:alias w:val="MR-15-T01-R4-C3"/>
                <w:tag w:val="MR-15-T01-R4-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Identify disjoint included components and the method for aggregating them. Reconcile the reported total to the authoritative Ex-Post annex and workbook. Retain negative contributions, excluded scope and unresolved inputs before any nonnegative eligible portion.</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253"/>
                <w:alias w:val="MR-response-39"/>
                <w:tag w:val="MR-response-39"/>
                <w:text w:multiLine="1"/>
              </w:sdtPr>
              <w:sdtContent>
                <w:r>
                  <w:rPr>
                    <w:rFonts w:ascii="Arial" w:hAnsi="Arial"/>
                    <w:color w:val="62716E"/>
                    <w:sz w:val="18"/>
                  </w:rPr>
                  <w:t>[Enter response and exact evidence references.]</w:t>
                </w:r>
              </w:sdtContent>
            </w:sdt>
          </w:p>
        </w:tc>
      </w:tr>
    </w:tbl>
    <w:p>
      <w:pPr>
        <w:spacing w:after="20" w:line="40" w:lineRule="exact"/>
      </w:pPr>
      <w:r>
        <w:rPr>
          <w:sz w:val="4"/>
        </w:rPr>
      </w:r>
    </w:p>
    <w:p>
      <w:pPr>
        <w:keepNext/>
        <w:spacing w:after="100"/>
      </w:pPr>
      <w:r>
        <w:rPr>
          <w:rFonts w:ascii="Arial" w:hAnsi="Arial" w:eastAsia="Arial" w:cs="Arial"/>
          <w:b/>
          <w:color w:val="215F52"/>
          <w:sz w:val="20"/>
        </w:rPr>
        <w:t>MR-15-T02 / Current interval versus cumulative history</w:t>
      </w:r>
    </w:p>
    <w:p>
      <w:pPr>
        <w:keepNext/>
        <w:spacing w:after="100"/>
      </w:pPr>
      <w:r>
        <w:rPr>
          <w:rFonts w:ascii="Arial" w:hAnsi="Arial" w:eastAsia="Arial" w:cs="Arial"/>
          <w:b/>
          <w:color w:val="215F52"/>
          <w:sz w:val="17"/>
        </w:rPr>
        <w:t>MR-15-T02 / Calculation notation</w:t>
      </w:r>
    </w:p>
    <w:p>
      <w:pPr>
        <w:keepNext/>
        <w:spacing w:after="60" w:before="20"/>
        <w:jc w:val="center"/>
      </w:pPr>
      <m:oMath>
        <m:sSub>
          <m:e>
            <m:r>
              <w:rPr>
                <w:sz w:val="20"/>
                <w:rFonts w:ascii="Cambria Math" w:hAnsi="Cambria Math"/>
              </w:rPr>
              <m:t>x</m:t>
            </m:r>
          </m:e>
          <m:sub>
            <m:r>
              <w:rPr>
                <w:sz w:val="20"/>
                <w:rFonts w:ascii="Cambria Math" w:hAnsi="Cambria Math"/>
              </w:rPr>
              <m:rPr>
                <m:sty m:val="p"/>
              </m:rPr>
              <m:t>ℓ</m:t>
            </m:r>
          </m:sub>
        </m:sSub>
        <m:r>
          <w:rPr>
            <w:sz w:val="20"/>
            <w:rFonts w:ascii="Cambria Math" w:hAnsi="Cambria Math"/>
          </w:rPr>
          <m:t> </m:t>
        </m:r>
        <m:d>
          <m:dPr>
            <m:begChr m:val="["/>
            <m:endChr m:val="]"/>
            <m:sepChr m:val=""/>
            <m:grow/>
          </m:dPr>
          <m:e>
            <m:sSub>
              <m:e>
                <m:r>
                  <w:rPr>
                    <w:sz w:val="20"/>
                    <w:rFonts w:ascii="Cambria Math" w:hAnsi="Cambria Math"/>
                  </w:rPr>
                  <m:t>u</m:t>
                </m:r>
              </m:e>
              <m:sub>
                <m:r>
                  <w:rPr>
                    <w:sz w:val="20"/>
                    <w:rFonts w:ascii="Cambria Math" w:hAnsi="Cambria Math"/>
                  </w:rPr>
                  <m:rPr>
                    <m:sty m:val="p"/>
                  </m:rPr>
                  <m:t>ℓ</m:t>
                </m:r>
              </m:sub>
            </m:sSub>
          </m:e>
        </m:d>
      </m:oMath>
    </w:p>
    <w:p>
      <w:pPr>
        <w:keepNext/>
        <w:spacing w:after="60"/>
      </w:pPr>
      <w:r>
        <w:rPr>
          <w:rFonts w:ascii="Arial" w:hAnsi="Arial" w:eastAsia="Arial" w:cs="Arial"/>
          <w:b w:val="0"/>
          <w:color w:val="215F52"/>
          <w:sz w:val="17"/>
        </w:rPr>
        <w:t>x_l is the identified observation, input, or output; u_l is its declared unit. Record the exact equation and source file, worksheet, cell/range, period, and status. This notation does not prescribe an estimator.</w:t>
      </w:r>
    </w:p>
    <w:p>
      <w:pPr>
        <w:keepNext/>
        <w:spacing w:after="80"/>
      </w:pPr>
      <w:r>
        <w:rPr>
          <w:rFonts w:ascii="Arial" w:hAnsi="Arial" w:eastAsia="Arial" w:cs="Arial"/>
          <w:b w:val="0"/>
          <w:color w:val="62716E"/>
          <w:sz w:val="16"/>
        </w:rPr>
        <w:t>Basis: F-01; T-01. Calculation location: Evidence!A:J; Components!F:L.</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Quantity / basis / interval</w:t>
            </w:r>
          </w:p>
        </w:tc>
        <w:tc>
          <w:tcPr>
            <w:tcW w:type="dxa" w:w="3572"/>
            <w:vAlign w:val="center"/>
            <w:shd w:fill="F1F5F2"/>
          </w:tcPr>
          <w:p>
            <w:pPr>
              <w:keepNext/>
              <w:spacing w:after="20"/>
            </w:pPr>
            <w:r>
              <w:rPr>
                <w:rFonts w:ascii="Arial" w:hAnsi="Arial" w:eastAsia="Arial" w:cs="Arial"/>
                <w:b/>
                <w:color w:val="215F52"/>
                <w:sz w:val="17"/>
              </w:rPr>
              <w:t>Current interval; previous recognized periods; unit</w:t>
            </w:r>
          </w:p>
        </w:tc>
        <w:tc>
          <w:tcPr>
            <w:tcW w:type="dxa" w:w="3390"/>
            <w:vAlign w:val="center"/>
            <w:shd w:fill="F1F5F2"/>
          </w:tcPr>
          <w:p>
            <w:pPr>
              <w:keepNext/>
              <w:spacing w:after="20"/>
            </w:pPr>
            <w:r>
              <w:rPr>
                <w:rFonts w:ascii="Arial" w:hAnsi="Arial" w:eastAsia="Arial" w:cs="Arial"/>
                <w:b/>
                <w:color w:val="215F52"/>
                <w:sz w:val="17"/>
              </w:rPr>
              <w:t>Cumulative method, overlap control and evidence</w:t>
            </w:r>
          </w:p>
        </w:tc>
      </w:tr>
      <w:tr>
        <w:trPr>
          <w:trHeight w:val="442" w:hRule="atLeast"/>
        </w:trPr>
        <w:tc>
          <w:tcPr>
            <w:tcW w:type="dxa" w:w="2778"/>
            <w:vAlign w:val="top"/>
          </w:tcPr>
          <w:p>
            <w:pPr>
              <w:keepNext w:val="0"/>
              <w:spacing w:after="20"/>
            </w:pPr>
            <w:sdt>
              <w:sdtPr>
                <w:id w:val="1254"/>
                <w:alias w:val="MR-15-T02-R1-C1"/>
                <w:tag w:val="MR-15-T02-R1-C1"/>
                <w:text w:multiLine="1"/>
              </w:sdtPr>
              <w:sdtContent>
                <w:r>
                  <w:rPr>
                    <w:rFonts w:ascii="Arial" w:hAnsi="Arial"/>
                    <w:color w:val="62716E"/>
                    <w:sz w:val="18"/>
                  </w:rPr>
                  <w:t>[Complete]</w:t>
                </w:r>
              </w:sdtContent>
            </w:sdt>
          </w:p>
        </w:tc>
        <w:tc>
          <w:tcPr>
            <w:tcW w:type="dxa" w:w="3572"/>
            <w:vAlign w:val="top"/>
          </w:tcPr>
          <w:p>
            <w:pPr>
              <w:keepNext w:val="0"/>
              <w:spacing w:after="20"/>
            </w:pPr>
            <w:sdt>
              <w:sdtPr>
                <w:id w:val="1255"/>
                <w:alias w:val="MR-15-T02-R1-C2"/>
                <w:tag w:val="MR-15-T02-R1-C2"/>
                <w:text w:multiLine="1"/>
              </w:sdtPr>
              <w:sdtContent>
                <w:r>
                  <w:rPr>
                    <w:rFonts w:ascii="Arial" w:hAnsi="Arial"/>
                    <w:color w:val="62716E"/>
                    <w:sz w:val="18"/>
                  </w:rPr>
                  <w:t>[Complete]</w:t>
                </w:r>
              </w:sdtContent>
            </w:sdt>
          </w:p>
        </w:tc>
        <w:tc>
          <w:tcPr>
            <w:tcW w:type="dxa" w:w="3390"/>
            <w:vAlign w:val="top"/>
          </w:tcPr>
          <w:p>
            <w:pPr>
              <w:keepNext w:val="0"/>
              <w:spacing w:after="20"/>
            </w:pPr>
            <w:sdt>
              <w:sdtPr>
                <w:id w:val="1256"/>
                <w:alias w:val="MR-15-T02-R1-C3"/>
                <w:tag w:val="MR-15-T02-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57"/>
                <w:alias w:val="MR-15-T02-R2-C1"/>
                <w:tag w:val="MR-15-T02-R2-C1"/>
                <w:text w:multiLine="1"/>
              </w:sdtPr>
              <w:sdtContent>
                <w:r>
                  <w:rPr>
                    <w:rFonts w:ascii="Arial" w:hAnsi="Arial"/>
                    <w:color w:val="62716E"/>
                    <w:sz w:val="18"/>
                  </w:rPr>
                  <w:t>[Complete]</w:t>
                </w:r>
              </w:sdtContent>
            </w:sdt>
          </w:p>
        </w:tc>
        <w:tc>
          <w:tcPr>
            <w:tcW w:type="dxa" w:w="3572"/>
            <w:vAlign w:val="top"/>
          </w:tcPr>
          <w:p>
            <w:pPr>
              <w:keepNext w:val="0"/>
              <w:spacing w:after="20"/>
            </w:pPr>
            <w:sdt>
              <w:sdtPr>
                <w:id w:val="1258"/>
                <w:alias w:val="MR-15-T02-R2-C2"/>
                <w:tag w:val="MR-15-T02-R2-C2"/>
                <w:text w:multiLine="1"/>
              </w:sdtPr>
              <w:sdtContent>
                <w:r>
                  <w:rPr>
                    <w:rFonts w:ascii="Arial" w:hAnsi="Arial"/>
                    <w:color w:val="62716E"/>
                    <w:sz w:val="18"/>
                  </w:rPr>
                  <w:t>[Complete]</w:t>
                </w:r>
              </w:sdtContent>
            </w:sdt>
          </w:p>
        </w:tc>
        <w:tc>
          <w:tcPr>
            <w:tcW w:type="dxa" w:w="3390"/>
            <w:vAlign w:val="top"/>
          </w:tcPr>
          <w:p>
            <w:pPr>
              <w:keepNext w:val="0"/>
              <w:spacing w:after="20"/>
            </w:pPr>
            <w:sdt>
              <w:sdtPr>
                <w:id w:val="1259"/>
                <w:alias w:val="MR-15-T02-R2-C3"/>
                <w:tag w:val="MR-15-T02-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60"/>
                <w:alias w:val="MR-15-T02-R3-C1"/>
                <w:tag w:val="MR-15-T02-R3-C1"/>
                <w:text w:multiLine="1"/>
              </w:sdtPr>
              <w:sdtContent>
                <w:r>
                  <w:rPr>
                    <w:rFonts w:ascii="Arial" w:hAnsi="Arial"/>
                    <w:color w:val="62716E"/>
                    <w:sz w:val="18"/>
                  </w:rPr>
                  <w:t>[Complete]</w:t>
                </w:r>
              </w:sdtContent>
            </w:sdt>
          </w:p>
        </w:tc>
        <w:tc>
          <w:tcPr>
            <w:tcW w:type="dxa" w:w="3572"/>
            <w:vAlign w:val="top"/>
          </w:tcPr>
          <w:p>
            <w:pPr>
              <w:keepNext w:val="0"/>
              <w:spacing w:after="20"/>
            </w:pPr>
            <w:sdt>
              <w:sdtPr>
                <w:id w:val="1261"/>
                <w:alias w:val="MR-15-T02-R3-C2"/>
                <w:tag w:val="MR-15-T02-R3-C2"/>
                <w:text w:multiLine="1"/>
              </w:sdtPr>
              <w:sdtContent>
                <w:r>
                  <w:rPr>
                    <w:rFonts w:ascii="Arial" w:hAnsi="Arial"/>
                    <w:color w:val="62716E"/>
                    <w:sz w:val="18"/>
                  </w:rPr>
                  <w:t>[Complete]</w:t>
                </w:r>
              </w:sdtContent>
            </w:sdt>
          </w:p>
        </w:tc>
        <w:tc>
          <w:tcPr>
            <w:tcW w:type="dxa" w:w="3390"/>
            <w:vAlign w:val="top"/>
          </w:tcPr>
          <w:p>
            <w:pPr>
              <w:keepNext w:val="0"/>
              <w:spacing w:after="20"/>
            </w:pPr>
            <w:sdt>
              <w:sdtPr>
                <w:id w:val="1262"/>
                <w:alias w:val="MR-15-T02-R3-C3"/>
                <w:tag w:val="MR-15-T02-R3-C3"/>
                <w:text w:multiLine="1"/>
              </w:sdtPr>
              <w:sdtContent>
                <w:r>
                  <w:rPr>
                    <w:rFonts w:ascii="Arial" w:hAnsi="Arial"/>
                    <w:color w:val="62716E"/>
                    <w:sz w:val="18"/>
                  </w:rPr>
                  <w:t>[Complete]</w:t>
                </w:r>
              </w:sdtContent>
            </w:sdt>
          </w:p>
        </w:tc>
      </w:tr>
    </w:tbl>
    <w:p>
      <w:pPr>
        <w:spacing w:after="20" w:before="0" w:line="40" w:lineRule="exact"/>
      </w:pPr>
      <w:r>
        <w:rPr>
          <w:sz w:val="4"/>
        </w:rPr>
      </w:r>
    </w:p>
    <w:p>
      <w:pPr>
        <w:spacing w:after="100"/>
      </w:pPr>
      <w:r>
        <w:rPr>
          <w:rFonts w:ascii="Arial" w:hAnsi="Arial" w:eastAsia="Arial" w:cs="Arial"/>
          <w:b w:val="0"/>
          <w:color w:val="243A36"/>
          <w:sz w:val="19"/>
        </w:rPr>
        <w:t>Cumulative results are supporting history, not an additional claim. Do not sum the total with its components, annual totals with their monthly allocations, or this report with its attached Ex-Post report.</w:t>
      </w:r>
    </w:p>
    <w:p>
      <w:bookmarkStart w:id="448" w:name="MR_16"/>
      <w:pPr>
        <w:pStyle w:val="Heading1"/>
        <w:keepNext/>
        <w:pageBreakBefore/>
      </w:pPr>
      <w:r>
        <w:rPr>
          <w:rFonts w:ascii="Arial" w:hAnsi="Arial" w:eastAsia="Arial" w:cs="Arial"/>
          <w:b w:val="0"/>
          <w:color w:val="215F52"/>
          <w:sz w:val="38"/>
        </w:rPr>
        <w:t>16  Uncertainty, conservativeness and materiality</w:t>
      </w:r>
      <w:bookmarkEnd w:id="448"/>
    </w:p>
    <w:p>
      <w:pPr>
        <w:keepNext/>
        <w:spacing w:after="100"/>
      </w:pPr>
      <w:r>
        <w:rPr>
          <w:rFonts w:ascii="Arial" w:hAnsi="Arial" w:eastAsia="Arial" w:cs="Arial"/>
          <w:b w:val="0"/>
          <w:color w:val="62716E"/>
          <w:sz w:val="16"/>
        </w:rPr>
        <w:t>[1] M05.1; M05.2; M05.3; F-U01; F-A01; F-A02; T-14; T-16; P-13; AP-08; AP-10</w:t>
      </w:r>
    </w:p>
    <w:p>
      <w:pPr>
        <w:keepNext/>
        <w:spacing w:after="100"/>
      </w:pPr>
      <w:r>
        <w:rPr>
          <w:rFonts w:ascii="Arial" w:hAnsi="Arial" w:eastAsia="Arial" w:cs="Arial"/>
          <w:b/>
          <w:color w:val="215F52"/>
          <w:sz w:val="20"/>
        </w:rPr>
        <w:t>MR-16-T01 / Uncertainty components and dependence</w:t>
      </w:r>
    </w:p>
    <w:p>
      <w:pPr>
        <w:keepNext/>
        <w:spacing w:after="100"/>
      </w:pPr>
      <w:r>
        <w:rPr>
          <w:rFonts w:ascii="Arial" w:hAnsi="Arial" w:eastAsia="Arial" w:cs="Arial"/>
          <w:b/>
          <w:color w:val="215F52"/>
          <w:sz w:val="17"/>
        </w:rPr>
        <w:t>MR-16-T01 / Calculation notation</w:t>
      </w:r>
    </w:p>
    <w:p>
      <w:pPr>
        <w:keepNext/>
        <w:spacing w:after="60" w:before="20"/>
        <w:jc w:val="center"/>
      </w:pPr>
      <m:oMath>
        <m:sSubSup>
          <m:e>
            <m:r>
              <w:rPr>
                <w:sz w:val="20"/>
                <w:rFonts w:ascii="Cambria Math" w:hAnsi="Cambria Math"/>
              </w:rPr>
              <m:t>u</m:t>
            </m:r>
          </m:e>
          <m:sub>
            <m:r>
              <w:rPr>
                <w:sz w:val="20"/>
                <w:rFonts w:ascii="Cambria Math" w:hAnsi="Cambria Math"/>
              </w:rPr>
              <m:t>Q</m:t>
            </m:r>
          </m:sub>
          <m:sup>
            <m:r>
              <w:rPr>
                <w:sz w:val="20"/>
                <w:rFonts w:ascii="Cambria Math" w:hAnsi="Cambria Math"/>
              </w:rPr>
              <m:t>2</m:t>
            </m:r>
          </m:sup>
        </m:sSubSup>
        <m:r>
          <w:rPr>
            <w:sz w:val="20"/>
            <w:rFonts w:ascii="Cambria Math" w:hAnsi="Cambria Math"/>
          </w:rPr>
          <m:rPr>
            <m:sty m:val="p"/>
          </m:rPr>
          <m:t>=</m:t>
        </m:r>
        <m:sSubSup>
          <m:e>
            <m:r>
              <w:rPr>
                <w:sz w:val="20"/>
                <w:rFonts w:ascii="Cambria Math" w:hAnsi="Cambria Math"/>
              </w:rPr>
              <m:t>u</m:t>
            </m:r>
          </m:e>
          <m:sub>
            <m:r>
              <w:rPr>
                <w:sz w:val="20"/>
                <w:rFonts w:ascii="Cambria Math" w:hAnsi="Cambria Math"/>
              </w:rPr>
              <m:t>B</m:t>
            </m:r>
          </m:sub>
          <m:sup>
            <m:r>
              <w:rPr>
                <w:sz w:val="20"/>
                <w:rFonts w:ascii="Cambria Math" w:hAnsi="Cambria Math"/>
              </w:rPr>
              <m:t>2</m:t>
            </m:r>
          </m:sup>
        </m:sSubSup>
        <m:r>
          <w:rPr>
            <w:sz w:val="20"/>
            <w:rFonts w:ascii="Cambria Math" w:hAnsi="Cambria Math"/>
          </w:rPr>
          <m:rPr>
            <m:sty m:val="p"/>
          </m:rPr>
          <m:t>+</m:t>
        </m:r>
        <m:sSubSup>
          <m:e>
            <m:r>
              <w:rPr>
                <w:sz w:val="20"/>
                <w:rFonts w:ascii="Cambria Math" w:hAnsi="Cambria Math"/>
              </w:rPr>
              <m:t>u</m:t>
            </m:r>
          </m:e>
          <m:sub>
            <m:r>
              <w:rPr>
                <w:sz w:val="20"/>
                <w:rFonts w:ascii="Cambria Math" w:hAnsi="Cambria Math"/>
              </w:rPr>
              <m:t>P</m:t>
            </m:r>
          </m:sub>
          <m:sup>
            <m:r>
              <w:rPr>
                <w:sz w:val="20"/>
                <w:rFonts w:ascii="Cambria Math" w:hAnsi="Cambria Math"/>
              </w:rPr>
              <m:t>2</m:t>
            </m:r>
          </m:sup>
        </m:sSubSup>
        <m:r>
          <w:rPr>
            <w:sz w:val="20"/>
            <w:rFonts w:ascii="Cambria Math" w:hAnsi="Cambria Math"/>
          </w:rPr>
          <m:rPr>
            <m:sty m:val="p"/>
          </m:rPr>
          <m:t>+</m:t>
        </m:r>
        <m:sSubSup>
          <m:e>
            <m:r>
              <w:rPr>
                <w:sz w:val="20"/>
                <w:rFonts w:ascii="Cambria Math" w:hAnsi="Cambria Math"/>
              </w:rPr>
              <m:t>u</m:t>
            </m:r>
          </m:e>
          <m:sub>
            <m:r>
              <w:rPr>
                <w:sz w:val="20"/>
                <w:rFonts w:ascii="Cambria Math" w:hAnsi="Cambria Math"/>
              </w:rPr>
              <m:t>L</m:t>
            </m:r>
          </m:sub>
          <m:sup>
            <m:r>
              <w:rPr>
                <w:sz w:val="20"/>
                <w:rFonts w:ascii="Cambria Math" w:hAnsi="Cambria Math"/>
              </w:rPr>
              <m:t>2</m:t>
            </m:r>
          </m:sup>
        </m:sSubSup>
        <m:r>
          <w:rPr>
            <w:sz w:val="20"/>
            <w:rFonts w:ascii="Cambria Math" w:hAnsi="Cambria Math"/>
          </w:rPr>
          <m:rPr>
            <m:sty m:val="p"/>
          </m:rPr>
          <m:t>−</m:t>
        </m:r>
        <m:r>
          <w:rPr>
            <w:sz w:val="20"/>
            <w:rFonts w:ascii="Cambria Math" w:hAnsi="Cambria Math"/>
          </w:rPr>
          <m:t>2</m:t>
        </m:r>
        <m:r>
          <w:rPr>
            <w:sz w:val="20"/>
            <w:rFonts w:ascii="Cambria Math" w:hAnsi="Cambria Math"/>
          </w:rPr>
          <m:rPr>
            <m:sty m:val="p"/>
          </m:rPr>
          <m:t>Cov</m:t>
        </m:r>
        <m:d>
          <m:dPr>
            <m:begChr m:val="("/>
            <m:endChr m:val=")"/>
            <m:sepChr m:val=""/>
            <m:grow/>
          </m:dPr>
          <m:e>
            <m:r>
              <w:rPr>
                <w:sz w:val="20"/>
                <w:rFonts w:ascii="Cambria Math" w:hAnsi="Cambria Math"/>
              </w:rPr>
              <m:t>B</m:t>
            </m:r>
            <m:r>
              <w:rPr>
                <w:sz w:val="20"/>
                <w:rFonts w:ascii="Cambria Math" w:hAnsi="Cambria Math"/>
              </w:rPr>
              <m:rPr>
                <m:sty m:val="p"/>
              </m:rPr>
              <m:t>,</m:t>
            </m:r>
            <m:r>
              <w:rPr>
                <w:sz w:val="20"/>
                <w:rFonts w:ascii="Cambria Math" w:hAnsi="Cambria Math"/>
              </w:rPr>
              <m:t>P</m:t>
            </m:r>
          </m:e>
        </m:d>
        <m:r>
          <w:rPr>
            <w:sz w:val="20"/>
            <w:rFonts w:ascii="Cambria Math" w:hAnsi="Cambria Math"/>
          </w:rPr>
          <m:rPr>
            <m:sty m:val="p"/>
          </m:rPr>
          <m:t>−</m:t>
        </m:r>
        <m:r>
          <w:rPr>
            <w:sz w:val="20"/>
            <w:rFonts w:ascii="Cambria Math" w:hAnsi="Cambria Math"/>
          </w:rPr>
          <m:t>2</m:t>
        </m:r>
        <m:r>
          <w:rPr>
            <w:sz w:val="20"/>
            <w:rFonts w:ascii="Cambria Math" w:hAnsi="Cambria Math"/>
          </w:rPr>
          <m:rPr>
            <m:sty m:val="p"/>
          </m:rPr>
          <m:t>Cov</m:t>
        </m:r>
        <m:d>
          <m:dPr>
            <m:begChr m:val="("/>
            <m:endChr m:val=")"/>
            <m:sepChr m:val=""/>
            <m:grow/>
          </m:dPr>
          <m:e>
            <m:r>
              <w:rPr>
                <w:sz w:val="20"/>
                <w:rFonts w:ascii="Cambria Math" w:hAnsi="Cambria Math"/>
              </w:rPr>
              <m:t>B</m:t>
            </m:r>
            <m:r>
              <w:rPr>
                <w:sz w:val="20"/>
                <w:rFonts w:ascii="Cambria Math" w:hAnsi="Cambria Math"/>
              </w:rPr>
              <m:rPr>
                <m:sty m:val="p"/>
              </m:rPr>
              <m:t>,</m:t>
            </m:r>
            <m:r>
              <w:rPr>
                <w:sz w:val="20"/>
                <w:rFonts w:ascii="Cambria Math" w:hAnsi="Cambria Math"/>
              </w:rPr>
              <m:t>L</m:t>
            </m:r>
          </m:e>
        </m:d>
        <m:r>
          <w:rPr>
            <w:sz w:val="20"/>
            <w:rFonts w:ascii="Cambria Math" w:hAnsi="Cambria Math"/>
          </w:rPr>
          <m:rPr>
            <m:sty m:val="p"/>
          </m:rPr>
          <m:t>+</m:t>
        </m:r>
        <m:r>
          <w:rPr>
            <w:sz w:val="20"/>
            <w:rFonts w:ascii="Cambria Math" w:hAnsi="Cambria Math"/>
          </w:rPr>
          <m:t>2</m:t>
        </m:r>
        <m:r>
          <w:rPr>
            <w:sz w:val="20"/>
            <w:rFonts w:ascii="Cambria Math" w:hAnsi="Cambria Math"/>
          </w:rPr>
          <m:rPr>
            <m:sty m:val="p"/>
          </m:rPr>
          <m:t>Cov</m:t>
        </m:r>
        <m:d>
          <m:dPr>
            <m:begChr m:val="("/>
            <m:endChr m:val=")"/>
            <m:sepChr m:val=""/>
            <m:grow/>
          </m:dPr>
          <m:e>
            <m:r>
              <w:rPr>
                <w:sz w:val="20"/>
                <w:rFonts w:ascii="Cambria Math" w:hAnsi="Cambria Math"/>
              </w:rPr>
              <m:t>P</m:t>
            </m:r>
            <m:r>
              <w:rPr>
                <w:sz w:val="20"/>
                <w:rFonts w:ascii="Cambria Math" w:hAnsi="Cambria Math"/>
              </w:rPr>
              <m:rPr>
                <m:sty m:val="p"/>
              </m:rPr>
              <m:t>,</m:t>
            </m:r>
            <m:r>
              <w:rPr>
                <w:sz w:val="20"/>
                <w:rFonts w:ascii="Cambria Math" w:hAnsi="Cambria Math"/>
              </w:rPr>
              <m:t>L</m:t>
            </m:r>
          </m:e>
        </m:d>
      </m:oMath>
    </w:p>
    <w:p>
      <w:pPr>
        <w:keepNext/>
        <w:spacing w:after="60"/>
      </w:pPr>
      <w:r>
        <w:rPr>
          <w:rFonts w:ascii="Arial" w:hAnsi="Arial" w:eastAsia="Arial" w:cs="Arial"/>
          <w:b w:val="0"/>
          <w:color w:val="215F52"/>
          <w:sz w:val="17"/>
        </w:rPr>
        <w:t>B, P and L in this variance identity denote baseline, project and leakage estimators, not reserve B_t. Standard uncertainties are in t CO2e; variances and covariances are squared units. Retain shared-source dependence and a valid covariance matrix.</w:t>
      </w:r>
    </w:p>
    <w:p>
      <w:pPr>
        <w:keepNext/>
        <w:spacing w:after="80"/>
      </w:pPr>
      <w:r>
        <w:rPr>
          <w:rFonts w:ascii="Arial" w:hAnsi="Arial" w:eastAsia="Arial" w:cs="Arial"/>
          <w:b w:val="0"/>
          <w:color w:val="62716E"/>
          <w:sz w:val="16"/>
        </w:rPr>
        <w:t>Basis: F-U01; M05.1; M05.2. Calculation location: Qualified uncertainty calculation; ExAnte!J:L; ExPost!J:L.</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Estimator / component / unit</w:t>
            </w:r>
          </w:p>
        </w:tc>
        <w:tc>
          <w:tcPr>
            <w:tcW w:type="dxa" w:w="3572"/>
            <w:vAlign w:val="center"/>
            <w:shd w:fill="F1F5F2"/>
          </w:tcPr>
          <w:p>
            <w:pPr>
              <w:keepNext/>
              <w:spacing w:after="20"/>
            </w:pPr>
            <w:r>
              <w:rPr>
                <w:rFonts w:ascii="Arial" w:hAnsi="Arial" w:eastAsia="Arial" w:cs="Arial"/>
                <w:b/>
                <w:color w:val="215F52"/>
                <w:sz w:val="17"/>
              </w:rPr>
              <w:t>Uncertainty, covariance and supported bias treatment</w:t>
            </w:r>
          </w:p>
        </w:tc>
        <w:tc>
          <w:tcPr>
            <w:tcW w:type="dxa" w:w="3390"/>
            <w:vAlign w:val="center"/>
            <w:shd w:fill="F1F5F2"/>
          </w:tcPr>
          <w:p>
            <w:pPr>
              <w:keepNext/>
              <w:spacing w:after="20"/>
            </w:pPr>
            <w:r>
              <w:rPr>
                <w:rFonts w:ascii="Arial" w:hAnsi="Arial" w:eastAsia="Arial" w:cs="Arial"/>
                <w:b/>
                <w:color w:val="215F52"/>
                <w:sz w:val="17"/>
              </w:rPr>
              <w:t>Evidence, propagation and unresolved restriction</w:t>
            </w:r>
          </w:p>
        </w:tc>
      </w:tr>
      <w:tr>
        <w:trPr>
          <w:trHeight w:val="442" w:hRule="atLeast"/>
        </w:trPr>
        <w:tc>
          <w:tcPr>
            <w:tcW w:type="dxa" w:w="2778"/>
            <w:vAlign w:val="top"/>
          </w:tcPr>
          <w:p>
            <w:pPr>
              <w:keepNext w:val="0"/>
              <w:spacing w:after="20"/>
            </w:pPr>
            <w:sdt>
              <w:sdtPr>
                <w:id w:val="1263"/>
                <w:alias w:val="MR-16-T01-R1-C1"/>
                <w:tag w:val="MR-16-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264"/>
                <w:alias w:val="MR-16-T01-R1-C2"/>
                <w:tag w:val="MR-16-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265"/>
                <w:alias w:val="MR-16-T01-R1-C3"/>
                <w:tag w:val="MR-16-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66"/>
                <w:alias w:val="MR-16-T01-R2-C1"/>
                <w:tag w:val="MR-16-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267"/>
                <w:alias w:val="MR-16-T01-R2-C2"/>
                <w:tag w:val="MR-16-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268"/>
                <w:alias w:val="MR-16-T01-R2-C3"/>
                <w:tag w:val="MR-16-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69"/>
                <w:alias w:val="MR-16-T01-R3-C1"/>
                <w:tag w:val="MR-16-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270"/>
                <w:alias w:val="MR-16-T01-R3-C2"/>
                <w:tag w:val="MR-16-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271"/>
                <w:alias w:val="MR-16-T01-R3-C3"/>
                <w:tag w:val="MR-16-T01-R3-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color w:val="215F52"/>
          <w:sz w:val="20"/>
        </w:rPr>
        <w:t>MR-16-T02 / Conservative result and separate materiality decision</w:t>
      </w:r>
    </w:p>
    <w:p>
      <w:pPr>
        <w:keepNext/>
        <w:spacing w:after="100"/>
      </w:pPr>
      <w:r>
        <w:rPr>
          <w:rFonts w:ascii="Arial" w:hAnsi="Arial" w:eastAsia="Arial" w:cs="Arial"/>
          <w:b/>
          <w:color w:val="215F52"/>
          <w:sz w:val="17"/>
        </w:rPr>
        <w:t>MR-16-T02 / Calculation notation</w:t>
      </w:r>
    </w:p>
    <w:p>
      <w:pPr>
        <w:keepNext/>
        <w:spacing w:after="60" w:before="20"/>
        <w:jc w:val="center"/>
      </w:pPr>
      <m:oMath>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l</m:t>
            </m:r>
            <m:r>
              <w:rPr>
                <w:sz w:val="20"/>
                <w:rFonts w:ascii="Cambria Math" w:hAnsi="Cambria Math"/>
              </w:rPr>
              <m:rPr>
                <m:sty m:val="p"/>
              </m:rPr>
              <m:t>o</m:t>
            </m:r>
            <m:r>
              <w:rPr>
                <w:sz w:val="20"/>
                <w:rFonts w:ascii="Cambria Math" w:hAnsi="Cambria Math"/>
              </w:rPr>
              <m:rPr>
                <m:sty m:val="p"/>
              </m:rPr>
              <m:t>w</m:t>
            </m:r>
          </m:sup>
        </m:sSubSup>
        <m:r>
          <w:rPr>
            <w:sz w:val="20"/>
            <w:rFonts w:ascii="Cambria Math" w:hAnsi="Cambria Math"/>
          </w:rPr>
          <m:rPr>
            <m:sty m:val="p"/>
          </m:rPr>
          <m:t>=</m:t>
        </m:r>
        <m:sSub>
          <m:e>
            <m:acc>
              <m:accPr>
                <m:chr m:val="̂"/>
              </m:accPr>
              <m:e>
                <m:r>
                  <w:rPr>
                    <w:sz w:val="20"/>
                    <w:rFonts w:ascii="Cambria Math" w:hAnsi="Cambria Math"/>
                  </w:rPr>
                  <m:t>Q</m:t>
                </m:r>
              </m:e>
            </m:acc>
          </m:e>
          <m:sub>
            <m:r>
              <w:rPr>
                <w:sz w:val="20"/>
                <w:rFonts w:ascii="Cambria Math" w:hAnsi="Cambria Math"/>
              </w:rPr>
              <m:t>t</m:t>
            </m:r>
          </m:sub>
        </m:sSub>
        <m:r>
          <w:rPr>
            <w:sz w:val="20"/>
            <w:rFonts w:ascii="Cambria Math" w:hAnsi="Cambria Math"/>
          </w:rPr>
          <m:rPr>
            <m:sty m:val="p"/>
          </m:rPr>
          <m:t>−</m:t>
        </m:r>
        <m:sSub>
          <m:e>
            <m:r>
              <w:rPr>
                <w:sz w:val="20"/>
                <w:rFonts w:ascii="Cambria Math" w:hAnsi="Cambria Math"/>
              </w:rPr>
              <m:t>k</m:t>
            </m:r>
          </m:e>
          <m:sub>
            <m:r>
              <w:rPr>
                <w:sz w:val="20"/>
                <w:rFonts w:ascii="Cambria Math" w:hAnsi="Cambria Math"/>
              </w:rPr>
              <m:t>1</m:t>
            </m:r>
            <m:r>
              <w:rPr>
                <w:sz w:val="20"/>
                <w:rFonts w:ascii="Cambria Math" w:hAnsi="Cambria Math"/>
              </w:rPr>
              <m:rPr>
                <m:sty m:val="p"/>
              </m:rPr>
              <m:t>−</m:t>
            </m:r>
            <m:r>
              <w:rPr>
                <w:sz w:val="20"/>
                <w:rFonts w:ascii="Cambria Math" w:hAnsi="Cambria Math"/>
              </w:rPr>
              <m:t>α</m:t>
            </m:r>
          </m:sub>
        </m:sSub>
        <m:sSub>
          <m:e>
            <m:r>
              <w:rPr>
                <w:sz w:val="20"/>
                <w:rFonts w:ascii="Cambria Math" w:hAnsi="Cambria Math"/>
              </w:rPr>
              <m:t>u</m:t>
            </m:r>
          </m:e>
          <m:sub>
            <m:sSub>
              <m:e>
                <m:r>
                  <w:rPr>
                    <w:sz w:val="20"/>
                    <w:rFonts w:ascii="Cambria Math" w:hAnsi="Cambria Math"/>
                  </w:rPr>
                  <m:t>Q</m:t>
                </m:r>
              </m:e>
              <m:sub>
                <m:r>
                  <w:rPr>
                    <w:sz w:val="20"/>
                    <w:rFonts w:ascii="Cambria Math" w:hAnsi="Cambria Math"/>
                  </w:rPr>
                  <m:t>t</m:t>
                </m:r>
              </m:sub>
            </m:sSub>
          </m:sub>
        </m:sSub>
      </m:oMath>
    </w:p>
    <w:p>
      <w:pPr>
        <w:keepNext/>
        <w:spacing w:after="60" w:before="20"/>
        <w:jc w:val="center"/>
      </w:pPr>
      <m:oMath>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l</m:t>
            </m:r>
            <m:r>
              <w:rPr>
                <w:sz w:val="20"/>
                <w:rFonts w:ascii="Cambria Math" w:hAnsi="Cambria Math"/>
              </w:rPr>
              <m:rPr>
                <m:sty m:val="p"/>
              </m:rPr>
              <m:t>o</m:t>
            </m:r>
            <m:r>
              <w:rPr>
                <w:sz w:val="20"/>
                <w:rFonts w:ascii="Cambria Math" w:hAnsi="Cambria Math"/>
              </w:rPr>
              <m:rPr>
                <m:sty m:val="p"/>
              </m:rPr>
              <m:t>w</m:t>
            </m:r>
          </m:sup>
        </m:sSubSup>
        <m:r>
          <w:rPr>
            <w:sz w:val="20"/>
            <w:rFonts w:ascii="Cambria Math" w:hAnsi="Cambria Math"/>
          </w:rPr>
          <m:rPr>
            <m:sty m:val="p"/>
          </m:rPr>
          <m:t>=</m:t>
        </m:r>
        <m:sSub>
          <m:e>
            <m:acc>
              <m:accPr>
                <m:chr m:val="̂"/>
              </m:accPr>
              <m:e>
                <m:r>
                  <w:rPr>
                    <w:sz w:val="20"/>
                    <w:rFonts w:ascii="Cambria Math" w:hAnsi="Cambria Math"/>
                  </w:rPr>
                  <m:t>Q</m:t>
                </m:r>
              </m:e>
            </m:acc>
          </m:e>
          <m:sub>
            <m:r>
              <w:rPr>
                <w:sz w:val="20"/>
                <w:rFonts w:ascii="Cambria Math" w:hAnsi="Cambria Math"/>
              </w:rPr>
              <m:t>t</m:t>
            </m:r>
          </m:sub>
        </m:sSub>
        <m:r>
          <w:rPr>
            <w:sz w:val="20"/>
            <w:rFonts w:ascii="Cambria Math" w:hAnsi="Cambria Math"/>
          </w:rPr>
          <m:rPr>
            <m:sty m:val="p"/>
          </m:rPr>
          <m:t>−</m:t>
        </m:r>
        <m:sSub>
          <m:e>
            <m:r>
              <w:rPr>
                <w:sz w:val="20"/>
                <w:rFonts w:ascii="Cambria Math" w:hAnsi="Cambria Math"/>
              </w:rPr>
              <m:t>δ</m:t>
            </m:r>
          </m:e>
          <m:sub>
            <m:r>
              <w:rPr>
                <w:sz w:val="20"/>
                <w:rFonts w:ascii="Cambria Math" w:hAnsi="Cambria Math"/>
              </w:rPr>
              <m:t>t</m:t>
            </m:r>
          </m:sub>
        </m:sSub>
        <m:r>
          <w:rPr>
            <w:sz w:val="20"/>
            <w:rFonts w:ascii="Cambria Math" w:hAnsi="Cambria Math"/>
          </w:rPr>
          <m:t> </m:t>
        </m:r>
        <m:d>
          <m:dPr>
            <m:begChr m:val="("/>
            <m:endChr m:val=")"/>
            <m:sepChr m:val=""/>
            <m:grow/>
          </m:dPr>
          <m:e>
            <m:r>
              <w:rPr>
                <w:sz w:val="20"/>
                <w:rFonts w:ascii="Cambria Math" w:hAnsi="Cambria Math"/>
              </w:rPr>
              <m:rPr>
                <m:sty m:val="p"/>
              </m:rPr>
              <m:t>D</m:t>
            </m:r>
            <m:r>
              <w:rPr>
                <w:sz w:val="20"/>
                <w:rFonts w:ascii="Cambria Math" w:hAnsi="Cambria Math"/>
              </w:rPr>
              <m:rPr>
                <m:sty m:val="p"/>
              </m:rPr>
              <m:t>E</m:t>
            </m:r>
            <m:r>
              <w:rPr>
                <w:sz w:val="20"/>
                <w:rFonts w:ascii="Cambria Math" w:hAnsi="Cambria Math"/>
              </w:rPr>
              <m:rPr>
                <m:sty m:val="p"/>
              </m:rPr>
              <m:t>D</m:t>
            </m:r>
            <m:r>
              <w:rPr>
                <w:sz w:val="20"/>
                <w:rFonts w:ascii="Cambria Math" w:hAnsi="Cambria Math"/>
              </w:rPr>
              <m:rPr>
                <m:sty m:val="p"/>
              </m:rPr>
              <m:t>U</m:t>
            </m:r>
            <m:r>
              <w:rPr>
                <w:sz w:val="20"/>
                <w:rFonts w:ascii="Cambria Math" w:hAnsi="Cambria Math"/>
              </w:rPr>
              <m:rPr>
                <m:sty m:val="p"/>
              </m:rPr>
              <m:t>C</m:t>
            </m:r>
            <m:r>
              <w:rPr>
                <w:sz w:val="20"/>
                <w:rFonts w:ascii="Cambria Math" w:hAnsi="Cambria Math"/>
              </w:rPr>
              <m:rPr>
                <m:sty m:val="p"/>
              </m:rPr>
              <m:t>T</m:t>
            </m:r>
            <m:r>
              <w:rPr>
                <w:sz w:val="20"/>
                <w:rFonts w:ascii="Cambria Math" w:hAnsi="Cambria Math"/>
              </w:rPr>
              <m:rPr>
                <m:sty m:val="p"/>
              </m:rPr>
              <m:t>I</m:t>
            </m:r>
            <m:r>
              <w:rPr>
                <w:sz w:val="20"/>
                <w:rFonts w:ascii="Cambria Math" w:hAnsi="Cambria Math"/>
              </w:rPr>
              <m:rPr>
                <m:sty m:val="p"/>
              </m:rPr>
              <m:t>O</m:t>
            </m:r>
            <m:r>
              <w:rPr>
                <w:sz w:val="20"/>
                <w:rFonts w:ascii="Cambria Math" w:hAnsi="Cambria Math"/>
              </w:rPr>
              <m:rPr>
                <m:sty m:val="p"/>
              </m:rPr>
              <m:t>N</m:t>
            </m:r>
          </m:e>
        </m:d>
        <m:r>
          <w:rPr>
            <w:sz w:val="20"/>
            <w:rFonts w:ascii="Cambria Math" w:hAnsi="Cambria Math"/>
          </w:rPr>
          <m:rPr>
            <m:sty m:val="p"/>
          </m:rPr>
          <m:t>;</m:t>
        </m:r>
        <m:r>
          <w:rPr>
            <w:sz w:val="20"/>
            <w:rFonts w:ascii="Cambria Math" w:hAnsi="Cambria Math"/>
          </w:rPr>
          <m:t>  </m:t>
        </m:r>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l</m:t>
            </m:r>
            <m:r>
              <w:rPr>
                <w:sz w:val="20"/>
                <w:rFonts w:ascii="Cambria Math" w:hAnsi="Cambria Math"/>
              </w:rPr>
              <m:rPr>
                <m:sty m:val="p"/>
              </m:rPr>
              <m:t>o</m:t>
            </m:r>
            <m:r>
              <w:rPr>
                <w:sz w:val="20"/>
                <w:rFonts w:ascii="Cambria Math" w:hAnsi="Cambria Math"/>
              </w:rPr>
              <m:rPr>
                <m:sty m:val="p"/>
              </m:rPr>
              <m:t>w</m:t>
            </m:r>
          </m:sup>
        </m:sSubSup>
        <m:r>
          <w:rPr>
            <w:sz w:val="20"/>
            <w:rFonts w:ascii="Cambria Math" w:hAnsi="Cambria Math"/>
          </w:rPr>
          <m:rPr>
            <m:sty m:val="p"/>
          </m:rPr>
          <m:t>=</m:t>
        </m:r>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b</m:t>
            </m:r>
            <m:r>
              <w:rPr>
                <w:sz w:val="20"/>
                <w:rFonts w:ascii="Cambria Math" w:hAnsi="Cambria Math"/>
              </w:rPr>
              <m:rPr>
                <m:sty m:val="p"/>
              </m:rPr>
              <m:t>o</m:t>
            </m:r>
            <m:r>
              <w:rPr>
                <w:sz w:val="20"/>
                <w:rFonts w:ascii="Cambria Math" w:hAnsi="Cambria Math"/>
              </w:rPr>
              <m:rPr>
                <m:sty m:val="p"/>
              </m:rPr>
              <m:t>u</m:t>
            </m:r>
            <m:r>
              <w:rPr>
                <w:sz w:val="20"/>
                <w:rFonts w:ascii="Cambria Math" w:hAnsi="Cambria Math"/>
              </w:rPr>
              <m:rPr>
                <m:sty m:val="p"/>
              </m:rPr>
              <m:t>n</m:t>
            </m:r>
            <m:r>
              <w:rPr>
                <w:sz w:val="20"/>
                <w:rFonts w:ascii="Cambria Math" w:hAnsi="Cambria Math"/>
              </w:rPr>
              <m:rPr>
                <m:sty m:val="p"/>
              </m:rPr>
              <m:t>d</m:t>
            </m:r>
          </m:sup>
        </m:sSubSup>
        <m:r>
          <w:rPr>
            <w:sz w:val="20"/>
            <w:rFonts w:ascii="Cambria Math" w:hAnsi="Cambria Math"/>
          </w:rPr>
          <m:t> </m:t>
        </m:r>
        <m:d>
          <m:dPr>
            <m:begChr m:val="("/>
            <m:endChr m:val=")"/>
            <m:sepChr m:val=""/>
            <m:grow/>
          </m:dPr>
          <m:e>
            <m:r>
              <w:rPr>
                <w:sz w:val="20"/>
                <w:rFonts w:ascii="Cambria Math" w:hAnsi="Cambria Math"/>
              </w:rPr>
              <m:rPr>
                <m:sty m:val="p"/>
              </m:rPr>
              <m:t>B</m:t>
            </m:r>
            <m:r>
              <w:rPr>
                <w:sz w:val="20"/>
                <w:rFonts w:ascii="Cambria Math" w:hAnsi="Cambria Math"/>
              </w:rPr>
              <m:rPr>
                <m:sty m:val="p"/>
              </m:rPr>
              <m:t>O</m:t>
            </m:r>
            <m:r>
              <w:rPr>
                <w:sz w:val="20"/>
                <w:rFonts w:ascii="Cambria Math" w:hAnsi="Cambria Math"/>
              </w:rPr>
              <m:rPr>
                <m:sty m:val="p"/>
              </m:rPr>
              <m:t>U</m:t>
            </m:r>
            <m:r>
              <w:rPr>
                <w:sz w:val="20"/>
                <w:rFonts w:ascii="Cambria Math" w:hAnsi="Cambria Math"/>
              </w:rPr>
              <m:rPr>
                <m:sty m:val="p"/>
              </m:rPr>
              <m:t>N</m:t>
            </m:r>
            <m:r>
              <w:rPr>
                <w:sz w:val="20"/>
                <w:rFonts w:ascii="Cambria Math" w:hAnsi="Cambria Math"/>
              </w:rPr>
              <m:rPr>
                <m:sty m:val="p"/>
              </m:rPr>
              <m:t>D</m:t>
            </m:r>
          </m:e>
        </m:d>
      </m:oMath>
    </w:p>
    <w:p>
      <w:pPr>
        <w:keepNext/>
        <w:spacing w:after="60"/>
      </w:pPr>
      <w:r>
        <w:rPr>
          <w:rFonts w:ascii="Arial" w:hAnsi="Arial" w:eastAsia="Arial" w:cs="Arial"/>
          <w:b w:val="0"/>
          <w:color w:val="215F52"/>
          <w:sz w:val="17"/>
        </w:rPr>
        <w:t>delta is the justified deduction (DEDUCTION route); BOUND supplies the supported lower value directly. The second displayed line describes the workbook interface, not a new approved estimator. Record the upstream uncertainty or evidence-bound procedure and decision.</w:t>
      </w:r>
    </w:p>
    <w:p>
      <w:pPr>
        <w:keepNext/>
        <w:spacing w:after="80"/>
      </w:pPr>
      <w:r>
        <w:rPr>
          <w:rFonts w:ascii="Arial" w:hAnsi="Arial" w:eastAsia="Arial" w:cs="Arial"/>
          <w:b w:val="0"/>
          <w:color w:val="62716E"/>
          <w:sz w:val="16"/>
        </w:rPr>
        <w:t>Basis: M05.3; F-A02; AP-08. Calculation location: ExAnte!J:L; ExPost!J:L; ExPost!O.</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Period / selected method / AP reference</w:t>
            </w:r>
          </w:p>
        </w:tc>
        <w:tc>
          <w:tcPr>
            <w:tcW w:type="dxa" w:w="3572"/>
            <w:vAlign w:val="center"/>
            <w:shd w:fill="F1F5F2"/>
          </w:tcPr>
          <w:p>
            <w:pPr>
              <w:keepNext/>
              <w:spacing w:after="20"/>
            </w:pPr>
            <w:r>
              <w:rPr>
                <w:rFonts w:ascii="Arial" w:hAnsi="Arial" w:eastAsia="Arial" w:cs="Arial"/>
                <w:b/>
                <w:color w:val="215F52"/>
                <w:sz w:val="17"/>
              </w:rPr>
              <w:t>Inputs, supported bound or deduction and result</w:t>
            </w:r>
          </w:p>
        </w:tc>
        <w:tc>
          <w:tcPr>
            <w:tcW w:type="dxa" w:w="3390"/>
            <w:vAlign w:val="center"/>
            <w:shd w:fill="F1F5F2"/>
          </w:tcPr>
          <w:p>
            <w:pPr>
              <w:keepNext/>
              <w:spacing w:after="20"/>
            </w:pPr>
            <w:r>
              <w:rPr>
                <w:rFonts w:ascii="Arial" w:hAnsi="Arial" w:eastAsia="Arial" w:cs="Arial"/>
                <w:b/>
                <w:color w:val="215F52"/>
                <w:sz w:val="17"/>
              </w:rPr>
              <w:t>Materiality criterion, identified errors and disposition</w:t>
            </w:r>
          </w:p>
        </w:tc>
      </w:tr>
      <w:tr>
        <w:trPr>
          <w:trHeight w:val="442" w:hRule="atLeast"/>
        </w:trPr>
        <w:tc>
          <w:tcPr>
            <w:tcW w:type="dxa" w:w="2778"/>
            <w:vAlign w:val="top"/>
          </w:tcPr>
          <w:p>
            <w:pPr>
              <w:keepNext w:val="0"/>
              <w:spacing w:after="20"/>
            </w:pPr>
            <w:sdt>
              <w:sdtPr>
                <w:id w:val="1272"/>
                <w:alias w:val="MR-16-T02-R1-C1"/>
                <w:tag w:val="MR-16-T02-R1-C1"/>
                <w:text w:multiLine="1"/>
              </w:sdtPr>
              <w:sdtContent>
                <w:r>
                  <w:rPr>
                    <w:rFonts w:ascii="Arial" w:hAnsi="Arial"/>
                    <w:color w:val="62716E"/>
                    <w:sz w:val="18"/>
                  </w:rPr>
                  <w:t>[Complete]</w:t>
                </w:r>
              </w:sdtContent>
            </w:sdt>
          </w:p>
        </w:tc>
        <w:tc>
          <w:tcPr>
            <w:tcW w:type="dxa" w:w="3572"/>
            <w:vAlign w:val="top"/>
          </w:tcPr>
          <w:p>
            <w:pPr>
              <w:keepNext w:val="0"/>
              <w:spacing w:after="20"/>
            </w:pPr>
            <w:sdt>
              <w:sdtPr>
                <w:id w:val="1273"/>
                <w:alias w:val="MR-16-T02-R1-C2"/>
                <w:tag w:val="MR-16-T02-R1-C2"/>
                <w:text w:multiLine="1"/>
              </w:sdtPr>
              <w:sdtContent>
                <w:r>
                  <w:rPr>
                    <w:rFonts w:ascii="Arial" w:hAnsi="Arial"/>
                    <w:color w:val="62716E"/>
                    <w:sz w:val="18"/>
                  </w:rPr>
                  <w:t>[Complete]</w:t>
                </w:r>
              </w:sdtContent>
            </w:sdt>
          </w:p>
        </w:tc>
        <w:tc>
          <w:tcPr>
            <w:tcW w:type="dxa" w:w="3390"/>
            <w:vAlign w:val="top"/>
          </w:tcPr>
          <w:p>
            <w:pPr>
              <w:keepNext w:val="0"/>
              <w:spacing w:after="20"/>
            </w:pPr>
            <w:sdt>
              <w:sdtPr>
                <w:id w:val="1274"/>
                <w:alias w:val="MR-16-T02-R1-C3"/>
                <w:tag w:val="MR-16-T02-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75"/>
                <w:alias w:val="MR-16-T02-R2-C1"/>
                <w:tag w:val="MR-16-T02-R2-C1"/>
                <w:text w:multiLine="1"/>
              </w:sdtPr>
              <w:sdtContent>
                <w:r>
                  <w:rPr>
                    <w:rFonts w:ascii="Arial" w:hAnsi="Arial"/>
                    <w:color w:val="62716E"/>
                    <w:sz w:val="18"/>
                  </w:rPr>
                  <w:t>[Complete]</w:t>
                </w:r>
              </w:sdtContent>
            </w:sdt>
          </w:p>
        </w:tc>
        <w:tc>
          <w:tcPr>
            <w:tcW w:type="dxa" w:w="3572"/>
            <w:vAlign w:val="top"/>
          </w:tcPr>
          <w:p>
            <w:pPr>
              <w:keepNext w:val="0"/>
              <w:spacing w:after="20"/>
            </w:pPr>
            <w:sdt>
              <w:sdtPr>
                <w:id w:val="1276"/>
                <w:alias w:val="MR-16-T02-R2-C2"/>
                <w:tag w:val="MR-16-T02-R2-C2"/>
                <w:text w:multiLine="1"/>
              </w:sdtPr>
              <w:sdtContent>
                <w:r>
                  <w:rPr>
                    <w:rFonts w:ascii="Arial" w:hAnsi="Arial"/>
                    <w:color w:val="62716E"/>
                    <w:sz w:val="18"/>
                  </w:rPr>
                  <w:t>[Complete]</w:t>
                </w:r>
              </w:sdtContent>
            </w:sdt>
          </w:p>
        </w:tc>
        <w:tc>
          <w:tcPr>
            <w:tcW w:type="dxa" w:w="3390"/>
            <w:vAlign w:val="top"/>
          </w:tcPr>
          <w:p>
            <w:pPr>
              <w:keepNext w:val="0"/>
              <w:spacing w:after="20"/>
            </w:pPr>
            <w:sdt>
              <w:sdtPr>
                <w:id w:val="1277"/>
                <w:alias w:val="MR-16-T02-R2-C3"/>
                <w:tag w:val="MR-16-T02-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78"/>
                <w:alias w:val="MR-16-T02-R3-C1"/>
                <w:tag w:val="MR-16-T02-R3-C1"/>
                <w:text w:multiLine="1"/>
              </w:sdtPr>
              <w:sdtContent>
                <w:r>
                  <w:rPr>
                    <w:rFonts w:ascii="Arial" w:hAnsi="Arial"/>
                    <w:color w:val="62716E"/>
                    <w:sz w:val="18"/>
                  </w:rPr>
                  <w:t>[Complete]</w:t>
                </w:r>
              </w:sdtContent>
            </w:sdt>
          </w:p>
        </w:tc>
        <w:tc>
          <w:tcPr>
            <w:tcW w:type="dxa" w:w="3572"/>
            <w:vAlign w:val="top"/>
          </w:tcPr>
          <w:p>
            <w:pPr>
              <w:keepNext w:val="0"/>
              <w:spacing w:after="20"/>
            </w:pPr>
            <w:sdt>
              <w:sdtPr>
                <w:id w:val="1279"/>
                <w:alias w:val="MR-16-T02-R3-C2"/>
                <w:tag w:val="MR-16-T02-R3-C2"/>
                <w:text w:multiLine="1"/>
              </w:sdtPr>
              <w:sdtContent>
                <w:r>
                  <w:rPr>
                    <w:rFonts w:ascii="Arial" w:hAnsi="Arial"/>
                    <w:color w:val="62716E"/>
                    <w:sz w:val="18"/>
                  </w:rPr>
                  <w:t>[Complete]</w:t>
                </w:r>
              </w:sdtContent>
            </w:sdt>
          </w:p>
        </w:tc>
        <w:tc>
          <w:tcPr>
            <w:tcW w:type="dxa" w:w="3390"/>
            <w:vAlign w:val="top"/>
          </w:tcPr>
          <w:p>
            <w:pPr>
              <w:keepNext w:val="0"/>
              <w:spacing w:after="20"/>
            </w:pPr>
            <w:sdt>
              <w:sdtPr>
                <w:id w:val="1280"/>
                <w:alias w:val="MR-16-T02-R3-C3"/>
                <w:tag w:val="MR-16-T02-R3-C3"/>
                <w:text w:multiLine="1"/>
              </w:sdtPr>
              <w:sdtContent>
                <w:r>
                  <w:rPr>
                    <w:rFonts w:ascii="Arial" w:hAnsi="Arial"/>
                    <w:color w:val="62716E"/>
                    <w:sz w:val="18"/>
                  </w:rPr>
                  <w:t>[Complete]</w:t>
                </w:r>
              </w:sdtContent>
            </w:sdt>
          </w:p>
        </w:tc>
      </w:tr>
    </w:tbl>
    <w:p>
      <w:pPr>
        <w:spacing w:after="20" w:before="0" w:line="40" w:lineRule="exact"/>
      </w:pPr>
      <w:r>
        <w:rPr>
          <w:sz w:val="4"/>
        </w:rPr>
      </w:r>
    </w:p>
    <w:p>
      <w:pPr>
        <w:spacing w:after="100"/>
      </w:pPr>
      <w:r>
        <w:rPr>
          <w:rFonts w:ascii="Arial" w:hAnsi="Arial" w:eastAsia="Arial" w:cs="Arial"/>
          <w:b w:val="0"/>
          <w:color w:val="243A36"/>
          <w:sz w:val="19"/>
        </w:rPr>
        <w:t>No confidence level, deduction or materiality threshold is prefilled. Explain the joint evidence behind the bound and avoid deducting twice for the same covered component. Correct identified arithmetic errors; a difference below a threshold does not turn an error into a valid input.</w:t>
      </w:r>
    </w:p>
    <w:p>
      <w:bookmarkStart w:id="464" w:name="MR_17"/>
      <w:pPr>
        <w:pStyle w:val="Heading1"/>
        <w:keepNext/>
        <w:pageBreakBefore/>
      </w:pPr>
      <w:r>
        <w:rPr>
          <w:rFonts w:ascii="Arial" w:hAnsi="Arial" w:eastAsia="Arial" w:cs="Arial"/>
          <w:b w:val="0"/>
          <w:color w:val="215F52"/>
          <w:sz w:val="38"/>
        </w:rPr>
        <w:t>17  Risk, reserve and disturbance response</w:t>
      </w:r>
      <w:bookmarkEnd w:id="464"/>
    </w:p>
    <w:p>
      <w:pPr>
        <w:keepNext/>
        <w:spacing w:after="100"/>
      </w:pPr>
      <w:r>
        <w:rPr>
          <w:rFonts w:ascii="Arial" w:hAnsi="Arial" w:eastAsia="Arial" w:cs="Arial"/>
          <w:b w:val="0"/>
          <w:color w:val="62716E"/>
          <w:sz w:val="16"/>
        </w:rPr>
        <w:t>[1] T-17; T-18; T-19; T-20; F-A03; F-A04; F-A05; P-03; P-10; AP-09; FRM-09</w:t>
      </w:r>
    </w:p>
    <w:p>
      <w:pPr>
        <w:keepNext/>
        <w:spacing w:after="100"/>
      </w:pPr>
      <w:r>
        <w:rPr>
          <w:rFonts w:ascii="Arial" w:hAnsi="Arial" w:eastAsia="Arial" w:cs="Arial"/>
          <w:b/>
          <w:color w:val="215F52"/>
          <w:sz w:val="20"/>
        </w:rPr>
        <w:t>MR-17-T01 / Residual-risk and protection account</w:t>
      </w:r>
    </w:p>
    <w:p>
      <w:pPr>
        <w:keepNext/>
        <w:spacing w:after="100"/>
      </w:pPr>
      <w:r>
        <w:rPr>
          <w:rFonts w:ascii="Arial" w:hAnsi="Arial" w:eastAsia="Arial" w:cs="Arial"/>
          <w:b/>
          <w:color w:val="215F52"/>
          <w:sz w:val="17"/>
        </w:rPr>
        <w:t>MR-17-T01 / Calculation notation</w:t>
      </w:r>
    </w:p>
    <w:p>
      <w:pPr>
        <w:keepNext/>
        <w:spacing w:after="60" w:before="20"/>
        <w:jc w:val="center"/>
      </w:pPr>
      <m:oMath>
        <m:sSup>
          <m:e>
            <m:r>
              <w:rPr>
                <w:sz w:val="20"/>
                <w:rFonts w:ascii="Cambria Math" w:hAnsi="Cambria Math"/>
              </w:rPr>
              <m:t>B</m:t>
            </m:r>
          </m:e>
          <m:sup>
            <m:r>
              <w:rPr>
                <w:sz w:val="20"/>
                <w:rFonts w:ascii="Cambria Math" w:hAnsi="Cambria Math"/>
              </w:rPr>
              <m:rPr>
                <m:sty m:val="p"/>
              </m:rPr>
              <m:t>r</m:t>
            </m:r>
            <m:r>
              <w:rPr>
                <w:sz w:val="20"/>
                <w:rFonts w:ascii="Cambria Math" w:hAnsi="Cambria Math"/>
              </w:rPr>
              <m:rPr>
                <m:sty m:val="p"/>
              </m:rPr>
              <m:t>e</m:t>
            </m:r>
            <m:r>
              <w:rPr>
                <w:sz w:val="20"/>
                <w:rFonts w:ascii="Cambria Math" w:hAnsi="Cambria Math"/>
              </w:rPr>
              <m:rPr>
                <m:sty m:val="p"/>
              </m:rPr>
              <m:t>q</m:t>
            </m:r>
          </m:sup>
        </m:sSup>
        <m:r>
          <w:rPr>
            <w:sz w:val="20"/>
            <w:rFonts w:ascii="Cambria Math" w:hAnsi="Cambria Math"/>
          </w:rPr>
          <m:rPr>
            <m:sty m:val="p"/>
          </m:rPr>
          <m:t>=</m:t>
        </m:r>
        <m:r>
          <w:rPr>
            <w:sz w:val="20"/>
            <w:rFonts w:ascii="Cambria Math" w:hAnsi="Cambria Math"/>
          </w:rPr>
          <m:rPr>
            <m:sty m:val="p"/>
          </m:rPr>
          <m:t>inf</m:t>
        </m:r>
        <m:r>
          <w:rPr>
            <w:sz w:val="20"/>
            <w:rFonts w:ascii="Cambria Math" w:hAnsi="Cambria Math"/>
          </w:rPr>
          <m:rPr>
            <m:sty m:val="p"/>
          </m:rPr>
          <m:t>{</m:t>
        </m:r>
        <m:r>
          <w:rPr>
            <w:sz w:val="20"/>
            <w:rFonts w:ascii="Cambria Math" w:hAnsi="Cambria Math"/>
          </w:rPr>
          <m:rPr>
            <m:sty m:val="p"/>
          </m:rPr>
          <m:t>ℓ</m:t>
        </m:r>
        <m:r>
          <w:rPr>
            <w:sz w:val="20"/>
            <w:rFonts w:ascii="Cambria Math" w:hAnsi="Cambria Math"/>
          </w:rPr>
          <m:rPr>
            <m:sty m:val="p"/>
          </m:rPr>
          <m:t>:</m:t>
        </m:r>
        <m:r>
          <w:rPr>
            <w:sz w:val="20"/>
            <w:rFonts w:ascii="Cambria Math" w:hAnsi="Cambria Math"/>
          </w:rPr>
          <m:rPr>
            <m:sty m:val="p"/>
          </m:rPr>
          <m:t>Pr</m:t>
        </m:r>
        <m:d>
          <m:dPr>
            <m:begChr m:val="("/>
            <m:endChr m:val=")"/>
            <m:sepChr m:val=""/>
            <m:grow/>
          </m:dPr>
          <m:e>
            <m:sSub>
              <m:e>
                <m:r>
                  <w:rPr>
                    <w:sz w:val="20"/>
                    <w:rFonts w:ascii="Cambria Math" w:hAnsi="Cambria Math"/>
                  </w:rPr>
                  <m:t>L</m:t>
                </m:r>
              </m:e>
              <m:sub>
                <m:r>
                  <w:rPr>
                    <w:sz w:val="20"/>
                    <w:rFonts w:ascii="Cambria Math" w:hAnsi="Cambria Math"/>
                  </w:rPr>
                  <m:t>H</m:t>
                </m:r>
              </m:sub>
            </m:sSub>
            <m:r>
              <w:rPr>
                <w:sz w:val="20"/>
                <w:rFonts w:ascii="Cambria Math" w:hAnsi="Cambria Math"/>
              </w:rPr>
              <m:rPr>
                <m:sty m:val="p"/>
              </m:rPr>
              <m:t>≤</m:t>
            </m:r>
            <m:r>
              <w:rPr>
                <w:sz w:val="20"/>
                <w:rFonts w:ascii="Cambria Math" w:hAnsi="Cambria Math"/>
              </w:rPr>
              <m:rPr>
                <m:sty m:val="p"/>
              </m:rPr>
              <m:t>ℓ</m:t>
            </m:r>
            <m:r>
              <w:rPr>
                <w:sz w:val="20"/>
                <w:rFonts w:ascii="Cambria Math" w:hAnsi="Cambria Math"/>
              </w:rPr>
              <m:rPr>
                <m:sty m:val="p"/>
              </m:rPr>
              <m:t>∣</m:t>
            </m:r>
            <m:sSub>
              <m:e>
                <m:r>
                  <w:rPr>
                    <w:sz w:val="20"/>
                    <w:rFonts w:ascii="Cambria Math" w:hAnsi="Cambria Math"/>
                  </w:rPr>
                  <m:rPr>
                    <m:sty m:val="p"/>
                    <m:scr m:val="script"/>
                  </m:rPr>
                  <m:t>D</m:t>
                </m:r>
              </m:e>
              <m:sub>
                <m:r>
                  <w:rPr>
                    <w:sz w:val="20"/>
                    <w:rFonts w:ascii="Cambria Math" w:hAnsi="Cambria Math"/>
                  </w:rPr>
                  <m:t>v</m:t>
                </m:r>
              </m:sub>
            </m:sSub>
          </m:e>
        </m:d>
        <m:r>
          <w:rPr>
            <w:sz w:val="20"/>
            <w:rFonts w:ascii="Cambria Math" w:hAnsi="Cambria Math"/>
          </w:rPr>
          <m:rPr>
            <m:sty m:val="p"/>
          </m:rPr>
          <m:t>≥</m:t>
        </m:r>
        <m:r>
          <w:rPr>
            <w:sz w:val="20"/>
            <w:rFonts w:ascii="Cambria Math" w:hAnsi="Cambria Math"/>
          </w:rPr>
          <m:t>γ</m:t>
        </m:r>
        <m:r>
          <w:rPr>
            <w:sz w:val="20"/>
            <w:rFonts w:ascii="Cambria Math" w:hAnsi="Cambria Math"/>
          </w:rPr>
          <m:rPr>
            <m:sty m:val="p"/>
          </m:rPr>
          <m:t>}</m:t>
        </m:r>
      </m:oMath>
    </w:p>
    <w:p>
      <w:pPr>
        <w:keepNext/>
        <w:spacing w:after="60" w:before="20"/>
        <w:jc w:val="center"/>
      </w:pPr>
      <m:oMath>
        <m:sSup>
          <m:e>
            <m:r>
              <w:rPr>
                <w:sz w:val="20"/>
                <w:rFonts w:ascii="Cambria Math" w:hAnsi="Cambria Math"/>
              </w:rPr>
              <m:t>B</m:t>
            </m:r>
          </m:e>
          <m:sup>
            <m:r>
              <w:rPr>
                <w:sz w:val="20"/>
                <w:rFonts w:ascii="Cambria Math" w:hAnsi="Cambria Math"/>
              </w:rPr>
              <m:rPr>
                <m:sty m:val="p"/>
              </m:rPr>
              <m:t>a</m:t>
            </m:r>
            <m:r>
              <w:rPr>
                <w:sz w:val="20"/>
                <w:rFonts w:ascii="Cambria Math" w:hAnsi="Cambria Math"/>
              </w:rPr>
              <m:rPr>
                <m:sty m:val="p"/>
              </m:rPr>
              <m:t>d</m:t>
            </m:r>
            <m:r>
              <w:rPr>
                <w:sz w:val="20"/>
                <w:rFonts w:ascii="Cambria Math" w:hAnsi="Cambria Math"/>
              </w:rPr>
              <m:rPr>
                <m:sty m:val="p"/>
              </m:rPr>
              <m:t>d</m:t>
            </m:r>
          </m:sup>
        </m:sSup>
        <m:r>
          <w:rPr>
            <w:sz w:val="20"/>
            <w:rFonts w:ascii="Cambria Math" w:hAnsi="Cambria Math"/>
          </w:rPr>
          <m:rPr>
            <m:sty m:val="p"/>
          </m:rPr>
          <m:t>=</m:t>
        </m:r>
        <m:r>
          <w:rPr>
            <w:sz w:val="20"/>
            <w:rFonts w:ascii="Cambria Math" w:hAnsi="Cambria Math"/>
          </w:rPr>
          <m:rPr>
            <m:sty m:val="p"/>
          </m:rPr>
          <m:t>max</m:t>
        </m:r>
        <m:d>
          <m:dPr>
            <m:begChr m:val="("/>
            <m:endChr m:val=")"/>
            <m:sepChr m:val=""/>
            <m:grow/>
          </m:dPr>
          <m:e>
            <m:r>
              <w:rPr>
                <w:sz w:val="20"/>
                <w:rFonts w:ascii="Cambria Math" w:hAnsi="Cambria Math"/>
              </w:rPr>
              <m:t>0</m:t>
            </m:r>
            <m:r>
              <w:rPr>
                <w:sz w:val="20"/>
                <w:rFonts w:ascii="Cambria Math" w:hAnsi="Cambria Math"/>
              </w:rPr>
              <m:rPr>
                <m:sty m:val="p"/>
              </m:rPr>
              <m:t>,</m:t>
            </m:r>
            <m:sSup>
              <m:e>
                <m:r>
                  <w:rPr>
                    <w:sz w:val="20"/>
                    <w:rFonts w:ascii="Cambria Math" w:hAnsi="Cambria Math"/>
                  </w:rPr>
                  <m:t>B</m:t>
                </m:r>
              </m:e>
              <m:sup>
                <m:r>
                  <w:rPr>
                    <w:sz w:val="20"/>
                    <w:rFonts w:ascii="Cambria Math" w:hAnsi="Cambria Math"/>
                  </w:rPr>
                  <m:rPr>
                    <m:sty m:val="p"/>
                  </m:rPr>
                  <m:t>r</m:t>
                </m:r>
                <m:r>
                  <w:rPr>
                    <w:sz w:val="20"/>
                    <w:rFonts w:ascii="Cambria Math" w:hAnsi="Cambria Math"/>
                  </w:rPr>
                  <m:rPr>
                    <m:sty m:val="p"/>
                  </m:rPr>
                  <m:t>e</m:t>
                </m:r>
                <m:r>
                  <w:rPr>
                    <w:sz w:val="20"/>
                    <w:rFonts w:ascii="Cambria Math" w:hAnsi="Cambria Math"/>
                  </w:rPr>
                  <m:rPr>
                    <m:sty m:val="p"/>
                  </m:rPr>
                  <m:t>q</m:t>
                </m:r>
              </m:sup>
            </m:sSup>
            <m:r>
              <w:rPr>
                <w:sz w:val="20"/>
                <w:rFonts w:ascii="Cambria Math" w:hAnsi="Cambria Math"/>
              </w:rPr>
              <m:rPr>
                <m:sty m:val="p"/>
              </m:rPr>
              <m:t>−</m:t>
            </m:r>
            <m:sSup>
              <m:e>
                <m:r>
                  <w:rPr>
                    <w:sz w:val="20"/>
                    <w:rFonts w:ascii="Cambria Math" w:hAnsi="Cambria Math"/>
                  </w:rPr>
                  <m:t>B</m:t>
                </m:r>
              </m:e>
              <m:sup>
                <m:r>
                  <w:rPr>
                    <w:sz w:val="20"/>
                    <w:rFonts w:ascii="Cambria Math" w:hAnsi="Cambria Math"/>
                  </w:rPr>
                  <m:rPr>
                    <m:sty m:val="p"/>
                  </m:rPr>
                  <m:t>a</m:t>
                </m:r>
                <m:r>
                  <w:rPr>
                    <w:sz w:val="20"/>
                    <w:rFonts w:ascii="Cambria Math" w:hAnsi="Cambria Math"/>
                  </w:rPr>
                  <m:rPr>
                    <m:sty m:val="p"/>
                  </m:rPr>
                  <m:t>v</m:t>
                </m:r>
                <m:r>
                  <w:rPr>
                    <w:sz w:val="20"/>
                    <w:rFonts w:ascii="Cambria Math" w:hAnsi="Cambria Math"/>
                  </w:rPr>
                  <m:rPr>
                    <m:sty m:val="p"/>
                  </m:rPr>
                  <m:t>a</m:t>
                </m:r>
                <m:r>
                  <w:rPr>
                    <w:sz w:val="20"/>
                    <w:rFonts w:ascii="Cambria Math" w:hAnsi="Cambria Math"/>
                  </w:rPr>
                  <m:rPr>
                    <m:sty m:val="p"/>
                  </m:rPr>
                  <m:t>i</m:t>
                </m:r>
                <m:r>
                  <w:rPr>
                    <w:sz w:val="20"/>
                    <w:rFonts w:ascii="Cambria Math" w:hAnsi="Cambria Math"/>
                  </w:rPr>
                  <m:rPr>
                    <m:sty m:val="p"/>
                  </m:rPr>
                  <m:t>l</m:t>
                </m:r>
              </m:sup>
            </m:sSup>
          </m:e>
        </m:d>
      </m:oMath>
    </w:p>
    <w:p>
      <w:pPr>
        <w:keepNext/>
        <w:spacing w:after="60"/>
      </w:pPr>
      <w:r>
        <w:rPr>
          <w:rFonts w:ascii="Arial" w:hAnsi="Arial" w:eastAsia="Arial" w:cs="Arial"/>
          <w:b w:val="0"/>
          <w:color w:val="215F52"/>
          <w:sz w:val="17"/>
        </w:rPr>
        <w:t>This is conditional F-A04, not a default probability model. Record the adopted horizon, protection level and loss distribution, or the separately justified stress route. Distinguish total required protection, available compatible reserve and new contribution. No rate is prefilled.</w:t>
      </w:r>
    </w:p>
    <w:p>
      <w:pPr>
        <w:keepNext/>
        <w:spacing w:after="80"/>
      </w:pPr>
      <w:r>
        <w:rPr>
          <w:rFonts w:ascii="Arial" w:hAnsi="Arial" w:eastAsia="Arial" w:cs="Arial"/>
          <w:b w:val="0"/>
          <w:color w:val="62716E"/>
          <w:sz w:val="16"/>
        </w:rPr>
        <w:t>Basis: F-A04; F-A05; T-17–T-20; AP-09. Calculation location: Qualified risk schedule; Settlement!J; FRM-09.</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Hazard / compatible exposure / horizon</w:t>
            </w:r>
          </w:p>
        </w:tc>
        <w:tc>
          <w:tcPr>
            <w:tcW w:type="dxa" w:w="3572"/>
            <w:vAlign w:val="center"/>
            <w:shd w:fill="F1F5F2"/>
          </w:tcPr>
          <w:p>
            <w:pPr>
              <w:keepNext/>
              <w:spacing w:after="20"/>
            </w:pPr>
            <w:r>
              <w:rPr>
                <w:rFonts w:ascii="Arial" w:hAnsi="Arial" w:eastAsia="Arial" w:cs="Arial"/>
                <w:b/>
                <w:color w:val="215F52"/>
                <w:sz w:val="17"/>
              </w:rPr>
              <w:t>Implemented controls, loss evidence and protection rule</w:t>
            </w:r>
          </w:p>
        </w:tc>
        <w:tc>
          <w:tcPr>
            <w:tcW w:type="dxa" w:w="3390"/>
            <w:vAlign w:val="center"/>
            <w:shd w:fill="F1F5F2"/>
          </w:tcPr>
          <w:p>
            <w:pPr>
              <w:keepNext/>
              <w:spacing w:after="20"/>
            </w:pPr>
            <w:r>
              <w:rPr>
                <w:rFonts w:ascii="Arial" w:hAnsi="Arial" w:eastAsia="Arial" w:cs="Arial"/>
                <w:b/>
                <w:color w:val="215F52"/>
                <w:sz w:val="17"/>
              </w:rPr>
              <w:t>Required, available and additional reserve; evidence</w:t>
            </w:r>
          </w:p>
        </w:tc>
      </w:tr>
      <w:tr>
        <w:trPr>
          <w:trHeight w:val="442" w:hRule="atLeast"/>
        </w:trPr>
        <w:tc>
          <w:tcPr>
            <w:tcW w:type="dxa" w:w="2778"/>
            <w:vAlign w:val="top"/>
          </w:tcPr>
          <w:p>
            <w:pPr>
              <w:keepNext w:val="0"/>
              <w:spacing w:after="20"/>
            </w:pPr>
            <w:sdt>
              <w:sdtPr>
                <w:id w:val="1281"/>
                <w:alias w:val="MR-17-T01-R1-C1"/>
                <w:tag w:val="MR-17-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282"/>
                <w:alias w:val="MR-17-T01-R1-C2"/>
                <w:tag w:val="MR-17-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283"/>
                <w:alias w:val="MR-17-T01-R1-C3"/>
                <w:tag w:val="MR-17-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84"/>
                <w:alias w:val="MR-17-T01-R2-C1"/>
                <w:tag w:val="MR-17-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285"/>
                <w:alias w:val="MR-17-T01-R2-C2"/>
                <w:tag w:val="MR-17-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286"/>
                <w:alias w:val="MR-17-T01-R2-C3"/>
                <w:tag w:val="MR-17-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87"/>
                <w:alias w:val="MR-17-T01-R3-C1"/>
                <w:tag w:val="MR-17-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288"/>
                <w:alias w:val="MR-17-T01-R3-C2"/>
                <w:tag w:val="MR-17-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289"/>
                <w:alias w:val="MR-17-T01-R3-C3"/>
                <w:tag w:val="MR-17-T01-R3-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color w:val="215F52"/>
          <w:sz w:val="20"/>
        </w:rPr>
        <w:t>MR-17-T02 / Disturbances, response and current status</w:t>
      </w:r>
    </w:p>
    <w:p>
      <w:pPr>
        <w:keepNext/>
        <w:spacing w:after="100"/>
      </w:pPr>
      <w:r>
        <w:rPr>
          <w:rFonts w:ascii="Arial" w:hAnsi="Arial" w:eastAsia="Arial" w:cs="Arial"/>
          <w:b/>
          <w:color w:val="215F52"/>
          <w:sz w:val="17"/>
        </w:rPr>
        <w:t>MR-17-T02 / Calculation notation</w:t>
      </w:r>
    </w:p>
    <w:p>
      <w:pPr>
        <w:keepNext/>
        <w:spacing w:after="60" w:before="20"/>
        <w:jc w:val="center"/>
      </w:pPr>
      <m:oMath>
        <m:sSub>
          <m:e>
            <m:r>
              <w:rPr>
                <w:sz w:val="20"/>
                <w:rFonts w:ascii="Cambria Math" w:hAnsi="Cambria Math"/>
              </w:rPr>
              <m:t>x</m:t>
            </m:r>
          </m:e>
          <m:sub>
            <m:r>
              <w:rPr>
                <w:sz w:val="20"/>
                <w:rFonts w:ascii="Cambria Math" w:hAnsi="Cambria Math"/>
              </w:rPr>
              <m:rPr>
                <m:sty m:val="p"/>
              </m:rPr>
              <m:t>ℓ</m:t>
            </m:r>
          </m:sub>
        </m:sSub>
        <m:r>
          <w:rPr>
            <w:sz w:val="20"/>
            <w:rFonts w:ascii="Cambria Math" w:hAnsi="Cambria Math"/>
          </w:rPr>
          <m:t> </m:t>
        </m:r>
        <m:d>
          <m:dPr>
            <m:begChr m:val="["/>
            <m:endChr m:val="]"/>
            <m:sepChr m:val=""/>
            <m:grow/>
          </m:dPr>
          <m:e>
            <m:sSub>
              <m:e>
                <m:r>
                  <w:rPr>
                    <w:sz w:val="20"/>
                    <w:rFonts w:ascii="Cambria Math" w:hAnsi="Cambria Math"/>
                  </w:rPr>
                  <m:t>u</m:t>
                </m:r>
              </m:e>
              <m:sub>
                <m:r>
                  <w:rPr>
                    <w:sz w:val="20"/>
                    <w:rFonts w:ascii="Cambria Math" w:hAnsi="Cambria Math"/>
                  </w:rPr>
                  <m:rPr>
                    <m:sty m:val="p"/>
                  </m:rPr>
                  <m:t>ℓ</m:t>
                </m:r>
              </m:sub>
            </m:sSub>
          </m:e>
        </m:d>
      </m:oMath>
    </w:p>
    <w:p>
      <w:pPr>
        <w:keepNext/>
        <w:spacing w:after="60"/>
      </w:pPr>
      <w:r>
        <w:rPr>
          <w:rFonts w:ascii="Arial" w:hAnsi="Arial" w:eastAsia="Arial" w:cs="Arial"/>
          <w:b w:val="0"/>
          <w:color w:val="215F52"/>
          <w:sz w:val="17"/>
        </w:rPr>
        <w:t>x_l is the identified observation, input, or output; u_l is its declared unit. Record the exact equation and source file, worksheet, cell/range, period, and status. This notation does not prescribe an estimator.</w:t>
      </w:r>
    </w:p>
    <w:p>
      <w:pPr>
        <w:keepNext/>
        <w:spacing w:after="80"/>
      </w:pPr>
      <w:r>
        <w:rPr>
          <w:rFonts w:ascii="Arial" w:hAnsi="Arial" w:eastAsia="Arial" w:cs="Arial"/>
          <w:b w:val="0"/>
          <w:color w:val="62716E"/>
          <w:sz w:val="16"/>
        </w:rPr>
        <w:t>Basis: F-01; T-01. Calculation location: Evidence!A:J; Components!F:L.</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Event, date and affected support</w:t>
            </w:r>
          </w:p>
        </w:tc>
        <w:tc>
          <w:tcPr>
            <w:tcW w:type="dxa" w:w="3572"/>
            <w:vAlign w:val="center"/>
            <w:shd w:fill="F1F5F2"/>
          </w:tcPr>
          <w:p>
            <w:pPr>
              <w:keepNext/>
              <w:spacing w:after="20"/>
            </w:pPr>
            <w:r>
              <w:rPr>
                <w:rFonts w:ascii="Arial" w:hAnsi="Arial" w:eastAsia="Arial" w:cs="Arial"/>
                <w:b/>
                <w:color w:val="215F52"/>
                <w:sz w:val="17"/>
              </w:rPr>
              <w:t>Measured or estimated impact and unit</w:t>
            </w:r>
          </w:p>
        </w:tc>
        <w:tc>
          <w:tcPr>
            <w:tcW w:type="dxa" w:w="3390"/>
            <w:vAlign w:val="center"/>
            <w:shd w:fill="F1F5F2"/>
          </w:tcPr>
          <w:p>
            <w:pPr>
              <w:keepNext/>
              <w:spacing w:after="20"/>
            </w:pPr>
            <w:r>
              <w:rPr>
                <w:rFonts w:ascii="Arial" w:hAnsi="Arial" w:eastAsia="Arial" w:cs="Arial"/>
                <w:b/>
                <w:color w:val="215F52"/>
                <w:sz w:val="17"/>
              </w:rPr>
              <w:t>Immediate action, evidence, liability and follow-up</w:t>
            </w:r>
          </w:p>
        </w:tc>
      </w:tr>
      <w:tr>
        <w:trPr>
          <w:trHeight w:val="442" w:hRule="atLeast"/>
        </w:trPr>
        <w:tc>
          <w:tcPr>
            <w:tcW w:type="dxa" w:w="2778"/>
            <w:vAlign w:val="top"/>
          </w:tcPr>
          <w:p>
            <w:pPr>
              <w:keepNext w:val="0"/>
              <w:spacing w:after="20"/>
            </w:pPr>
            <w:sdt>
              <w:sdtPr>
                <w:id w:val="1290"/>
                <w:alias w:val="MR-17-T02-R1-C1"/>
                <w:tag w:val="MR-17-T02-R1-C1"/>
                <w:text w:multiLine="1"/>
              </w:sdtPr>
              <w:sdtContent>
                <w:r>
                  <w:rPr>
                    <w:rFonts w:ascii="Arial" w:hAnsi="Arial"/>
                    <w:color w:val="62716E"/>
                    <w:sz w:val="18"/>
                  </w:rPr>
                  <w:t>[Complete]</w:t>
                </w:r>
              </w:sdtContent>
            </w:sdt>
          </w:p>
        </w:tc>
        <w:tc>
          <w:tcPr>
            <w:tcW w:type="dxa" w:w="3572"/>
            <w:vAlign w:val="top"/>
          </w:tcPr>
          <w:p>
            <w:pPr>
              <w:keepNext w:val="0"/>
              <w:spacing w:after="20"/>
            </w:pPr>
            <w:sdt>
              <w:sdtPr>
                <w:id w:val="1291"/>
                <w:alias w:val="MR-17-T02-R1-C2"/>
                <w:tag w:val="MR-17-T02-R1-C2"/>
                <w:text w:multiLine="1"/>
              </w:sdtPr>
              <w:sdtContent>
                <w:r>
                  <w:rPr>
                    <w:rFonts w:ascii="Arial" w:hAnsi="Arial"/>
                    <w:color w:val="62716E"/>
                    <w:sz w:val="18"/>
                  </w:rPr>
                  <w:t>[Complete]</w:t>
                </w:r>
              </w:sdtContent>
            </w:sdt>
          </w:p>
        </w:tc>
        <w:tc>
          <w:tcPr>
            <w:tcW w:type="dxa" w:w="3390"/>
            <w:vAlign w:val="top"/>
          </w:tcPr>
          <w:p>
            <w:pPr>
              <w:keepNext w:val="0"/>
              <w:spacing w:after="20"/>
            </w:pPr>
            <w:sdt>
              <w:sdtPr>
                <w:id w:val="1292"/>
                <w:alias w:val="MR-17-T02-R1-C3"/>
                <w:tag w:val="MR-17-T02-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93"/>
                <w:alias w:val="MR-17-T02-R2-C1"/>
                <w:tag w:val="MR-17-T02-R2-C1"/>
                <w:text w:multiLine="1"/>
              </w:sdtPr>
              <w:sdtContent>
                <w:r>
                  <w:rPr>
                    <w:rFonts w:ascii="Arial" w:hAnsi="Arial"/>
                    <w:color w:val="62716E"/>
                    <w:sz w:val="18"/>
                  </w:rPr>
                  <w:t>[Complete]</w:t>
                </w:r>
              </w:sdtContent>
            </w:sdt>
          </w:p>
        </w:tc>
        <w:tc>
          <w:tcPr>
            <w:tcW w:type="dxa" w:w="3572"/>
            <w:vAlign w:val="top"/>
          </w:tcPr>
          <w:p>
            <w:pPr>
              <w:keepNext w:val="0"/>
              <w:spacing w:after="20"/>
            </w:pPr>
            <w:sdt>
              <w:sdtPr>
                <w:id w:val="1294"/>
                <w:alias w:val="MR-17-T02-R2-C2"/>
                <w:tag w:val="MR-17-T02-R2-C2"/>
                <w:text w:multiLine="1"/>
              </w:sdtPr>
              <w:sdtContent>
                <w:r>
                  <w:rPr>
                    <w:rFonts w:ascii="Arial" w:hAnsi="Arial"/>
                    <w:color w:val="62716E"/>
                    <w:sz w:val="18"/>
                  </w:rPr>
                  <w:t>[Complete]</w:t>
                </w:r>
              </w:sdtContent>
            </w:sdt>
          </w:p>
        </w:tc>
        <w:tc>
          <w:tcPr>
            <w:tcW w:type="dxa" w:w="3390"/>
            <w:vAlign w:val="top"/>
          </w:tcPr>
          <w:p>
            <w:pPr>
              <w:keepNext w:val="0"/>
              <w:spacing w:after="20"/>
            </w:pPr>
            <w:sdt>
              <w:sdtPr>
                <w:id w:val="1295"/>
                <w:alias w:val="MR-17-T02-R2-C3"/>
                <w:tag w:val="MR-17-T02-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296"/>
                <w:alias w:val="MR-17-T02-R3-C1"/>
                <w:tag w:val="MR-17-T02-R3-C1"/>
                <w:text w:multiLine="1"/>
              </w:sdtPr>
              <w:sdtContent>
                <w:r>
                  <w:rPr>
                    <w:rFonts w:ascii="Arial" w:hAnsi="Arial"/>
                    <w:color w:val="62716E"/>
                    <w:sz w:val="18"/>
                  </w:rPr>
                  <w:t>[Complete]</w:t>
                </w:r>
              </w:sdtContent>
            </w:sdt>
          </w:p>
        </w:tc>
        <w:tc>
          <w:tcPr>
            <w:tcW w:type="dxa" w:w="3572"/>
            <w:vAlign w:val="top"/>
          </w:tcPr>
          <w:p>
            <w:pPr>
              <w:keepNext w:val="0"/>
              <w:spacing w:after="20"/>
            </w:pPr>
            <w:sdt>
              <w:sdtPr>
                <w:id w:val="1297"/>
                <w:alias w:val="MR-17-T02-R3-C2"/>
                <w:tag w:val="MR-17-T02-R3-C2"/>
                <w:text w:multiLine="1"/>
              </w:sdtPr>
              <w:sdtContent>
                <w:r>
                  <w:rPr>
                    <w:rFonts w:ascii="Arial" w:hAnsi="Arial"/>
                    <w:color w:val="62716E"/>
                    <w:sz w:val="18"/>
                  </w:rPr>
                  <w:t>[Complete]</w:t>
                </w:r>
              </w:sdtContent>
            </w:sdt>
          </w:p>
        </w:tc>
        <w:tc>
          <w:tcPr>
            <w:tcW w:type="dxa" w:w="3390"/>
            <w:vAlign w:val="top"/>
          </w:tcPr>
          <w:p>
            <w:pPr>
              <w:keepNext w:val="0"/>
              <w:spacing w:after="20"/>
            </w:pPr>
            <w:sdt>
              <w:sdtPr>
                <w:id w:val="1298"/>
                <w:alias w:val="MR-17-T02-R3-C3"/>
                <w:tag w:val="MR-17-T02-R3-C3"/>
                <w:text w:multiLine="1"/>
              </w:sdtPr>
              <w:sdtContent>
                <w:r>
                  <w:rPr>
                    <w:rFonts w:ascii="Arial" w:hAnsi="Arial"/>
                    <w:color w:val="62716E"/>
                    <w:sz w:val="18"/>
                  </w:rPr>
                  <w:t>[Complete]</w:t>
                </w:r>
              </w:sdtContent>
            </w:sdt>
          </w:p>
        </w:tc>
      </w:tr>
    </w:tbl>
    <w:p>
      <w:pPr>
        <w:spacing w:after="20" w:before="0" w:line="40" w:lineRule="exact"/>
      </w:pPr>
      <w:r>
        <w:rPr>
          <w:sz w:val="4"/>
        </w:rPr>
      </w:r>
    </w:p>
    <w:p>
      <w:pPr>
        <w:spacing w:after="100"/>
      </w:pPr>
      <w:r>
        <w:rPr>
          <w:rFonts w:ascii="Arial" w:hAnsi="Arial" w:eastAsia="Arial" w:cs="Arial"/>
          <w:b w:val="0"/>
          <w:color w:val="243A36"/>
          <w:sz w:val="19"/>
        </w:rPr>
        <w:t>Keep required protection, funded reserve, committed reserve and executed cancellation distinct. Record dependence and common shocks where relevant. A stronger assessment does not itself create more environmental quantity. Do not identify every disturbance or negative bound as a verified reversal without the applicable assessment.</w:t>
      </w:r>
    </w:p>
    <w:p>
      <w:bookmarkStart w:id="480" w:name="MR_18"/>
      <w:pPr>
        <w:pStyle w:val="Heading1"/>
        <w:keepNext/>
        <w:pageBreakBefore/>
      </w:pPr>
      <w:r>
        <w:rPr>
          <w:rFonts w:ascii="Arial" w:hAnsi="Arial" w:eastAsia="Arial" w:cs="Arial"/>
          <w:b w:val="0"/>
          <w:color w:val="215F52"/>
          <w:sz w:val="38"/>
        </w:rPr>
        <w:t>18  Settlement, negative results and continuity</w:t>
      </w:r>
      <w:bookmarkEnd w:id="480"/>
    </w:p>
    <w:p>
      <w:pPr>
        <w:keepNext/>
        <w:spacing w:after="100"/>
      </w:pPr>
      <w:r>
        <w:rPr>
          <w:rFonts w:ascii="Arial" w:hAnsi="Arial" w:eastAsia="Arial" w:cs="Arial"/>
          <w:b w:val="0"/>
          <w:color w:val="62716E"/>
          <w:sz w:val="16"/>
        </w:rPr>
        <w:t>[1] F-03; M05.4; M05.5; F-R03; F-R05a; F-R05b; FRM-02/C; FRM-09; AP-09</w:t>
      </w:r>
    </w:p>
    <w:p>
      <w:pPr>
        <w:keepNext/>
        <w:spacing w:after="100"/>
      </w:pPr>
      <w:r>
        <w:rPr>
          <w:rFonts w:ascii="Arial" w:hAnsi="Arial" w:eastAsia="Arial" w:cs="Arial"/>
          <w:b/>
          <w:color w:val="215F52"/>
          <w:sz w:val="20"/>
        </w:rPr>
        <w:t>MR-18-T01 / Candidate allocation and executed posting</w:t>
      </w:r>
    </w:p>
    <w:p>
      <w:pPr>
        <w:keepNext/>
        <w:spacing w:after="100"/>
      </w:pPr>
      <w:r>
        <w:rPr>
          <w:rFonts w:ascii="Arial" w:hAnsi="Arial" w:eastAsia="Arial" w:cs="Arial"/>
          <w:b/>
          <w:color w:val="215F52"/>
          <w:sz w:val="17"/>
        </w:rPr>
        <w:t>MR-18-T01 / Calculation notation</w:t>
      </w:r>
    </w:p>
    <w:p>
      <w:pPr>
        <w:keepNext/>
        <w:spacing w:after="60" w:before="20"/>
        <w:jc w:val="center"/>
      </w:pPr>
      <m:oMath>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e</m:t>
            </m:r>
            <m:r>
              <w:rPr>
                <w:sz w:val="20"/>
                <w:rFonts w:ascii="Cambria Math" w:hAnsi="Cambria Math"/>
              </w:rPr>
              <m:rPr>
                <m:sty m:val="p"/>
              </m:rPr>
              <m:t>l</m:t>
            </m:r>
            <m:r>
              <w:rPr>
                <w:sz w:val="20"/>
                <w:rFonts w:ascii="Cambria Math" w:hAnsi="Cambria Math"/>
              </w:rPr>
              <m:rPr>
                <m:sty m:val="p"/>
              </m:rPr>
              <m:t>i</m:t>
            </m:r>
            <m:r>
              <w:rPr>
                <w:sz w:val="20"/>
                <w:rFonts w:ascii="Cambria Math" w:hAnsi="Cambria Math"/>
              </w:rPr>
              <m:rPr>
                <m:sty m:val="p"/>
              </m:rPr>
              <m:t>g</m:t>
            </m:r>
            <m:r>
              <w:rPr>
                <w:sz w:val="20"/>
                <w:rFonts w:ascii="Cambria Math" w:hAnsi="Cambria Math"/>
              </w:rPr>
              <m:rPr>
                <m:sty m:val="p"/>
              </m:rPr>
              <m:t>i</m:t>
            </m:r>
            <m:r>
              <w:rPr>
                <w:sz w:val="20"/>
                <w:rFonts w:ascii="Cambria Math" w:hAnsi="Cambria Math"/>
              </w:rPr>
              <m:rPr>
                <m:sty m:val="p"/>
              </m:rPr>
              <m:t>b</m:t>
            </m:r>
            <m:r>
              <w:rPr>
                <w:sz w:val="20"/>
                <w:rFonts w:ascii="Cambria Math" w:hAnsi="Cambria Math"/>
              </w:rPr>
              <m:rPr>
                <m:sty m:val="p"/>
              </m:rPr>
              <m:t>l</m:t>
            </m:r>
            <m:r>
              <w:rPr>
                <w:sz w:val="20"/>
                <w:rFonts w:ascii="Cambria Math" w:hAnsi="Cambria Math"/>
              </w:rPr>
              <m:rPr>
                <m:sty m:val="p"/>
              </m:rPr>
              <m:t>e</m:t>
            </m:r>
          </m:sup>
        </m:sSubSup>
        <m:r>
          <w:rPr>
            <w:sz w:val="20"/>
            <w:rFonts w:ascii="Cambria Math" w:hAnsi="Cambria Math"/>
          </w:rPr>
          <m:rPr>
            <m:sty m:val="p"/>
          </m:rPr>
          <m:t>=</m:t>
        </m:r>
        <m:r>
          <w:rPr>
            <w:sz w:val="20"/>
            <w:rFonts w:ascii="Cambria Math" w:hAnsi="Cambria Math"/>
          </w:rPr>
          <m:rPr>
            <m:sty m:val="p"/>
          </m:rPr>
          <m:t>max</m:t>
        </m:r>
        <m:d>
          <m:dPr>
            <m:begChr m:val="("/>
            <m:endChr m:val=")"/>
            <m:sepChr m:val=""/>
            <m:grow/>
          </m:dPr>
          <m:e>
            <m:r>
              <w:rPr>
                <w:sz w:val="20"/>
                <w:rFonts w:ascii="Cambria Math" w:hAnsi="Cambria Math"/>
              </w:rPr>
              <m:t>0</m:t>
            </m:r>
            <m:r>
              <w:rPr>
                <w:sz w:val="20"/>
                <w:rFonts w:ascii="Cambria Math" w:hAnsi="Cambria Math"/>
              </w:rPr>
              <m:rPr>
                <m:sty m:val="p"/>
              </m:rPr>
              <m:t>,</m:t>
            </m:r>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l</m:t>
                </m:r>
                <m:r>
                  <w:rPr>
                    <w:sz w:val="20"/>
                    <w:rFonts w:ascii="Cambria Math" w:hAnsi="Cambria Math"/>
                  </w:rPr>
                  <m:rPr>
                    <m:sty m:val="p"/>
                  </m:rPr>
                  <m:t>o</m:t>
                </m:r>
                <m:r>
                  <w:rPr>
                    <w:sz w:val="20"/>
                    <w:rFonts w:ascii="Cambria Math" w:hAnsi="Cambria Math"/>
                  </w:rPr>
                  <m:rPr>
                    <m:sty m:val="p"/>
                  </m:rPr>
                  <m:t>w</m:t>
                </m:r>
              </m:sup>
            </m:sSubSup>
          </m:e>
        </m:d>
        <m:r>
          <w:rPr>
            <w:sz w:val="20"/>
            <w:rFonts w:ascii="Cambria Math" w:hAnsi="Cambria Math"/>
          </w:rPr>
          <m:rPr>
            <m:sty m:val="p"/>
          </m:rPr>
          <m:t>,</m:t>
        </m:r>
        <m:r>
          <w:rPr>
            <w:sz w:val="20"/>
            <w:rFonts w:ascii="Cambria Math" w:hAnsi="Cambria Math"/>
          </w:rPr>
          <m:t> </m:t>
        </m:r>
        <m:sSubSup>
          <m:e>
            <m:r>
              <w:rPr>
                <w:sz w:val="20"/>
                <w:rFonts w:ascii="Cambria Math" w:hAnsi="Cambria Math"/>
              </w:rPr>
              <m:t>D</m:t>
            </m:r>
          </m:e>
          <m:sub>
            <m:r>
              <w:rPr>
                <w:sz w:val="20"/>
                <w:rFonts w:ascii="Cambria Math" w:hAnsi="Cambria Math"/>
              </w:rPr>
              <m:t>t</m:t>
            </m:r>
          </m:sub>
          <m:sup>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n</m:t>
            </m:r>
            <m:r>
              <w:rPr>
                <w:sz w:val="20"/>
                <w:rFonts w:ascii="Cambria Math" w:hAnsi="Cambria Math"/>
              </w:rPr>
              <m:rPr>
                <m:sty m:val="p"/>
              </m:rPr>
              <m:t>d</m:t>
            </m:r>
          </m:sup>
        </m:sSubSup>
        <m:r>
          <w:rPr>
            <w:sz w:val="20"/>
            <w:rFonts w:ascii="Cambria Math" w:hAnsi="Cambria Math"/>
          </w:rPr>
          <m:rPr>
            <m:sty m:val="p"/>
          </m:rPr>
          <m:t>=</m:t>
        </m:r>
        <m:r>
          <w:rPr>
            <w:sz w:val="20"/>
            <w:rFonts w:ascii="Cambria Math" w:hAnsi="Cambria Math"/>
          </w:rPr>
          <m:rPr>
            <m:sty m:val="p"/>
          </m:rPr>
          <m:t>min</m:t>
        </m:r>
        <m:d>
          <m:dPr>
            <m:begChr m:val="("/>
            <m:endChr m:val=")"/>
            <m:sepChr m:val=""/>
            <m:grow/>
          </m:dPr>
          <m:e>
            <m:sSub>
              <m:e>
                <m:r>
                  <w:rPr>
                    <w:sz w:val="20"/>
                    <w:rFonts w:ascii="Cambria Math" w:hAnsi="Cambria Math"/>
                  </w:rPr>
                  <m:t>D</m:t>
                </m:r>
              </m:e>
              <m:sub>
                <m:r>
                  <w:rPr>
                    <w:sz w:val="20"/>
                    <w:rFonts w:ascii="Cambria Math" w:hAnsi="Cambria Math"/>
                  </w:rPr>
                  <m:t>t</m:t>
                </m:r>
              </m:sub>
            </m:sSub>
            <m:r>
              <w:rPr>
                <w:sz w:val="20"/>
                <w:rFonts w:ascii="Cambria Math" w:hAnsi="Cambria Math"/>
              </w:rPr>
              <m:rPr>
                <m:sty m:val="p"/>
              </m:rPr>
              <m:t>,</m:t>
            </m:r>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e</m:t>
                </m:r>
                <m:r>
                  <w:rPr>
                    <w:sz w:val="20"/>
                    <w:rFonts w:ascii="Cambria Math" w:hAnsi="Cambria Math"/>
                  </w:rPr>
                  <m:rPr>
                    <m:sty m:val="p"/>
                  </m:rPr>
                  <m:t>l</m:t>
                </m:r>
                <m:r>
                  <w:rPr>
                    <w:sz w:val="20"/>
                    <w:rFonts w:ascii="Cambria Math" w:hAnsi="Cambria Math"/>
                  </w:rPr>
                  <m:rPr>
                    <m:sty m:val="p"/>
                  </m:rPr>
                  <m:t>i</m:t>
                </m:r>
                <m:r>
                  <w:rPr>
                    <w:sz w:val="20"/>
                    <w:rFonts w:ascii="Cambria Math" w:hAnsi="Cambria Math"/>
                  </w:rPr>
                  <m:rPr>
                    <m:sty m:val="p"/>
                  </m:rPr>
                  <m:t>g</m:t>
                </m:r>
                <m:r>
                  <w:rPr>
                    <w:sz w:val="20"/>
                    <w:rFonts w:ascii="Cambria Math" w:hAnsi="Cambria Math"/>
                  </w:rPr>
                  <m:rPr>
                    <m:sty m:val="p"/>
                  </m:rPr>
                  <m:t>i</m:t>
                </m:r>
                <m:r>
                  <w:rPr>
                    <w:sz w:val="20"/>
                    <w:rFonts w:ascii="Cambria Math" w:hAnsi="Cambria Math"/>
                  </w:rPr>
                  <m:rPr>
                    <m:sty m:val="p"/>
                  </m:rPr>
                  <m:t>b</m:t>
                </m:r>
                <m:r>
                  <w:rPr>
                    <w:sz w:val="20"/>
                    <w:rFonts w:ascii="Cambria Math" w:hAnsi="Cambria Math"/>
                  </w:rPr>
                  <m:rPr>
                    <m:sty m:val="p"/>
                  </m:rPr>
                  <m:t>l</m:t>
                </m:r>
                <m:r>
                  <w:rPr>
                    <w:sz w:val="20"/>
                    <w:rFonts w:ascii="Cambria Math" w:hAnsi="Cambria Math"/>
                  </w:rPr>
                  <m:rPr>
                    <m:sty m:val="p"/>
                  </m:rPr>
                  <m:t>e</m:t>
                </m:r>
              </m:sup>
            </m:sSubSup>
          </m:e>
        </m:d>
      </m:oMath>
    </w:p>
    <w:p>
      <w:pPr>
        <w:keepNext/>
        <w:spacing w:after="60" w:before="20"/>
        <w:jc w:val="center"/>
      </w:pPr>
      <m:oMath>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b</m:t>
            </m:r>
            <m:r>
              <w:rPr>
                <w:sz w:val="20"/>
                <w:rFonts w:ascii="Cambria Math" w:hAnsi="Cambria Math"/>
              </w:rPr>
              <m:rPr>
                <m:sty m:val="p"/>
              </m:rPr>
              <m:t>a</m:t>
            </m:r>
            <m:r>
              <w:rPr>
                <w:sz w:val="20"/>
                <w:rFonts w:ascii="Cambria Math" w:hAnsi="Cambria Math"/>
              </w:rPr>
              <m:rPr>
                <m:sty m:val="p"/>
              </m:rPr>
              <m:t>s</m:t>
            </m:r>
            <m:r>
              <w:rPr>
                <w:sz w:val="20"/>
                <w:rFonts w:ascii="Cambria Math" w:hAnsi="Cambria Math"/>
              </w:rPr>
              <m:rPr>
                <m:sty m:val="p"/>
              </m:rPr>
              <m:t>e</m:t>
            </m:r>
            <m:r>
              <w:rPr>
                <w:sz w:val="20"/>
                <w:rFonts w:ascii="Cambria Math" w:hAnsi="Cambria Math"/>
              </w:rPr>
              <m:rPr>
                <m:sty m:val="p"/>
              </m:rPr>
              <m:t>,</m:t>
            </m:r>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n</m:t>
            </m:r>
            <m:r>
              <w:rPr>
                <w:sz w:val="20"/>
                <w:rFonts w:ascii="Cambria Math" w:hAnsi="Cambria Math"/>
              </w:rPr>
              <m:rPr>
                <m:sty m:val="p"/>
              </m:rPr>
              <m:t>d</m:t>
            </m:r>
          </m:sup>
        </m:sSubSup>
        <m:r>
          <w:rPr>
            <w:sz w:val="20"/>
            <w:rFonts w:ascii="Cambria Math" w:hAnsi="Cambria Math"/>
          </w:rPr>
          <m:rPr>
            <m:sty m:val="p"/>
          </m:rPr>
          <m:t>=</m:t>
        </m:r>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e</m:t>
            </m:r>
            <m:r>
              <w:rPr>
                <w:sz w:val="20"/>
                <w:rFonts w:ascii="Cambria Math" w:hAnsi="Cambria Math"/>
              </w:rPr>
              <m:rPr>
                <m:sty m:val="p"/>
              </m:rPr>
              <m:t>l</m:t>
            </m:r>
            <m:r>
              <w:rPr>
                <w:sz w:val="20"/>
                <w:rFonts w:ascii="Cambria Math" w:hAnsi="Cambria Math"/>
              </w:rPr>
              <m:rPr>
                <m:sty m:val="p"/>
              </m:rPr>
              <m:t>i</m:t>
            </m:r>
            <m:r>
              <w:rPr>
                <w:sz w:val="20"/>
                <w:rFonts w:ascii="Cambria Math" w:hAnsi="Cambria Math"/>
              </w:rPr>
              <m:rPr>
                <m:sty m:val="p"/>
              </m:rPr>
              <m:t>g</m:t>
            </m:r>
            <m:r>
              <w:rPr>
                <w:sz w:val="20"/>
                <w:rFonts w:ascii="Cambria Math" w:hAnsi="Cambria Math"/>
              </w:rPr>
              <m:rPr>
                <m:sty m:val="p"/>
              </m:rPr>
              <m:t>i</m:t>
            </m:r>
            <m:r>
              <w:rPr>
                <w:sz w:val="20"/>
                <w:rFonts w:ascii="Cambria Math" w:hAnsi="Cambria Math"/>
              </w:rPr>
              <m:rPr>
                <m:sty m:val="p"/>
              </m:rPr>
              <m:t>b</m:t>
            </m:r>
            <m:r>
              <w:rPr>
                <w:sz w:val="20"/>
                <w:rFonts w:ascii="Cambria Math" w:hAnsi="Cambria Math"/>
              </w:rPr>
              <m:rPr>
                <m:sty m:val="p"/>
              </m:rPr>
              <m:t>l</m:t>
            </m:r>
            <m:r>
              <w:rPr>
                <w:sz w:val="20"/>
                <w:rFonts w:ascii="Cambria Math" w:hAnsi="Cambria Math"/>
              </w:rPr>
              <m:rPr>
                <m:sty m:val="p"/>
              </m:rPr>
              <m:t>e</m:t>
            </m:r>
          </m:sup>
        </m:sSubSup>
        <m:r>
          <w:rPr>
            <w:sz w:val="20"/>
            <w:rFonts w:ascii="Cambria Math" w:hAnsi="Cambria Math"/>
          </w:rPr>
          <m:rPr>
            <m:sty m:val="p"/>
          </m:rPr>
          <m:t>−</m:t>
        </m:r>
        <m:sSubSup>
          <m:e>
            <m:r>
              <w:rPr>
                <w:sz w:val="20"/>
                <w:rFonts w:ascii="Cambria Math" w:hAnsi="Cambria Math"/>
              </w:rPr>
              <m:t>D</m:t>
            </m:r>
          </m:e>
          <m:sub>
            <m:r>
              <w:rPr>
                <w:sz w:val="20"/>
                <w:rFonts w:ascii="Cambria Math" w:hAnsi="Cambria Math"/>
              </w:rPr>
              <m:t>t</m:t>
            </m:r>
          </m:sub>
          <m:sup>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n</m:t>
            </m:r>
            <m:r>
              <w:rPr>
                <w:sz w:val="20"/>
                <w:rFonts w:ascii="Cambria Math" w:hAnsi="Cambria Math"/>
              </w:rPr>
              <m:rPr>
                <m:sty m:val="p"/>
              </m:rPr>
              <m:t>d</m:t>
            </m:r>
          </m:sup>
        </m:sSubSup>
        <m:r>
          <w:rPr>
            <w:sz w:val="20"/>
            <w:rFonts w:ascii="Cambria Math" w:hAnsi="Cambria Math"/>
          </w:rPr>
          <m:rPr>
            <m:sty m:val="p"/>
          </m:rPr>
          <m:t>,</m:t>
        </m:r>
        <m:r>
          <w:rPr>
            <w:sz w:val="20"/>
            <w:rFonts w:ascii="Cambria Math" w:hAnsi="Cambria Math"/>
          </w:rPr>
          <m:t> </m:t>
        </m:r>
        <m:sSubSup>
          <m:e>
            <m:r>
              <w:rPr>
                <w:sz w:val="20"/>
                <w:rFonts w:ascii="Cambria Math" w:hAnsi="Cambria Math"/>
              </w:rPr>
              <m:t>J</m:t>
            </m:r>
          </m:e>
          <m:sub>
            <m:r>
              <w:rPr>
                <w:sz w:val="20"/>
                <w:rFonts w:ascii="Cambria Math" w:hAnsi="Cambria Math"/>
              </w:rPr>
              <m:t>t</m:t>
            </m:r>
          </m:sub>
          <m:sup>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n</m:t>
            </m:r>
            <m:r>
              <w:rPr>
                <w:sz w:val="20"/>
                <w:rFonts w:ascii="Cambria Math" w:hAnsi="Cambria Math"/>
              </w:rPr>
              <m:rPr>
                <m:sty m:val="p"/>
              </m:rPr>
              <m:t>d</m:t>
            </m:r>
          </m:sup>
        </m:sSubSup>
        <m:r>
          <w:rPr>
            <w:sz w:val="20"/>
            <w:rFonts w:ascii="Cambria Math" w:hAnsi="Cambria Math"/>
          </w:rPr>
          <m:rPr>
            <m:sty m:val="p"/>
          </m:rPr>
          <m:t>=</m:t>
        </m:r>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b</m:t>
            </m:r>
            <m:r>
              <w:rPr>
                <w:sz w:val="20"/>
                <w:rFonts w:ascii="Cambria Math" w:hAnsi="Cambria Math"/>
              </w:rPr>
              <m:rPr>
                <m:sty m:val="p"/>
              </m:rPr>
              <m:t>a</m:t>
            </m:r>
            <m:r>
              <w:rPr>
                <w:sz w:val="20"/>
                <w:rFonts w:ascii="Cambria Math" w:hAnsi="Cambria Math"/>
              </w:rPr>
              <m:rPr>
                <m:sty m:val="p"/>
              </m:rPr>
              <m:t>s</m:t>
            </m:r>
            <m:r>
              <w:rPr>
                <w:sz w:val="20"/>
                <w:rFonts w:ascii="Cambria Math" w:hAnsi="Cambria Math"/>
              </w:rPr>
              <m:rPr>
                <m:sty m:val="p"/>
              </m:rPr>
              <m:t>e</m:t>
            </m:r>
            <m:r>
              <w:rPr>
                <w:sz w:val="20"/>
                <w:rFonts w:ascii="Cambria Math" w:hAnsi="Cambria Math"/>
              </w:rPr>
              <m:rPr>
                <m:sty m:val="p"/>
              </m:rPr>
              <m:t>,</m:t>
            </m:r>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n</m:t>
            </m:r>
            <m:r>
              <w:rPr>
                <w:sz w:val="20"/>
                <w:rFonts w:ascii="Cambria Math" w:hAnsi="Cambria Math"/>
              </w:rPr>
              <m:rPr>
                <m:sty m:val="p"/>
              </m:rPr>
              <m:t>d</m:t>
            </m:r>
          </m:sup>
        </m:sSubSup>
        <m:r>
          <w:rPr>
            <w:sz w:val="20"/>
            <w:rFonts w:ascii="Cambria Math" w:hAnsi="Cambria Math"/>
          </w:rPr>
          <m:rPr>
            <m:sty m:val="p"/>
          </m:rPr>
          <m:t>−</m:t>
        </m:r>
        <m:sSub>
          <m:e>
            <m:r>
              <w:rPr>
                <w:sz w:val="20"/>
                <w:rFonts w:ascii="Cambria Math" w:hAnsi="Cambria Math"/>
              </w:rPr>
              <m:t>B</m:t>
            </m:r>
          </m:e>
          <m:sub>
            <m:r>
              <w:rPr>
                <w:sz w:val="20"/>
                <w:rFonts w:ascii="Cambria Math" w:hAnsi="Cambria Math"/>
              </w:rPr>
              <m:t>t</m:t>
            </m:r>
          </m:sub>
        </m:sSub>
      </m:oMath>
    </w:p>
    <w:p>
      <w:pPr>
        <w:keepNext/>
        <w:spacing w:after="60"/>
      </w:pPr>
      <w:r>
        <w:rPr>
          <w:rFonts w:ascii="Arial" w:hAnsi="Arial" w:eastAsia="Arial" w:cs="Arial"/>
          <w:b w:val="0"/>
          <w:color w:val="215F52"/>
          <w:sz w:val="17"/>
        </w:rPr>
        <w:t>cand distinguishes a worksheet proposal from an executed posting. D_set is actual evidenced settlement; D_rem = D - D_set. Do not reduce posted liability by D_cand. A larger required reserve than the candidate base is a shortfall, not funded protection. No rounding is implied.</w:t>
      </w:r>
    </w:p>
    <w:p>
      <w:pPr>
        <w:keepNext/>
        <w:spacing w:after="80"/>
      </w:pPr>
      <w:r>
        <w:rPr>
          <w:rFonts w:ascii="Arial" w:hAnsi="Arial" w:eastAsia="Arial" w:cs="Arial"/>
          <w:b w:val="0"/>
          <w:color w:val="62716E"/>
          <w:sz w:val="16"/>
        </w:rPr>
        <w:t>Basis: M05.4; M05.5; F-R03. Calculation location: Settlement!B:L; ExAnte!M:O (forecast only).</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Opening liability and eligible result</w:t>
            </w:r>
          </w:p>
        </w:tc>
        <w:tc>
          <w:tcPr>
            <w:tcW w:type="dxa" w:w="3572"/>
            <w:vAlign w:val="center"/>
            <w:shd w:fill="F1F5F2"/>
          </w:tcPr>
          <w:p>
            <w:pPr>
              <w:keepNext/>
              <w:spacing w:after="20"/>
            </w:pPr>
            <w:r>
              <w:rPr>
                <w:rFonts w:ascii="Arial" w:hAnsi="Arial" w:eastAsia="Arial" w:cs="Arial"/>
                <w:b/>
                <w:color w:val="215F52"/>
                <w:sz w:val="17"/>
              </w:rPr>
              <w:t>Candidate versus executed settlement; evidence</w:t>
            </w:r>
          </w:p>
        </w:tc>
        <w:tc>
          <w:tcPr>
            <w:tcW w:type="dxa" w:w="3390"/>
            <w:vAlign w:val="center"/>
            <w:shd w:fill="F1F5F2"/>
          </w:tcPr>
          <w:p>
            <w:pPr>
              <w:keepNext/>
              <w:spacing w:after="20"/>
            </w:pPr>
            <w:r>
              <w:rPr>
                <w:rFonts w:ascii="Arial" w:hAnsi="Arial" w:eastAsia="Arial" w:cs="Arial"/>
                <w:b/>
                <w:color w:val="215F52"/>
                <w:sz w:val="17"/>
              </w:rPr>
              <w:t>Post-liability base, reserve and remaining mass</w:t>
            </w:r>
          </w:p>
        </w:tc>
      </w:tr>
      <w:tr>
        <w:trPr>
          <w:trHeight w:val="442" w:hRule="atLeast"/>
        </w:trPr>
        <w:tc>
          <w:tcPr>
            <w:tcW w:type="dxa" w:w="2778"/>
            <w:vAlign w:val="top"/>
          </w:tcPr>
          <w:p>
            <w:pPr>
              <w:keepNext w:val="0"/>
              <w:spacing w:after="20"/>
            </w:pPr>
            <w:sdt>
              <w:sdtPr>
                <w:id w:val="1299"/>
                <w:alias w:val="MR-18-T01-R1-C1"/>
                <w:tag w:val="MR-18-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300"/>
                <w:alias w:val="MR-18-T01-R1-C2"/>
                <w:tag w:val="MR-18-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301"/>
                <w:alias w:val="MR-18-T01-R1-C3"/>
                <w:tag w:val="MR-18-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02"/>
                <w:alias w:val="MR-18-T01-R2-C1"/>
                <w:tag w:val="MR-18-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303"/>
                <w:alias w:val="MR-18-T01-R2-C2"/>
                <w:tag w:val="MR-18-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304"/>
                <w:alias w:val="MR-18-T01-R2-C3"/>
                <w:tag w:val="MR-18-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05"/>
                <w:alias w:val="MR-18-T01-R3-C1"/>
                <w:tag w:val="MR-18-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306"/>
                <w:alias w:val="MR-18-T01-R3-C2"/>
                <w:tag w:val="MR-18-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307"/>
                <w:alias w:val="MR-18-T01-R3-C3"/>
                <w:tag w:val="MR-18-T01-R3-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color w:val="215F52"/>
          <w:sz w:val="20"/>
        </w:rPr>
        <w:t>MR-18-T02 / Negative-result continuation</w:t>
      </w:r>
    </w:p>
    <w:p>
      <w:pPr>
        <w:keepNext/>
        <w:spacing w:after="100"/>
      </w:pPr>
      <w:r>
        <w:rPr>
          <w:rFonts w:ascii="Arial" w:hAnsi="Arial" w:eastAsia="Arial" w:cs="Arial"/>
          <w:b/>
          <w:color w:val="215F52"/>
          <w:sz w:val="17"/>
        </w:rPr>
        <w:t>MR-18-T02 / Calculation notation</w:t>
      </w:r>
    </w:p>
    <w:p>
      <w:pPr>
        <w:keepNext/>
        <w:spacing w:after="60" w:before="20"/>
        <w:jc w:val="center"/>
      </w:pPr>
      <m:oMath>
        <m:sSubSup>
          <m:e>
            <m:r>
              <w:rPr>
                <w:sz w:val="20"/>
                <w:rFonts w:ascii="Cambria Math" w:hAnsi="Cambria Math"/>
              </w:rPr>
              <m:t>N</m:t>
            </m:r>
          </m:e>
          <m:sub>
            <m:r>
              <w:rPr>
                <w:sz w:val="20"/>
                <w:rFonts w:ascii="Cambria Math" w:hAnsi="Cambria Math"/>
              </w:rPr>
              <m:t>t</m:t>
            </m:r>
          </m:sub>
          <m:sup>
            <m:r>
              <w:rPr>
                <w:sz w:val="20"/>
                <w:rFonts w:ascii="Cambria Math" w:hAnsi="Cambria Math"/>
              </w:rPr>
              <m:rPr>
                <m:sty m:val="p"/>
              </m:rPr>
              <m:t>−</m:t>
            </m:r>
          </m:sup>
        </m:sSubSup>
        <m:r>
          <w:rPr>
            <w:sz w:val="20"/>
            <w:rFonts w:ascii="Cambria Math" w:hAnsi="Cambria Math"/>
          </w:rPr>
          <m:rPr>
            <m:sty m:val="p"/>
          </m:rPr>
          <m:t>=</m:t>
        </m:r>
        <m:r>
          <w:rPr>
            <w:sz w:val="20"/>
            <w:rFonts w:ascii="Cambria Math" w:hAnsi="Cambria Math"/>
          </w:rPr>
          <m:rPr>
            <m:sty m:val="p"/>
          </m:rPr>
          <m:t>max</m:t>
        </m:r>
        <m:d>
          <m:dPr>
            <m:begChr m:val="("/>
            <m:endChr m:val=")"/>
            <m:sepChr m:val=""/>
            <m:grow/>
          </m:dPr>
          <m:e>
            <m:r>
              <w:rPr>
                <w:sz w:val="20"/>
                <w:rFonts w:ascii="Cambria Math" w:hAnsi="Cambria Math"/>
              </w:rPr>
              <m:t>0</m:t>
            </m:r>
            <m:r>
              <w:rPr>
                <w:sz w:val="20"/>
                <w:rFonts w:ascii="Cambria Math" w:hAnsi="Cambria Math"/>
              </w:rPr>
              <m:rPr>
                <m:sty m:val="p"/>
              </m:rPr>
              <m:t>,</m:t>
            </m:r>
            <m:r>
              <w:rPr>
                <w:sz w:val="20"/>
                <w:rFonts w:ascii="Cambria Math" w:hAnsi="Cambria Math"/>
              </w:rPr>
              <m:rPr>
                <m:sty m:val="p"/>
              </m:rPr>
              <m:t>−</m:t>
            </m:r>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l</m:t>
                </m:r>
                <m:r>
                  <w:rPr>
                    <w:sz w:val="20"/>
                    <w:rFonts w:ascii="Cambria Math" w:hAnsi="Cambria Math"/>
                  </w:rPr>
                  <m:rPr>
                    <m:sty m:val="p"/>
                  </m:rPr>
                  <m:t>o</m:t>
                </m:r>
                <m:r>
                  <w:rPr>
                    <w:sz w:val="20"/>
                    <w:rFonts w:ascii="Cambria Math" w:hAnsi="Cambria Math"/>
                  </w:rPr>
                  <m:rPr>
                    <m:sty m:val="p"/>
                  </m:rPr>
                  <m:t>w</m:t>
                </m:r>
              </m:sup>
            </m:sSubSup>
          </m:e>
        </m:d>
        <m:r>
          <w:rPr>
            <w:sz w:val="20"/>
            <w:rFonts w:ascii="Cambria Math" w:hAnsi="Cambria Math"/>
          </w:rPr>
          <m:rPr>
            <m:sty m:val="p"/>
          </m:rPr>
          <m:t>,</m:t>
        </m:r>
        <m:r>
          <w:rPr>
            <w:sz w:val="20"/>
            <w:rFonts w:ascii="Cambria Math" w:hAnsi="Cambria Math"/>
          </w:rPr>
          <m:t> </m:t>
        </m:r>
        <m:r>
          <w:rPr>
            <w:sz w:val="20"/>
            <w:rFonts w:ascii="Cambria Math" w:hAnsi="Cambria Math"/>
          </w:rPr>
          <m:t>Δ</m:t>
        </m:r>
        <m:sSubSup>
          <m:e>
            <m:r>
              <w:rPr>
                <w:sz w:val="20"/>
                <w:rFonts w:ascii="Cambria Math" w:hAnsi="Cambria Math"/>
              </w:rPr>
              <m:t>D</m:t>
            </m:r>
          </m:e>
          <m:sub>
            <m:r>
              <w:rPr>
                <w:sz w:val="20"/>
                <w:rFonts w:ascii="Cambria Math" w:hAnsi="Cambria Math"/>
              </w:rPr>
              <m:t>t</m:t>
            </m:r>
          </m:sub>
          <m:sup>
            <m:r>
              <w:rPr>
                <w:sz w:val="20"/>
                <w:rFonts w:ascii="Cambria Math" w:hAnsi="Cambria Math"/>
              </w:rPr>
              <m:rPr>
                <m:sty m:val="p"/>
              </m:rPr>
              <m:t>−</m:t>
            </m:r>
          </m:sup>
        </m:sSubSup>
        <m:r>
          <w:rPr>
            <w:sz w:val="20"/>
            <w:rFonts w:ascii="Cambria Math" w:hAnsi="Cambria Math"/>
          </w:rPr>
          <m:rPr>
            <m:sty m:val="p"/>
          </m:rPr>
          <m:t>=</m:t>
        </m:r>
        <m:sSubSup>
          <m:e>
            <m:r>
              <w:rPr>
                <w:sz w:val="20"/>
                <w:rFonts w:ascii="Cambria Math" w:hAnsi="Cambria Math"/>
              </w:rPr>
              <m:t>N</m:t>
            </m:r>
          </m:e>
          <m:sub>
            <m:r>
              <w:rPr>
                <w:sz w:val="20"/>
                <w:rFonts w:ascii="Cambria Math" w:hAnsi="Cambria Math"/>
              </w:rPr>
              <m:t>t</m:t>
            </m:r>
          </m:sub>
          <m:sup>
            <m:r>
              <w:rPr>
                <w:sz w:val="20"/>
                <w:rFonts w:ascii="Cambria Math" w:hAnsi="Cambria Math"/>
              </w:rPr>
              <m:rPr>
                <m:sty m:val="p"/>
              </m:rPr>
              <m:t>−</m:t>
            </m:r>
          </m:sup>
        </m:sSubSup>
        <m:r>
          <w:rPr>
            <w:sz w:val="20"/>
            <w:rFonts w:ascii="Cambria Math" w:hAnsi="Cambria Math"/>
          </w:rPr>
          <m:rPr>
            <m:sty m:val="p"/>
          </m:rPr>
          <m:t>−</m:t>
        </m:r>
        <m:sSub>
          <m:e>
            <m:r>
              <w:rPr>
                <w:sz w:val="20"/>
                <w:rFonts w:ascii="Cambria Math" w:hAnsi="Cambria Math"/>
              </w:rPr>
              <m:t>O</m:t>
            </m:r>
          </m:e>
          <m:sub>
            <m:r>
              <w:rPr>
                <w:sz w:val="20"/>
                <w:rFonts w:ascii="Cambria Math" w:hAnsi="Cambria Math"/>
              </w:rPr>
              <m:t>t</m:t>
            </m:r>
          </m:sub>
        </m:sSub>
        <m:r>
          <w:rPr>
            <w:sz w:val="20"/>
            <w:rFonts w:ascii="Cambria Math" w:hAnsi="Cambria Math"/>
          </w:rPr>
          <m:rPr>
            <m:sty m:val="p"/>
          </m:rPr>
          <m:t>−</m:t>
        </m:r>
        <m:sSubSup>
          <m:e>
            <m:r>
              <w:rPr>
                <w:sz w:val="20"/>
                <w:rFonts w:ascii="Cambria Math" w:hAnsi="Cambria Math"/>
              </w:rPr>
              <m:t>C</m:t>
            </m:r>
          </m:e>
          <m:sub>
            <m:r>
              <w:rPr>
                <w:sz w:val="20"/>
                <w:rFonts w:ascii="Cambria Math" w:hAnsi="Cambria Math"/>
              </w:rPr>
              <m:t>t</m:t>
            </m:r>
          </m:sub>
          <m:sup>
            <m:r>
              <w:rPr>
                <w:sz w:val="20"/>
                <w:rFonts w:ascii="Cambria Math" w:hAnsi="Cambria Math"/>
              </w:rPr>
              <m:rPr>
                <m:sty m:val="p"/>
              </m:rPr>
              <m:t>−</m:t>
            </m:r>
          </m:sup>
        </m:sSubSup>
      </m:oMath>
    </w:p>
    <w:p>
      <w:pPr>
        <w:keepNext/>
        <w:spacing w:after="60" w:before="20"/>
        <w:jc w:val="center"/>
      </w:pPr>
      <m:oMath>
        <m:sSub>
          <m:e>
            <m:r>
              <w:rPr>
                <w:sz w:val="20"/>
                <w:rFonts w:ascii="Cambria Math" w:hAnsi="Cambria Math"/>
              </w:rPr>
              <m:t>D</m:t>
            </m:r>
          </m:e>
          <m:sub>
            <m:r>
              <w:rPr>
                <w:sz w:val="20"/>
                <w:rFonts w:ascii="Cambria Math" w:hAnsi="Cambria Math"/>
              </w:rPr>
              <m:t>t</m:t>
            </m:r>
            <m:r>
              <w:rPr>
                <w:sz w:val="20"/>
                <w:rFonts w:ascii="Cambria Math" w:hAnsi="Cambria Math"/>
              </w:rPr>
              <m:rPr>
                <m:sty m:val="p"/>
              </m:rPr>
              <m:t>+</m:t>
            </m:r>
            <m:r>
              <w:rPr>
                <w:sz w:val="20"/>
                <w:rFonts w:ascii="Cambria Math" w:hAnsi="Cambria Math"/>
              </w:rPr>
              <m:t>1</m:t>
            </m:r>
          </m:sub>
        </m:sSub>
        <m:r>
          <w:rPr>
            <w:sz w:val="20"/>
            <w:rFonts w:ascii="Cambria Math" w:hAnsi="Cambria Math"/>
          </w:rPr>
          <m:rPr>
            <m:sty m:val="p"/>
          </m:rPr>
          <m:t>=</m:t>
        </m:r>
        <m:sSubSup>
          <m:e>
            <m:r>
              <w:rPr>
                <w:sz w:val="20"/>
                <w:rFonts w:ascii="Cambria Math" w:hAnsi="Cambria Math"/>
              </w:rPr>
              <m:t>D</m:t>
            </m:r>
          </m:e>
          <m:sub>
            <m:r>
              <w:rPr>
                <w:sz w:val="20"/>
                <w:rFonts w:ascii="Cambria Math" w:hAnsi="Cambria Math"/>
              </w:rPr>
              <m:t>t</m:t>
            </m:r>
          </m:sub>
          <m:sup>
            <m:r>
              <w:rPr>
                <w:sz w:val="20"/>
                <w:rFonts w:ascii="Cambria Math" w:hAnsi="Cambria Math"/>
              </w:rPr>
              <m:rPr>
                <m:sty m:val="p"/>
              </m:rPr>
              <m:t>r</m:t>
            </m:r>
            <m:r>
              <w:rPr>
                <w:sz w:val="20"/>
                <w:rFonts w:ascii="Cambria Math" w:hAnsi="Cambria Math"/>
              </w:rPr>
              <m:rPr>
                <m:sty m:val="p"/>
              </m:rPr>
              <m:t>e</m:t>
            </m:r>
            <m:r>
              <w:rPr>
                <w:sz w:val="20"/>
                <w:rFonts w:ascii="Cambria Math" w:hAnsi="Cambria Math"/>
              </w:rPr>
              <m:rPr>
                <m:sty m:val="p"/>
              </m:rPr>
              <m:t>m</m:t>
            </m:r>
          </m:sup>
        </m:sSubSup>
        <m:r>
          <w:rPr>
            <w:sz w:val="20"/>
            <w:rFonts w:ascii="Cambria Math" w:hAnsi="Cambria Math"/>
          </w:rPr>
          <m:rPr>
            <m:sty m:val="p"/>
          </m:rPr>
          <m:t>+</m:t>
        </m:r>
        <m:r>
          <w:rPr>
            <w:sz w:val="20"/>
            <w:rFonts w:ascii="Cambria Math" w:hAnsi="Cambria Math"/>
          </w:rPr>
          <m:t>Δ</m:t>
        </m:r>
        <m:sSubSup>
          <m:e>
            <m:r>
              <w:rPr>
                <w:sz w:val="20"/>
                <w:rFonts w:ascii="Cambria Math" w:hAnsi="Cambria Math"/>
              </w:rPr>
              <m:t>D</m:t>
            </m:r>
          </m:e>
          <m:sub>
            <m:r>
              <w:rPr>
                <w:sz w:val="20"/>
                <w:rFonts w:ascii="Cambria Math" w:hAnsi="Cambria Math"/>
              </w:rPr>
              <m:t>t</m:t>
            </m:r>
          </m:sub>
          <m:sup>
            <m:r>
              <w:rPr>
                <w:sz w:val="20"/>
                <w:rFonts w:ascii="Cambria Math" w:hAnsi="Cambria Math"/>
              </w:rPr>
              <m:rPr>
                <m:sty m:val="p"/>
              </m:rPr>
              <m:t>−</m:t>
            </m:r>
          </m:sup>
        </m:sSubSup>
      </m:oMath>
    </w:p>
    <w:p>
      <w:pPr>
        <w:keepNext/>
        <w:spacing w:after="60"/>
      </w:pPr>
      <w:r>
        <w:rPr>
          <w:rFonts w:ascii="Arial" w:hAnsi="Arial" w:eastAsia="Arial" w:cs="Arial"/>
          <w:b w:val="0"/>
          <w:color w:val="215F52"/>
          <w:sz w:val="17"/>
        </w:rPr>
        <w:t>FULL_BOUND only when expressly adopted. O is a documented previously recognized portion of the same deficit; C_minus is executed reserve cancellation for a disjoint portion. Require O+C_minus &lt;= N_minus. A negative uncertainty bound is not automatically a physical reversal.</w:t>
      </w:r>
    </w:p>
    <w:p>
      <w:pPr>
        <w:keepNext/>
        <w:spacing w:after="80"/>
      </w:pPr>
      <w:r>
        <w:rPr>
          <w:rFonts w:ascii="Arial" w:hAnsi="Arial" w:eastAsia="Arial" w:cs="Arial"/>
          <w:b w:val="0"/>
          <w:color w:val="62716E"/>
          <w:sz w:val="16"/>
        </w:rPr>
        <w:t>Basis: F-R05a; F-R05b; F-03. Calculation location: CarryForward!B:J; Settlement!I.</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Period / rule / signed conservative result</w:t>
            </w:r>
          </w:p>
        </w:tc>
        <w:tc>
          <w:tcPr>
            <w:tcW w:type="dxa" w:w="3572"/>
            <w:vAlign w:val="center"/>
            <w:shd w:fill="F1F5F2"/>
          </w:tcPr>
          <w:p>
            <w:pPr>
              <w:keepNext/>
              <w:spacing w:after="20"/>
            </w:pPr>
            <w:r>
              <w:rPr>
                <w:rFonts w:ascii="Arial" w:hAnsi="Arial" w:eastAsia="Arial" w:cs="Arial"/>
                <w:b/>
                <w:color w:val="215F52"/>
                <w:sz w:val="17"/>
              </w:rPr>
              <w:t>New deficit, prior recognized overlap and canceled reserve</w:t>
            </w:r>
          </w:p>
        </w:tc>
        <w:tc>
          <w:tcPr>
            <w:tcW w:type="dxa" w:w="3390"/>
            <w:vAlign w:val="center"/>
            <w:shd w:fill="F1F5F2"/>
          </w:tcPr>
          <w:p>
            <w:pPr>
              <w:keepNext/>
              <w:spacing w:after="20"/>
            </w:pPr>
            <w:r>
              <w:rPr>
                <w:rFonts w:ascii="Arial" w:hAnsi="Arial" w:eastAsia="Arial" w:cs="Arial"/>
                <w:b/>
                <w:color w:val="215F52"/>
                <w:sz w:val="17"/>
              </w:rPr>
              <w:t>Unsettled increment, closing liability and next opening</w:t>
            </w:r>
          </w:p>
        </w:tc>
      </w:tr>
      <w:tr>
        <w:trPr>
          <w:trHeight w:val="442" w:hRule="atLeast"/>
        </w:trPr>
        <w:tc>
          <w:tcPr>
            <w:tcW w:type="dxa" w:w="2778"/>
            <w:vAlign w:val="top"/>
          </w:tcPr>
          <w:p>
            <w:pPr>
              <w:keepNext w:val="0"/>
              <w:spacing w:after="20"/>
            </w:pPr>
            <w:sdt>
              <w:sdtPr>
                <w:id w:val="1308"/>
                <w:alias w:val="MR-18-T02-R1-C1"/>
                <w:tag w:val="MR-18-T02-R1-C1"/>
                <w:text w:multiLine="1"/>
              </w:sdtPr>
              <w:sdtContent>
                <w:r>
                  <w:rPr>
                    <w:rFonts w:ascii="Arial" w:hAnsi="Arial"/>
                    <w:color w:val="62716E"/>
                    <w:sz w:val="18"/>
                  </w:rPr>
                  <w:t>[Complete]</w:t>
                </w:r>
              </w:sdtContent>
            </w:sdt>
          </w:p>
        </w:tc>
        <w:tc>
          <w:tcPr>
            <w:tcW w:type="dxa" w:w="3572"/>
            <w:vAlign w:val="top"/>
          </w:tcPr>
          <w:p>
            <w:pPr>
              <w:keepNext w:val="0"/>
              <w:spacing w:after="20"/>
            </w:pPr>
            <w:sdt>
              <w:sdtPr>
                <w:id w:val="1309"/>
                <w:alias w:val="MR-18-T02-R1-C2"/>
                <w:tag w:val="MR-18-T02-R1-C2"/>
                <w:text w:multiLine="1"/>
              </w:sdtPr>
              <w:sdtContent>
                <w:r>
                  <w:rPr>
                    <w:rFonts w:ascii="Arial" w:hAnsi="Arial"/>
                    <w:color w:val="62716E"/>
                    <w:sz w:val="18"/>
                  </w:rPr>
                  <w:t>[Complete]</w:t>
                </w:r>
              </w:sdtContent>
            </w:sdt>
          </w:p>
        </w:tc>
        <w:tc>
          <w:tcPr>
            <w:tcW w:type="dxa" w:w="3390"/>
            <w:vAlign w:val="top"/>
          </w:tcPr>
          <w:p>
            <w:pPr>
              <w:keepNext w:val="0"/>
              <w:spacing w:after="20"/>
            </w:pPr>
            <w:sdt>
              <w:sdtPr>
                <w:id w:val="1310"/>
                <w:alias w:val="MR-18-T02-R1-C3"/>
                <w:tag w:val="MR-18-T02-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11"/>
                <w:alias w:val="MR-18-T02-R2-C1"/>
                <w:tag w:val="MR-18-T02-R2-C1"/>
                <w:text w:multiLine="1"/>
              </w:sdtPr>
              <w:sdtContent>
                <w:r>
                  <w:rPr>
                    <w:rFonts w:ascii="Arial" w:hAnsi="Arial"/>
                    <w:color w:val="62716E"/>
                    <w:sz w:val="18"/>
                  </w:rPr>
                  <w:t>[Complete]</w:t>
                </w:r>
              </w:sdtContent>
            </w:sdt>
          </w:p>
        </w:tc>
        <w:tc>
          <w:tcPr>
            <w:tcW w:type="dxa" w:w="3572"/>
            <w:vAlign w:val="top"/>
          </w:tcPr>
          <w:p>
            <w:pPr>
              <w:keepNext w:val="0"/>
              <w:spacing w:after="20"/>
            </w:pPr>
            <w:sdt>
              <w:sdtPr>
                <w:id w:val="1312"/>
                <w:alias w:val="MR-18-T02-R2-C2"/>
                <w:tag w:val="MR-18-T02-R2-C2"/>
                <w:text w:multiLine="1"/>
              </w:sdtPr>
              <w:sdtContent>
                <w:r>
                  <w:rPr>
                    <w:rFonts w:ascii="Arial" w:hAnsi="Arial"/>
                    <w:color w:val="62716E"/>
                    <w:sz w:val="18"/>
                  </w:rPr>
                  <w:t>[Complete]</w:t>
                </w:r>
              </w:sdtContent>
            </w:sdt>
          </w:p>
        </w:tc>
        <w:tc>
          <w:tcPr>
            <w:tcW w:type="dxa" w:w="3390"/>
            <w:vAlign w:val="top"/>
          </w:tcPr>
          <w:p>
            <w:pPr>
              <w:keepNext w:val="0"/>
              <w:spacing w:after="20"/>
            </w:pPr>
            <w:sdt>
              <w:sdtPr>
                <w:id w:val="1313"/>
                <w:alias w:val="MR-18-T02-R2-C3"/>
                <w:tag w:val="MR-18-T02-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14"/>
                <w:alias w:val="MR-18-T02-R3-C1"/>
                <w:tag w:val="MR-18-T02-R3-C1"/>
                <w:text w:multiLine="1"/>
              </w:sdtPr>
              <w:sdtContent>
                <w:r>
                  <w:rPr>
                    <w:rFonts w:ascii="Arial" w:hAnsi="Arial"/>
                    <w:color w:val="62716E"/>
                    <w:sz w:val="18"/>
                  </w:rPr>
                  <w:t>[Complete]</w:t>
                </w:r>
              </w:sdtContent>
            </w:sdt>
          </w:p>
        </w:tc>
        <w:tc>
          <w:tcPr>
            <w:tcW w:type="dxa" w:w="3572"/>
            <w:vAlign w:val="top"/>
          </w:tcPr>
          <w:p>
            <w:pPr>
              <w:keepNext w:val="0"/>
              <w:spacing w:after="20"/>
            </w:pPr>
            <w:sdt>
              <w:sdtPr>
                <w:id w:val="1315"/>
                <w:alias w:val="MR-18-T02-R3-C2"/>
                <w:tag w:val="MR-18-T02-R3-C2"/>
                <w:text w:multiLine="1"/>
              </w:sdtPr>
              <w:sdtContent>
                <w:r>
                  <w:rPr>
                    <w:rFonts w:ascii="Arial" w:hAnsi="Arial"/>
                    <w:color w:val="62716E"/>
                    <w:sz w:val="18"/>
                  </w:rPr>
                  <w:t>[Complete]</w:t>
                </w:r>
              </w:sdtContent>
            </w:sdt>
          </w:p>
        </w:tc>
        <w:tc>
          <w:tcPr>
            <w:tcW w:type="dxa" w:w="3390"/>
            <w:vAlign w:val="top"/>
          </w:tcPr>
          <w:p>
            <w:pPr>
              <w:keepNext w:val="0"/>
              <w:spacing w:after="20"/>
            </w:pPr>
            <w:sdt>
              <w:sdtPr>
                <w:id w:val="1316"/>
                <w:alias w:val="MR-18-T02-R3-C3"/>
                <w:tag w:val="MR-18-T02-R3-C3"/>
                <w:text w:multiLine="1"/>
              </w:sdtPr>
              <w:sdtContent>
                <w:r>
                  <w:rPr>
                    <w:rFonts w:ascii="Arial" w:hAnsi="Arial"/>
                    <w:color w:val="62716E"/>
                    <w:sz w:val="18"/>
                  </w:rPr>
                  <w:t>[Complete]</w:t>
                </w:r>
              </w:sdtContent>
            </w:sdt>
          </w:p>
        </w:tc>
      </w:tr>
    </w:tbl>
    <w:p>
      <w:pPr>
        <w:spacing w:after="20" w:before="0" w:line="40" w:lineRule="exact"/>
      </w:pPr>
      <w:r>
        <w:rPr>
          <w:sz w:val="4"/>
        </w:rPr>
      </w:r>
    </w:p>
    <w:p>
      <w:pPr>
        <w:spacing w:after="100"/>
      </w:pPr>
      <w:r>
        <w:rPr>
          <w:rFonts w:ascii="Arial" w:hAnsi="Arial" w:eastAsia="Arial" w:cs="Arial"/>
          <w:b w:val="0"/>
          <w:color w:val="243A36"/>
          <w:sz w:val="19"/>
        </w:rPr>
        <w:t>Apply the full-bound recurrence only when expressly adopted in FRM-05. Verify nonnegative compatible balances and no double recognition of the same deficit. Earmarking reserve is not executed cancellation. Retain the actual settlement evidence and reconcile the next opening balance; a zero eligible quantity does not extinguish an obligation.</w:t>
      </w:r>
    </w:p>
    <w:p>
      <w:bookmarkStart w:id="497" w:name="MR_19"/>
      <w:pPr>
        <w:pStyle w:val="Heading1"/>
        <w:keepNext/>
        <w:pageBreakBefore/>
      </w:pPr>
      <w:r>
        <w:rPr>
          <w:rFonts w:ascii="Arial" w:hAnsi="Arial" w:eastAsia="Arial" w:cs="Arial"/>
          <w:b w:val="0"/>
          <w:color w:val="215F52"/>
          <w:sz w:val="38"/>
        </w:rPr>
        <w:t>19  Comparison with the frozen ex-ante forecast</w:t>
      </w:r>
      <w:bookmarkEnd w:id="497"/>
    </w:p>
    <w:p>
      <w:pPr>
        <w:keepNext/>
        <w:spacing w:after="100"/>
      </w:pPr>
      <w:r>
        <w:rPr>
          <w:rFonts w:ascii="Arial" w:hAnsi="Arial" w:eastAsia="Arial" w:cs="Arial"/>
          <w:b w:val="0"/>
          <w:color w:val="62716E"/>
          <w:sz w:val="16"/>
        </w:rPr>
        <w:t>[1] S-18; P-13; P-14; M04.5; F-R01</w:t>
      </w:r>
    </w:p>
    <w:p>
      <w:pPr>
        <w:keepNext/>
        <w:spacing w:after="100"/>
      </w:pPr>
      <w:r>
        <w:rPr>
          <w:rFonts w:ascii="Arial" w:hAnsi="Arial" w:eastAsia="Arial" w:cs="Arial"/>
          <w:b/>
          <w:color w:val="215F52"/>
          <w:sz w:val="20"/>
        </w:rPr>
        <w:t>MR-19-T01 / Matched forecast and reported account</w:t>
      </w:r>
    </w:p>
    <w:p>
      <w:pPr>
        <w:keepNext/>
        <w:spacing w:after="100"/>
      </w:pPr>
      <w:r>
        <w:rPr>
          <w:rFonts w:ascii="Arial" w:hAnsi="Arial" w:eastAsia="Arial" w:cs="Arial"/>
          <w:b/>
          <w:color w:val="215F52"/>
          <w:sz w:val="17"/>
        </w:rPr>
        <w:t>MR-19-T01 / Calculation notation</w:t>
      </w:r>
    </w:p>
    <w:p>
      <w:pPr>
        <w:keepNext/>
        <w:spacing w:after="60" w:before="20"/>
        <w:jc w:val="center"/>
      </w:pPr>
      <m:oMath>
        <m:r>
          <w:rPr>
            <w:sz w:val="20"/>
            <w:rFonts w:ascii="Cambria Math" w:hAnsi="Cambria Math"/>
          </w:rPr>
          <m:t>Δ</m:t>
        </m:r>
        <m:sSub>
          <m:e>
            <m:r>
              <w:rPr>
                <w:sz w:val="20"/>
                <w:rFonts w:ascii="Cambria Math" w:hAnsi="Cambria Math"/>
              </w:rPr>
              <m:t>Q</m:t>
            </m:r>
          </m:e>
          <m:sub>
            <m:r>
              <w:rPr>
                <w:sz w:val="20"/>
                <w:rFonts w:ascii="Cambria Math" w:hAnsi="Cambria Math"/>
              </w:rPr>
              <m:t>t</m:t>
            </m:r>
          </m:sub>
        </m:sSub>
        <m:r>
          <w:rPr>
            <w:sz w:val="20"/>
            <w:rFonts w:ascii="Cambria Math" w:hAnsi="Cambria Math"/>
          </w:rPr>
          <m:rPr>
            <m:sty m:val="p"/>
          </m:rPr>
          <m:t>=</m:t>
        </m:r>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E</m:t>
            </m:r>
            <m:r>
              <w:rPr>
                <w:sz w:val="20"/>
                <w:rFonts w:ascii="Cambria Math" w:hAnsi="Cambria Math"/>
              </w:rPr>
              <m:rPr>
                <m:sty m:val="p"/>
              </m:rPr>
              <m:t>P</m:t>
            </m:r>
          </m:sup>
        </m:sSubSup>
        <m:r>
          <w:rPr>
            <w:sz w:val="20"/>
            <w:rFonts w:ascii="Cambria Math" w:hAnsi="Cambria Math"/>
          </w:rPr>
          <m:rPr>
            <m:sty m:val="p"/>
          </m:rPr>
          <m:t>−</m:t>
        </m:r>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E</m:t>
            </m:r>
            <m:r>
              <w:rPr>
                <w:sz w:val="20"/>
                <w:rFonts w:ascii="Cambria Math" w:hAnsi="Cambria Math"/>
              </w:rPr>
              <m:rPr>
                <m:sty m:val="p"/>
              </m:rPr>
              <m:t>A</m:t>
            </m:r>
          </m:sup>
        </m:sSubSup>
      </m:oMath>
    </w:p>
    <w:p>
      <w:pPr>
        <w:keepNext/>
        <w:spacing w:after="60" w:before="20"/>
        <w:jc w:val="center"/>
      </w:pPr>
      <m:oMath>
        <m:r>
          <w:rPr>
            <w:sz w:val="20"/>
            <w:rFonts w:ascii="Cambria Math" w:hAnsi="Cambria Math"/>
          </w:rPr>
          <m:t>Δ</m:t>
        </m:r>
        <m:sSub>
          <m:e>
            <m:r>
              <w:rPr>
                <w:sz w:val="20"/>
                <w:rFonts w:ascii="Cambria Math" w:hAnsi="Cambria Math"/>
              </w:rPr>
              <m:t>Q</m:t>
            </m:r>
          </m:e>
          <m:sub>
            <m:r>
              <w:rPr>
                <w:sz w:val="20"/>
                <w:rFonts w:ascii="Cambria Math" w:hAnsi="Cambria Math"/>
              </w:rPr>
              <m:t>t</m:t>
            </m:r>
          </m:sub>
        </m:sSub>
        <m:r>
          <w:rPr>
            <w:sz w:val="20"/>
            <w:rFonts w:ascii="Cambria Math" w:hAnsi="Cambria Math"/>
          </w:rPr>
          <m:rPr>
            <m:sty m:val="p"/>
          </m:rPr>
          <m:t>=</m:t>
        </m:r>
        <m:r>
          <w:rPr>
            <w:sz w:val="20"/>
            <w:rFonts w:ascii="Cambria Math" w:hAnsi="Cambria Math"/>
          </w:rPr>
          <m:t>Δ</m:t>
        </m:r>
        <m:sSub>
          <m:e>
            <m:r>
              <w:rPr>
                <w:sz w:val="20"/>
                <w:rFonts w:ascii="Cambria Math" w:hAnsi="Cambria Math"/>
              </w:rPr>
              <m:t>N</m:t>
            </m:r>
          </m:e>
          <m:sub>
            <m:r>
              <w:rPr>
                <w:sz w:val="20"/>
                <w:rFonts w:ascii="Cambria Math" w:hAnsi="Cambria Math"/>
              </w:rPr>
              <m:rPr>
                <m:sty m:val="p"/>
              </m:rPr>
              <m:t>B</m:t>
            </m:r>
            <m:r>
              <w:rPr>
                <w:sz w:val="20"/>
                <w:rFonts w:ascii="Cambria Math" w:hAnsi="Cambria Math"/>
              </w:rPr>
              <m:rPr>
                <m:sty m:val="p"/>
              </m:rPr>
              <m:t>L</m:t>
            </m:r>
            <m:r>
              <w:rPr>
                <w:sz w:val="20"/>
                <w:rFonts w:ascii="Cambria Math" w:hAnsi="Cambria Math"/>
              </w:rPr>
              <m:rPr>
                <m:sty m:val="p"/>
              </m:rPr>
              <m:t>,</m:t>
            </m:r>
            <m:r>
              <w:rPr>
                <w:sz w:val="20"/>
                <w:rFonts w:ascii="Cambria Math" w:hAnsi="Cambria Math"/>
              </w:rPr>
              <m:t>t</m:t>
            </m:r>
          </m:sub>
        </m:sSub>
        <m:r>
          <w:rPr>
            <w:sz w:val="20"/>
            <w:rFonts w:ascii="Cambria Math" w:hAnsi="Cambria Math"/>
          </w:rPr>
          <m:rPr>
            <m:sty m:val="p"/>
          </m:rPr>
          <m:t>−</m:t>
        </m:r>
        <m:r>
          <w:rPr>
            <w:sz w:val="20"/>
            <w:rFonts w:ascii="Cambria Math" w:hAnsi="Cambria Math"/>
          </w:rPr>
          <m:t>Δ</m:t>
        </m:r>
        <m:sSub>
          <m:e>
            <m:r>
              <w:rPr>
                <w:sz w:val="20"/>
                <w:rFonts w:ascii="Cambria Math" w:hAnsi="Cambria Math"/>
              </w:rPr>
              <m:t>N</m:t>
            </m:r>
          </m:e>
          <m:sub>
            <m:r>
              <w:rPr>
                <w:sz w:val="20"/>
                <w:rFonts w:ascii="Cambria Math" w:hAnsi="Cambria Math"/>
              </w:rPr>
              <m:rPr>
                <m:sty m:val="p"/>
              </m:rPr>
              <m:t>P</m:t>
            </m:r>
            <m:r>
              <w:rPr>
                <w:sz w:val="20"/>
                <w:rFonts w:ascii="Cambria Math" w:hAnsi="Cambria Math"/>
              </w:rPr>
              <m:rPr>
                <m:sty m:val="p"/>
              </m:rPr>
              <m:t>J</m:t>
            </m:r>
            <m:r>
              <w:rPr>
                <w:sz w:val="20"/>
                <w:rFonts w:ascii="Cambria Math" w:hAnsi="Cambria Math"/>
              </w:rPr>
              <m:rPr>
                <m:sty m:val="p"/>
              </m:rPr>
              <m:t>,</m:t>
            </m:r>
            <m:r>
              <w:rPr>
                <w:sz w:val="20"/>
                <w:rFonts w:ascii="Cambria Math" w:hAnsi="Cambria Math"/>
              </w:rPr>
              <m:t>t</m:t>
            </m:r>
          </m:sub>
        </m:sSub>
        <m:r>
          <w:rPr>
            <w:sz w:val="20"/>
            <w:rFonts w:ascii="Cambria Math" w:hAnsi="Cambria Math"/>
          </w:rPr>
          <m:rPr>
            <m:sty m:val="p"/>
          </m:rPr>
          <m:t>−</m:t>
        </m:r>
        <m:r>
          <w:rPr>
            <w:sz w:val="20"/>
            <w:rFonts w:ascii="Cambria Math" w:hAnsi="Cambria Math"/>
          </w:rPr>
          <m:t>Δ</m:t>
        </m:r>
        <m:sSub>
          <m:e>
            <m:r>
              <w:rPr>
                <w:sz w:val="20"/>
                <w:rFonts w:ascii="Cambria Math" w:hAnsi="Cambria Math"/>
              </w:rPr>
              <m:t>L</m:t>
            </m:r>
          </m:e>
          <m:sub>
            <m:r>
              <w:rPr>
                <w:sz w:val="20"/>
                <w:rFonts w:ascii="Cambria Math" w:hAnsi="Cambria Math"/>
              </w:rPr>
              <m:t>t</m:t>
            </m:r>
          </m:sub>
        </m:sSub>
      </m:oMath>
    </w:p>
    <w:p>
      <w:pPr>
        <w:keepNext/>
        <w:spacing w:after="60"/>
      </w:pPr>
      <w:r>
        <w:rPr>
          <w:rFonts w:ascii="Arial" w:hAnsi="Arial" w:eastAsia="Arial" w:cs="Arial"/>
          <w:b w:val="0"/>
          <w:color w:val="215F52"/>
          <w:sz w:val="17"/>
        </w:rPr>
        <w:t>All deltas are EP minus the frozen EA value on the same support before uncertainty and reserve. r = deltaQ - (deltaBL - deltaPJ - deltaL) is an arithmetic residual. A forecast difference is not itself mitigation, causation, or a materiality finding.</w:t>
      </w:r>
    </w:p>
    <w:p>
      <w:pPr>
        <w:keepNext/>
        <w:spacing w:after="80"/>
      </w:pPr>
      <w:r>
        <w:rPr>
          <w:rFonts w:ascii="Arial" w:hAnsi="Arial" w:eastAsia="Arial" w:cs="Arial"/>
          <w:b w:val="0"/>
          <w:color w:val="62716E"/>
          <w:sz w:val="16"/>
        </w:rPr>
        <w:t>Basis: M04.5; P-13; comparison identity. Calculation location: Comparison!D:J.</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Period and matched scope</w:t>
            </w:r>
          </w:p>
        </w:tc>
        <w:tc>
          <w:tcPr>
            <w:tcW w:type="dxa" w:w="3572"/>
            <w:vAlign w:val="center"/>
            <w:shd w:fill="F1F5F2"/>
          </w:tcPr>
          <w:p>
            <w:pPr>
              <w:keepNext/>
              <w:spacing w:after="20"/>
            </w:pPr>
            <w:r>
              <w:rPr>
                <w:rFonts w:ascii="Arial" w:hAnsi="Arial" w:eastAsia="Arial" w:cs="Arial"/>
                <w:b/>
                <w:color w:val="215F52"/>
                <w:sz w:val="17"/>
              </w:rPr>
              <w:t>EA and EP values for baseline, project and leakage</w:t>
            </w:r>
          </w:p>
        </w:tc>
        <w:tc>
          <w:tcPr>
            <w:tcW w:type="dxa" w:w="3390"/>
            <w:vAlign w:val="center"/>
            <w:shd w:fill="F1F5F2"/>
          </w:tcPr>
          <w:p>
            <w:pPr>
              <w:keepNext/>
              <w:spacing w:after="20"/>
            </w:pPr>
            <w:r>
              <w:rPr>
                <w:rFonts w:ascii="Arial" w:hAnsi="Arial" w:eastAsia="Arial" w:cs="Arial"/>
                <w:b/>
                <w:color w:val="215F52"/>
                <w:sz w:val="17"/>
              </w:rPr>
              <w:t>Net difference, arithmetic closure and explanation</w:t>
            </w:r>
          </w:p>
        </w:tc>
      </w:tr>
      <w:tr>
        <w:trPr>
          <w:trHeight w:val="442" w:hRule="atLeast"/>
        </w:trPr>
        <w:tc>
          <w:tcPr>
            <w:tcW w:type="dxa" w:w="2778"/>
            <w:vAlign w:val="top"/>
          </w:tcPr>
          <w:p>
            <w:pPr>
              <w:keepNext w:val="0"/>
              <w:spacing w:after="20"/>
            </w:pPr>
            <w:sdt>
              <w:sdtPr>
                <w:id w:val="1317"/>
                <w:alias w:val="MR-19-T01-R1-C1"/>
                <w:tag w:val="MR-19-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318"/>
                <w:alias w:val="MR-19-T01-R1-C2"/>
                <w:tag w:val="MR-19-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319"/>
                <w:alias w:val="MR-19-T01-R1-C3"/>
                <w:tag w:val="MR-19-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20"/>
                <w:alias w:val="MR-19-T01-R2-C1"/>
                <w:tag w:val="MR-19-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321"/>
                <w:alias w:val="MR-19-T01-R2-C2"/>
                <w:tag w:val="MR-19-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322"/>
                <w:alias w:val="MR-19-T01-R2-C3"/>
                <w:tag w:val="MR-19-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23"/>
                <w:alias w:val="MR-19-T01-R3-C1"/>
                <w:tag w:val="MR-19-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324"/>
                <w:alias w:val="MR-19-T01-R3-C2"/>
                <w:tag w:val="MR-19-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325"/>
                <w:alias w:val="MR-19-T01-R3-C3"/>
                <w:tag w:val="MR-19-T01-R3-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Separate actual performance, scope/time harmonization, new observations, correction of factors, method revisions, uncertainty, reserves and liability effects. Keep the original forecast alongside any harmonized comparison. Agreement is not required where a change is justified; identify each difference rather than forcing it to zero.</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326"/>
                <w:alias w:val="MR-response-48"/>
                <w:tag w:val="MR-response-48"/>
                <w:text w:multiLine="1"/>
              </w:sdtPr>
              <w:sdtContent>
                <w:r>
                  <w:rPr>
                    <w:rFonts w:ascii="Arial" w:hAnsi="Arial"/>
                    <w:color w:val="62716E"/>
                    <w:sz w:val="18"/>
                  </w:rPr>
                  <w:t>[Enter response and exact evidence references.]</w:t>
                </w:r>
              </w:sdtContent>
            </w:sdt>
          </w:p>
        </w:tc>
      </w:tr>
    </w:tbl>
    <w:p>
      <w:pPr>
        <w:spacing w:after="20" w:line="40" w:lineRule="exact"/>
      </w:pPr>
      <w:r>
        <w:rPr>
          <w:sz w:val="4"/>
        </w:rPr>
      </w:r>
    </w:p>
    <w:p>
      <w:pPr>
        <w:keepNext/>
        <w:spacing w:after="100"/>
      </w:pPr>
      <w:r>
        <w:rPr>
          <w:rFonts w:ascii="Arial" w:hAnsi="Arial" w:eastAsia="Arial" w:cs="Arial"/>
          <w:b/>
          <w:color w:val="215F52"/>
          <w:sz w:val="20"/>
        </w:rPr>
        <w:t>MR-19-T02 / Subperiod allocation, only if used</w:t>
      </w:r>
    </w:p>
    <w:p>
      <w:pPr>
        <w:keepNext/>
        <w:spacing w:after="100"/>
      </w:pPr>
      <w:r>
        <w:rPr>
          <w:rFonts w:ascii="Arial" w:hAnsi="Arial" w:eastAsia="Arial" w:cs="Arial"/>
          <w:b/>
          <w:color w:val="215F52"/>
          <w:sz w:val="17"/>
        </w:rPr>
        <w:t>MR-19-T02 / Calculation notation</w:t>
      </w:r>
    </w:p>
    <w:p>
      <w:pPr>
        <w:keepNext/>
        <w:spacing w:after="60" w:before="20"/>
        <w:jc w:val="center"/>
      </w:pPr>
      <m:oMath>
        <m:sSub>
          <m:e>
            <m:r>
              <w:rPr>
                <w:sz w:val="20"/>
                <w:rFonts w:ascii="Cambria Math" w:hAnsi="Cambria Math"/>
              </w:rPr>
              <m:t>Q</m:t>
            </m:r>
          </m:e>
          <m:sub>
            <m:r>
              <w:rPr>
                <w:sz w:val="20"/>
                <w:rFonts w:ascii="Cambria Math" w:hAnsi="Cambria Math"/>
              </w:rPr>
              <m:t>t</m:t>
            </m:r>
            <m:r>
              <w:rPr>
                <w:sz w:val="20"/>
                <w:rFonts w:ascii="Cambria Math" w:hAnsi="Cambria Math"/>
              </w:rPr>
              <m:rPr>
                <m:sty m:val="p"/>
              </m:rPr>
              <m:t>,</m:t>
            </m:r>
            <m:r>
              <w:rPr>
                <w:sz w:val="20"/>
                <w:rFonts w:ascii="Cambria Math" w:hAnsi="Cambria Math"/>
              </w:rPr>
              <m:t>m</m:t>
            </m:r>
          </m:sub>
        </m:sSub>
        <m:r>
          <w:rPr>
            <w:sz w:val="20"/>
            <w:rFonts w:ascii="Cambria Math" w:hAnsi="Cambria Math"/>
          </w:rPr>
          <m:rPr>
            <m:sty m:val="p"/>
          </m:rPr>
          <m:t>=</m:t>
        </m:r>
        <m:sSub>
          <m:e>
            <m:r>
              <w:rPr>
                <w:sz w:val="20"/>
                <w:rFonts w:ascii="Cambria Math" w:hAnsi="Cambria Math"/>
              </w:rPr>
              <m:t>w</m:t>
            </m:r>
          </m:e>
          <m:sub>
            <m:r>
              <w:rPr>
                <w:sz w:val="20"/>
                <w:rFonts w:ascii="Cambria Math" w:hAnsi="Cambria Math"/>
              </w:rPr>
              <m:t>t</m:t>
            </m:r>
            <m:r>
              <w:rPr>
                <w:sz w:val="20"/>
                <w:rFonts w:ascii="Cambria Math" w:hAnsi="Cambria Math"/>
              </w:rPr>
              <m:rPr>
                <m:sty m:val="p"/>
              </m:rPr>
              <m:t>,</m:t>
            </m:r>
            <m:r>
              <w:rPr>
                <w:sz w:val="20"/>
                <w:rFonts w:ascii="Cambria Math" w:hAnsi="Cambria Math"/>
              </w:rPr>
              <m:t>m</m:t>
            </m:r>
          </m:sub>
        </m:sSub>
        <m:sSub>
          <m:e>
            <m:r>
              <w:rPr>
                <w:sz w:val="20"/>
                <w:rFonts w:ascii="Cambria Math" w:hAnsi="Cambria Math"/>
              </w:rPr>
              <m:t>Q</m:t>
            </m:r>
          </m:e>
          <m:sub>
            <m:r>
              <w:rPr>
                <w:sz w:val="20"/>
                <w:rFonts w:ascii="Cambria Math" w:hAnsi="Cambria Math"/>
              </w:rPr>
              <m:t>t</m:t>
            </m:r>
          </m:sub>
        </m:sSub>
        <m:r>
          <w:rPr>
            <w:sz w:val="20"/>
            <w:rFonts w:ascii="Cambria Math" w:hAnsi="Cambria Math"/>
          </w:rPr>
          <m:rPr>
            <m:sty m:val="p"/>
          </m:rPr>
          <m:t>,</m:t>
        </m:r>
        <m:r>
          <w:rPr>
            <w:sz w:val="20"/>
            <w:rFonts w:ascii="Cambria Math" w:hAnsi="Cambria Math"/>
          </w:rPr>
          <m:t> </m:t>
        </m:r>
        <m:sSub>
          <m:e>
            <m:r>
              <w:rPr>
                <w:sz w:val="20"/>
                <w:rFonts w:ascii="Cambria Math" w:hAnsi="Cambria Math"/>
              </w:rPr>
              <m:t>w</m:t>
            </m:r>
          </m:e>
          <m:sub>
            <m:r>
              <w:rPr>
                <w:sz w:val="20"/>
                <w:rFonts w:ascii="Cambria Math" w:hAnsi="Cambria Math"/>
              </w:rPr>
              <m:t>t</m:t>
            </m:r>
            <m:r>
              <w:rPr>
                <w:sz w:val="20"/>
                <w:rFonts w:ascii="Cambria Math" w:hAnsi="Cambria Math"/>
              </w:rPr>
              <m:rPr>
                <m:sty m:val="p"/>
              </m:rPr>
              <m:t>,</m:t>
            </m:r>
            <m:r>
              <w:rPr>
                <w:sz w:val="20"/>
                <w:rFonts w:ascii="Cambria Math" w:hAnsi="Cambria Math"/>
              </w:rPr>
              <m:t>m</m:t>
            </m:r>
          </m:sub>
        </m:sSub>
        <m:r>
          <w:rPr>
            <w:sz w:val="20"/>
            <w:rFonts w:ascii="Cambria Math" w:hAnsi="Cambria Math"/>
          </w:rPr>
          <m:rPr>
            <m:sty m:val="p"/>
          </m:rPr>
          <m:t>≥</m:t>
        </m:r>
        <m:r>
          <w:rPr>
            <w:sz w:val="20"/>
            <w:rFonts w:ascii="Cambria Math" w:hAnsi="Cambria Math"/>
          </w:rPr>
          <m:t>0</m:t>
        </m:r>
        <m:r>
          <w:rPr>
            <w:sz w:val="20"/>
            <w:rFonts w:ascii="Cambria Math" w:hAnsi="Cambria Math"/>
          </w:rPr>
          <m:rPr>
            <m:sty m:val="p"/>
          </m:rPr>
          <m:t>,</m:t>
        </m:r>
        <m:r>
          <w:rPr>
            <w:sz w:val="20"/>
            <w:rFonts w:ascii="Cambria Math" w:hAnsi="Cambria Math"/>
          </w:rPr>
          <m:t> </m:t>
        </m:r>
        <m:nary>
          <m:naryPr>
            <m:chr m:val="∑"/>
            <m:limLoc m:val="undOvr"/>
            <m:subHide m:val="off"/>
            <m:supHide m:val="on"/>
          </m:naryPr>
          <m:sub>
            <m:r>
              <w:rPr>
                <w:sz w:val="20"/>
                <w:rFonts w:ascii="Cambria Math" w:hAnsi="Cambria Math"/>
              </w:rPr>
              <m:t>m</m:t>
            </m:r>
          </m:sub>
          <m:sup>
            <m:r>
              <w:rPr>
                <w:sz w:val="20"/>
                <w:rFonts w:ascii="Cambria Math" w:hAnsi="Cambria Math"/>
              </w:rPr>
              <m:t>​</m:t>
            </m:r>
          </m:sup>
          <m:e>
            <m:sSub>
              <m:e>
                <m:r>
                  <w:rPr>
                    <w:sz w:val="20"/>
                    <w:rFonts w:ascii="Cambria Math" w:hAnsi="Cambria Math"/>
                  </w:rPr>
                  <m:t>w</m:t>
                </m:r>
              </m:e>
              <m:sub>
                <m:r>
                  <w:rPr>
                    <w:sz w:val="20"/>
                    <w:rFonts w:ascii="Cambria Math" w:hAnsi="Cambria Math"/>
                  </w:rPr>
                  <m:t>t</m:t>
                </m:r>
                <m:r>
                  <w:rPr>
                    <w:sz w:val="20"/>
                    <w:rFonts w:ascii="Cambria Math" w:hAnsi="Cambria Math"/>
                  </w:rPr>
                  <m:rPr>
                    <m:sty m:val="p"/>
                  </m:rPr>
                  <m:t>,</m:t>
                </m:r>
                <m:r>
                  <w:rPr>
                    <w:sz w:val="20"/>
                    <w:rFonts w:ascii="Cambria Math" w:hAnsi="Cambria Math"/>
                  </w:rPr>
                  <m:t>m</m:t>
                </m:r>
              </m:sub>
            </m:sSub>
          </m:e>
        </m:nary>
        <m:r>
          <w:rPr>
            <w:sz w:val="20"/>
            <w:rFonts w:ascii="Cambria Math" w:hAnsi="Cambria Math"/>
          </w:rPr>
          <m:rPr>
            <m:sty m:val="p"/>
          </m:rPr>
          <m:t>=</m:t>
        </m:r>
        <m:r>
          <w:rPr>
            <w:sz w:val="20"/>
            <w:rFonts w:ascii="Cambria Math" w:hAnsi="Cambria Math"/>
          </w:rPr>
          <m:t>1</m:t>
        </m:r>
      </m:oMath>
    </w:p>
    <w:p>
      <w:pPr>
        <w:keepNext/>
        <w:spacing w:after="60" w:before="20"/>
        <w:jc w:val="center"/>
      </w:pPr>
      <m:oMath>
        <m:sSubSup>
          <m:e>
            <m:r>
              <w:rPr>
                <w:sz w:val="20"/>
                <w:rFonts w:ascii="Cambria Math" w:hAnsi="Cambria Math"/>
              </w:rPr>
              <m:t>r</m:t>
            </m:r>
          </m:e>
          <m:sub>
            <m:r>
              <w:rPr>
                <w:sz w:val="20"/>
                <w:rFonts w:ascii="Cambria Math" w:hAnsi="Cambria Math"/>
              </w:rPr>
              <m:t>t</m:t>
            </m:r>
          </m:sub>
          <m:sup>
            <m:r>
              <w:rPr>
                <w:sz w:val="20"/>
                <w:rFonts w:ascii="Cambria Math" w:hAnsi="Cambria Math"/>
              </w:rPr>
              <m:rPr>
                <m:sty m:val="p"/>
              </m:rPr>
              <m:t>a</m:t>
            </m:r>
            <m:r>
              <w:rPr>
                <w:sz w:val="20"/>
                <w:rFonts w:ascii="Cambria Math" w:hAnsi="Cambria Math"/>
              </w:rPr>
              <m:rPr>
                <m:sty m:val="p"/>
              </m:rPr>
              <m:t>l</m:t>
            </m:r>
            <m:r>
              <w:rPr>
                <w:sz w:val="20"/>
                <w:rFonts w:ascii="Cambria Math" w:hAnsi="Cambria Math"/>
              </w:rPr>
              <m:rPr>
                <m:sty m:val="p"/>
              </m:rPr>
              <m:t>l</m:t>
            </m:r>
            <m:r>
              <w:rPr>
                <w:sz w:val="20"/>
                <w:rFonts w:ascii="Cambria Math" w:hAnsi="Cambria Math"/>
              </w:rPr>
              <m:rPr>
                <m:sty m:val="p"/>
              </m:rPr>
              <m:t>o</m:t>
            </m:r>
            <m:r>
              <w:rPr>
                <w:sz w:val="20"/>
                <w:rFonts w:ascii="Cambria Math" w:hAnsi="Cambria Math"/>
              </w:rPr>
              <m:rPr>
                <m:sty m:val="p"/>
              </m:rPr>
              <m:t>c</m:t>
            </m:r>
          </m:sup>
        </m:sSubSup>
        <m:r>
          <w:rPr>
            <w:sz w:val="20"/>
            <w:rFonts w:ascii="Cambria Math" w:hAnsi="Cambria Math"/>
          </w:rPr>
          <m:rPr>
            <m:sty m:val="p"/>
          </m:rPr>
          <m:t>=</m:t>
        </m:r>
        <m:nary>
          <m:naryPr>
            <m:chr m:val="∑"/>
            <m:limLoc m:val="undOvr"/>
            <m:subHide m:val="off"/>
            <m:supHide m:val="on"/>
          </m:naryPr>
          <m:sub>
            <m:r>
              <w:rPr>
                <w:sz w:val="20"/>
                <w:rFonts w:ascii="Cambria Math" w:hAnsi="Cambria Math"/>
              </w:rPr>
              <m:t>m</m:t>
            </m:r>
          </m:sub>
          <m:sup>
            <m:r>
              <w:rPr>
                <w:sz w:val="20"/>
                <w:rFonts w:ascii="Cambria Math" w:hAnsi="Cambria Math"/>
              </w:rPr>
              <m:t>​</m:t>
            </m:r>
          </m:sup>
          <m:e>
            <m:sSub>
              <m:e>
                <m:r>
                  <w:rPr>
                    <w:sz w:val="20"/>
                    <w:rFonts w:ascii="Cambria Math" w:hAnsi="Cambria Math"/>
                  </w:rPr>
                  <m:t>Q</m:t>
                </m:r>
              </m:e>
              <m:sub>
                <m:r>
                  <w:rPr>
                    <w:sz w:val="20"/>
                    <w:rFonts w:ascii="Cambria Math" w:hAnsi="Cambria Math"/>
                  </w:rPr>
                  <m:t>t</m:t>
                </m:r>
                <m:r>
                  <w:rPr>
                    <w:sz w:val="20"/>
                    <w:rFonts w:ascii="Cambria Math" w:hAnsi="Cambria Math"/>
                  </w:rPr>
                  <m:rPr>
                    <m:sty m:val="p"/>
                  </m:rPr>
                  <m:t>,</m:t>
                </m:r>
                <m:r>
                  <w:rPr>
                    <w:sz w:val="20"/>
                    <w:rFonts w:ascii="Cambria Math" w:hAnsi="Cambria Math"/>
                  </w:rPr>
                  <m:t>m</m:t>
                </m:r>
              </m:sub>
            </m:sSub>
          </m:e>
        </m:nary>
        <m:r>
          <w:rPr>
            <w:sz w:val="20"/>
            <w:rFonts w:ascii="Cambria Math" w:hAnsi="Cambria Math"/>
          </w:rPr>
          <m:rPr>
            <m:sty m:val="p"/>
          </m:rPr>
          <m:t>−</m:t>
        </m:r>
        <m:sSub>
          <m:e>
            <m:r>
              <w:rPr>
                <w:sz w:val="20"/>
                <w:rFonts w:ascii="Cambria Math" w:hAnsi="Cambria Math"/>
              </w:rPr>
              <m:t>Q</m:t>
            </m:r>
          </m:e>
          <m:sub>
            <m:r>
              <w:rPr>
                <w:sz w:val="20"/>
                <w:rFonts w:ascii="Cambria Math" w:hAnsi="Cambria Math"/>
              </w:rPr>
              <m:t>t</m:t>
            </m:r>
          </m:sub>
        </m:sSub>
      </m:oMath>
    </w:p>
    <w:p>
      <w:pPr>
        <w:keepNext/>
        <w:spacing w:after="60"/>
      </w:pPr>
      <w:r>
        <w:rPr>
          <w:rFonts w:ascii="Arial" w:hAnsi="Arial" w:eastAsia="Arial" w:cs="Arial"/>
          <w:b w:val="0"/>
          <w:color w:val="215F52"/>
          <w:sz w:val="17"/>
        </w:rPr>
        <w:t>m is a child reporting interval, not automatically a measured month. The same parent and basis must be used for all weights. Do not add a parent total to its allocated children. Retain negative signs and explain unequal-duration allocations.</w:t>
      </w:r>
    </w:p>
    <w:p>
      <w:pPr>
        <w:keepNext/>
        <w:spacing w:after="80"/>
      </w:pPr>
      <w:r>
        <w:rPr>
          <w:rFonts w:ascii="Arial" w:hAnsi="Arial" w:eastAsia="Arial" w:cs="Arial"/>
          <w:b w:val="0"/>
          <w:color w:val="62716E"/>
          <w:sz w:val="16"/>
        </w:rPr>
        <w:t>Basis: F-R01; allocation identity. Calculation location: Allocation!C:I.</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Parent quantity / interval / status</w:t>
            </w:r>
          </w:p>
        </w:tc>
        <w:tc>
          <w:tcPr>
            <w:tcW w:type="dxa" w:w="3572"/>
            <w:vAlign w:val="center"/>
            <w:shd w:fill="F1F5F2"/>
          </w:tcPr>
          <w:p>
            <w:pPr>
              <w:keepNext/>
              <w:spacing w:after="20"/>
            </w:pPr>
            <w:r>
              <w:rPr>
                <w:rFonts w:ascii="Arial" w:hAnsi="Arial" w:eastAsia="Arial" w:cs="Arial"/>
                <w:b/>
                <w:color w:val="215F52"/>
                <w:sz w:val="17"/>
              </w:rPr>
              <w:t>Weights, child intervals and allocation method</w:t>
            </w:r>
          </w:p>
        </w:tc>
        <w:tc>
          <w:tcPr>
            <w:tcW w:type="dxa" w:w="3390"/>
            <w:vAlign w:val="center"/>
            <w:shd w:fill="F1F5F2"/>
          </w:tcPr>
          <w:p>
            <w:pPr>
              <w:keepNext/>
              <w:spacing w:after="20"/>
            </w:pPr>
            <w:r>
              <w:rPr>
                <w:rFonts w:ascii="Arial" w:hAnsi="Arial" w:eastAsia="Arial" w:cs="Arial"/>
                <w:b/>
                <w:color w:val="215F52"/>
                <w:sz w:val="17"/>
              </w:rPr>
              <w:t>Allocated total, closure and source record</w:t>
            </w:r>
          </w:p>
        </w:tc>
      </w:tr>
      <w:tr>
        <w:trPr>
          <w:trHeight w:val="442" w:hRule="atLeast"/>
        </w:trPr>
        <w:tc>
          <w:tcPr>
            <w:tcW w:type="dxa" w:w="2778"/>
            <w:vAlign w:val="top"/>
          </w:tcPr>
          <w:p>
            <w:pPr>
              <w:keepNext w:val="0"/>
              <w:spacing w:after="20"/>
            </w:pPr>
            <w:sdt>
              <w:sdtPr>
                <w:id w:val="1327"/>
                <w:alias w:val="MR-19-T02-R1-C1"/>
                <w:tag w:val="MR-19-T02-R1-C1"/>
                <w:text w:multiLine="1"/>
              </w:sdtPr>
              <w:sdtContent>
                <w:r>
                  <w:rPr>
                    <w:rFonts w:ascii="Arial" w:hAnsi="Arial"/>
                    <w:color w:val="62716E"/>
                    <w:sz w:val="18"/>
                  </w:rPr>
                  <w:t>[Complete]</w:t>
                </w:r>
              </w:sdtContent>
            </w:sdt>
          </w:p>
        </w:tc>
        <w:tc>
          <w:tcPr>
            <w:tcW w:type="dxa" w:w="3572"/>
            <w:vAlign w:val="top"/>
          </w:tcPr>
          <w:p>
            <w:pPr>
              <w:keepNext w:val="0"/>
              <w:spacing w:after="20"/>
            </w:pPr>
            <w:sdt>
              <w:sdtPr>
                <w:id w:val="1328"/>
                <w:alias w:val="MR-19-T02-R1-C2"/>
                <w:tag w:val="MR-19-T02-R1-C2"/>
                <w:text w:multiLine="1"/>
              </w:sdtPr>
              <w:sdtContent>
                <w:r>
                  <w:rPr>
                    <w:rFonts w:ascii="Arial" w:hAnsi="Arial"/>
                    <w:color w:val="62716E"/>
                    <w:sz w:val="18"/>
                  </w:rPr>
                  <w:t>[Complete]</w:t>
                </w:r>
              </w:sdtContent>
            </w:sdt>
          </w:p>
        </w:tc>
        <w:tc>
          <w:tcPr>
            <w:tcW w:type="dxa" w:w="3390"/>
            <w:vAlign w:val="top"/>
          </w:tcPr>
          <w:p>
            <w:pPr>
              <w:keepNext w:val="0"/>
              <w:spacing w:after="20"/>
            </w:pPr>
            <w:sdt>
              <w:sdtPr>
                <w:id w:val="1329"/>
                <w:alias w:val="MR-19-T02-R1-C3"/>
                <w:tag w:val="MR-19-T02-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30"/>
                <w:alias w:val="MR-19-T02-R2-C1"/>
                <w:tag w:val="MR-19-T02-R2-C1"/>
                <w:text w:multiLine="1"/>
              </w:sdtPr>
              <w:sdtContent>
                <w:r>
                  <w:rPr>
                    <w:rFonts w:ascii="Arial" w:hAnsi="Arial"/>
                    <w:color w:val="62716E"/>
                    <w:sz w:val="18"/>
                  </w:rPr>
                  <w:t>[Complete]</w:t>
                </w:r>
              </w:sdtContent>
            </w:sdt>
          </w:p>
        </w:tc>
        <w:tc>
          <w:tcPr>
            <w:tcW w:type="dxa" w:w="3572"/>
            <w:vAlign w:val="top"/>
          </w:tcPr>
          <w:p>
            <w:pPr>
              <w:keepNext w:val="0"/>
              <w:spacing w:after="20"/>
            </w:pPr>
            <w:sdt>
              <w:sdtPr>
                <w:id w:val="1331"/>
                <w:alias w:val="MR-19-T02-R2-C2"/>
                <w:tag w:val="MR-19-T02-R2-C2"/>
                <w:text w:multiLine="1"/>
              </w:sdtPr>
              <w:sdtContent>
                <w:r>
                  <w:rPr>
                    <w:rFonts w:ascii="Arial" w:hAnsi="Arial"/>
                    <w:color w:val="62716E"/>
                    <w:sz w:val="18"/>
                  </w:rPr>
                  <w:t>[Complete]</w:t>
                </w:r>
              </w:sdtContent>
            </w:sdt>
          </w:p>
        </w:tc>
        <w:tc>
          <w:tcPr>
            <w:tcW w:type="dxa" w:w="3390"/>
            <w:vAlign w:val="top"/>
          </w:tcPr>
          <w:p>
            <w:pPr>
              <w:keepNext w:val="0"/>
              <w:spacing w:after="20"/>
            </w:pPr>
            <w:sdt>
              <w:sdtPr>
                <w:id w:val="1332"/>
                <w:alias w:val="MR-19-T02-R2-C3"/>
                <w:tag w:val="MR-19-T02-R2-C3"/>
                <w:text w:multiLine="1"/>
              </w:sdtPr>
              <w:sdtContent>
                <w:r>
                  <w:rPr>
                    <w:rFonts w:ascii="Arial" w:hAnsi="Arial"/>
                    <w:color w:val="62716E"/>
                    <w:sz w:val="18"/>
                  </w:rPr>
                  <w:t>[Complete]</w:t>
                </w:r>
              </w:sdtContent>
            </w:sdt>
          </w:p>
        </w:tc>
      </w:tr>
    </w:tbl>
    <w:p>
      <w:pPr>
        <w:spacing w:after="20" w:before="0" w:line="40" w:lineRule="exact"/>
      </w:pPr>
      <w:r>
        <w:rPr>
          <w:sz w:val="4"/>
        </w:rPr>
      </w:r>
    </w:p>
    <w:p>
      <w:bookmarkStart w:id="515" w:name="MR_20"/>
      <w:pPr>
        <w:pStyle w:val="Heading1"/>
        <w:keepNext/>
        <w:pageBreakBefore/>
      </w:pPr>
      <w:r>
        <w:rPr>
          <w:rFonts w:ascii="Arial" w:hAnsi="Arial" w:eastAsia="Arial" w:cs="Arial"/>
          <w:b w:val="0"/>
          <w:color w:val="215F52"/>
          <w:sz w:val="38"/>
        </w:rPr>
        <w:t>20  Continuing additionality and overlapping initiatives</w:t>
      </w:r>
      <w:bookmarkEnd w:id="515"/>
    </w:p>
    <w:p>
      <w:pPr>
        <w:keepNext/>
        <w:spacing w:after="100"/>
      </w:pPr>
      <w:r>
        <w:rPr>
          <w:rFonts w:ascii="Arial" w:hAnsi="Arial" w:eastAsia="Arial" w:cs="Arial"/>
          <w:b w:val="0"/>
          <w:color w:val="62716E"/>
          <w:sz w:val="16"/>
        </w:rPr>
        <w:t>[1] S-08; AO-01; AO-02; AO-05; AO-06; AO-07; AO-08; AO-09; AO-10; AO-11; AO-12; FRM-02/AO; FRM-04/AO</w:t>
      </w:r>
    </w:p>
    <w:p>
      <w:pPr>
        <w:spacing w:after="100"/>
      </w:pPr>
      <w:r>
        <w:rPr>
          <w:rFonts w:ascii="Arial" w:hAnsi="Arial" w:eastAsia="Arial" w:cs="Arial"/>
          <w:b w:val="0"/>
          <w:color w:val="243A36"/>
          <w:sz w:val="19"/>
        </w:rPr>
        <w:t>Reassess the applicable additionality premises against implementation, changed threats, legal duties, common practice and financing where required by the selected test. Report existing and concurrent interventions affecting the counterfactual; a new applicant or map does not imply an untreated territory.</w:t>
      </w:r>
    </w:p>
    <w:p>
      <w:pPr>
        <w:keepNext/>
        <w:spacing w:after="100"/>
      </w:pPr>
      <w:r>
        <w:rPr>
          <w:rFonts w:ascii="Arial" w:hAnsi="Arial" w:eastAsia="Arial" w:cs="Arial"/>
          <w:b/>
          <w:color w:val="215F52"/>
          <w:sz w:val="20"/>
        </w:rPr>
        <w:t>MR-20-T01 / Additionality continuation record</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PD premise / intervention / review trigger</w:t>
            </w:r>
          </w:p>
        </w:tc>
        <w:tc>
          <w:tcPr>
            <w:tcW w:type="dxa" w:w="3572"/>
            <w:vAlign w:val="center"/>
            <w:shd w:fill="F1F5F2"/>
          </w:tcPr>
          <w:p>
            <w:pPr>
              <w:keepNext/>
              <w:spacing w:after="20"/>
            </w:pPr>
            <w:r>
              <w:rPr>
                <w:rFonts w:ascii="Arial" w:hAnsi="Arial" w:eastAsia="Arial" w:cs="Arial"/>
                <w:b/>
                <w:color w:val="215F52"/>
                <w:sz w:val="17"/>
              </w:rPr>
              <w:t>Actual action, intermediate response and outcome evidence</w:t>
            </w:r>
          </w:p>
        </w:tc>
        <w:tc>
          <w:tcPr>
            <w:tcW w:type="dxa" w:w="3390"/>
            <w:vAlign w:val="center"/>
            <w:shd w:fill="F1F5F2"/>
          </w:tcPr>
          <w:p>
            <w:pPr>
              <w:keepNext/>
              <w:spacing w:after="20"/>
            </w:pPr>
            <w:r>
              <w:rPr>
                <w:rFonts w:ascii="Arial" w:hAnsi="Arial" w:eastAsia="Arial" w:cs="Arial"/>
                <w:b/>
                <w:color w:val="215F52"/>
                <w:sz w:val="17"/>
              </w:rPr>
              <w:t>Competing explanation, current conclusion and restriction</w:t>
            </w:r>
          </w:p>
        </w:tc>
      </w:tr>
      <w:tr>
        <w:trPr>
          <w:trHeight w:val="442" w:hRule="atLeast"/>
        </w:trPr>
        <w:tc>
          <w:tcPr>
            <w:tcW w:type="dxa" w:w="2778"/>
            <w:vAlign w:val="top"/>
          </w:tcPr>
          <w:p>
            <w:pPr>
              <w:keepNext w:val="0"/>
              <w:spacing w:after="20"/>
            </w:pPr>
            <w:sdt>
              <w:sdtPr>
                <w:id w:val="1333"/>
                <w:alias w:val="MR-20-T01-R1-C1"/>
                <w:tag w:val="MR-20-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334"/>
                <w:alias w:val="MR-20-T01-R1-C2"/>
                <w:tag w:val="MR-20-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335"/>
                <w:alias w:val="MR-20-T01-R1-C3"/>
                <w:tag w:val="MR-20-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36"/>
                <w:alias w:val="MR-20-T01-R2-C1"/>
                <w:tag w:val="MR-20-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337"/>
                <w:alias w:val="MR-20-T01-R2-C2"/>
                <w:tag w:val="MR-20-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338"/>
                <w:alias w:val="MR-20-T01-R2-C3"/>
                <w:tag w:val="MR-20-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39"/>
                <w:alias w:val="MR-20-T01-R3-C1"/>
                <w:tag w:val="MR-20-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340"/>
                <w:alias w:val="MR-20-T01-R3-C2"/>
                <w:tag w:val="MR-20-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341"/>
                <w:alias w:val="MR-20-T01-R3-C3"/>
                <w:tag w:val="MR-20-T01-R3-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42"/>
                <w:alias w:val="MR-20-T01-R4-C1"/>
                <w:tag w:val="MR-20-T01-R4-C1"/>
                <w:text w:multiLine="1"/>
              </w:sdtPr>
              <w:sdtContent>
                <w:r>
                  <w:rPr>
                    <w:rFonts w:ascii="Arial" w:hAnsi="Arial"/>
                    <w:color w:val="62716E"/>
                    <w:sz w:val="18"/>
                  </w:rPr>
                  <w:t>[Complete]</w:t>
                </w:r>
              </w:sdtContent>
            </w:sdt>
          </w:p>
        </w:tc>
        <w:tc>
          <w:tcPr>
            <w:tcW w:type="dxa" w:w="3572"/>
            <w:vAlign w:val="top"/>
          </w:tcPr>
          <w:p>
            <w:pPr>
              <w:keepNext w:val="0"/>
              <w:spacing w:after="20"/>
            </w:pPr>
            <w:sdt>
              <w:sdtPr>
                <w:id w:val="1343"/>
                <w:alias w:val="MR-20-T01-R4-C2"/>
                <w:tag w:val="MR-20-T01-R4-C2"/>
                <w:text w:multiLine="1"/>
              </w:sdtPr>
              <w:sdtContent>
                <w:r>
                  <w:rPr>
                    <w:rFonts w:ascii="Arial" w:hAnsi="Arial"/>
                    <w:color w:val="62716E"/>
                    <w:sz w:val="18"/>
                  </w:rPr>
                  <w:t>[Complete]</w:t>
                </w:r>
              </w:sdtContent>
            </w:sdt>
          </w:p>
        </w:tc>
        <w:tc>
          <w:tcPr>
            <w:tcW w:type="dxa" w:w="3390"/>
            <w:vAlign w:val="top"/>
          </w:tcPr>
          <w:p>
            <w:pPr>
              <w:keepNext w:val="0"/>
              <w:spacing w:after="20"/>
            </w:pPr>
            <w:sdt>
              <w:sdtPr>
                <w:id w:val="1344"/>
                <w:alias w:val="MR-20-T01-R4-C3"/>
                <w:tag w:val="MR-20-T01-R4-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color w:val="215F52"/>
          <w:sz w:val="20"/>
        </w:rPr>
        <w:t>MR-20-T02 / Overlap and outcome reconciliation</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Intersecting initiative / period / support</w:t>
            </w:r>
          </w:p>
        </w:tc>
        <w:tc>
          <w:tcPr>
            <w:tcW w:type="dxa" w:w="3572"/>
            <w:vAlign w:val="center"/>
            <w:shd w:fill="F1F5F2"/>
          </w:tcPr>
          <w:p>
            <w:pPr>
              <w:keepNext/>
              <w:spacing w:after="20"/>
            </w:pPr>
            <w:r>
              <w:rPr>
                <w:rFonts w:ascii="Arial" w:hAnsi="Arial" w:eastAsia="Arial" w:cs="Arial"/>
                <w:b/>
                <w:color w:val="215F52"/>
                <w:sz w:val="17"/>
              </w:rPr>
              <w:t>Authority, activities and potential shared result</w:t>
            </w:r>
          </w:p>
        </w:tc>
        <w:tc>
          <w:tcPr>
            <w:tcW w:type="dxa" w:w="3390"/>
            <w:vAlign w:val="center"/>
            <w:shd w:fill="F1F5F2"/>
          </w:tcPr>
          <w:p>
            <w:pPr>
              <w:keepNext/>
              <w:spacing w:after="20"/>
            </w:pPr>
            <w:r>
              <w:rPr>
                <w:rFonts w:ascii="Arial" w:hAnsi="Arial" w:eastAsia="Arial" w:cs="Arial"/>
                <w:b/>
                <w:color w:val="215F52"/>
                <w:sz w:val="17"/>
              </w:rPr>
              <w:t>Unique scope, resolution, hold and evidence</w:t>
            </w:r>
          </w:p>
        </w:tc>
      </w:tr>
      <w:tr>
        <w:trPr>
          <w:trHeight w:val="442" w:hRule="atLeast"/>
        </w:trPr>
        <w:tc>
          <w:tcPr>
            <w:tcW w:type="dxa" w:w="2778"/>
            <w:vAlign w:val="top"/>
          </w:tcPr>
          <w:p>
            <w:pPr>
              <w:keepNext w:val="0"/>
              <w:spacing w:after="20"/>
            </w:pPr>
            <w:sdt>
              <w:sdtPr>
                <w:id w:val="1345"/>
                <w:alias w:val="MR-20-T02-R1-C1"/>
                <w:tag w:val="MR-20-T02-R1-C1"/>
                <w:text w:multiLine="1"/>
              </w:sdtPr>
              <w:sdtContent>
                <w:r>
                  <w:rPr>
                    <w:rFonts w:ascii="Arial" w:hAnsi="Arial"/>
                    <w:color w:val="62716E"/>
                    <w:sz w:val="18"/>
                  </w:rPr>
                  <w:t>[Complete]</w:t>
                </w:r>
              </w:sdtContent>
            </w:sdt>
          </w:p>
        </w:tc>
        <w:tc>
          <w:tcPr>
            <w:tcW w:type="dxa" w:w="3572"/>
            <w:vAlign w:val="top"/>
          </w:tcPr>
          <w:p>
            <w:pPr>
              <w:keepNext w:val="0"/>
              <w:spacing w:after="20"/>
            </w:pPr>
            <w:sdt>
              <w:sdtPr>
                <w:id w:val="1346"/>
                <w:alias w:val="MR-20-T02-R1-C2"/>
                <w:tag w:val="MR-20-T02-R1-C2"/>
                <w:text w:multiLine="1"/>
              </w:sdtPr>
              <w:sdtContent>
                <w:r>
                  <w:rPr>
                    <w:rFonts w:ascii="Arial" w:hAnsi="Arial"/>
                    <w:color w:val="62716E"/>
                    <w:sz w:val="18"/>
                  </w:rPr>
                  <w:t>[Complete]</w:t>
                </w:r>
              </w:sdtContent>
            </w:sdt>
          </w:p>
        </w:tc>
        <w:tc>
          <w:tcPr>
            <w:tcW w:type="dxa" w:w="3390"/>
            <w:vAlign w:val="top"/>
          </w:tcPr>
          <w:p>
            <w:pPr>
              <w:keepNext w:val="0"/>
              <w:spacing w:after="20"/>
            </w:pPr>
            <w:sdt>
              <w:sdtPr>
                <w:id w:val="1347"/>
                <w:alias w:val="MR-20-T02-R1-C3"/>
                <w:tag w:val="MR-20-T02-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48"/>
                <w:alias w:val="MR-20-T02-R2-C1"/>
                <w:tag w:val="MR-20-T02-R2-C1"/>
                <w:text w:multiLine="1"/>
              </w:sdtPr>
              <w:sdtContent>
                <w:r>
                  <w:rPr>
                    <w:rFonts w:ascii="Arial" w:hAnsi="Arial"/>
                    <w:color w:val="62716E"/>
                    <w:sz w:val="18"/>
                  </w:rPr>
                  <w:t>[Complete]</w:t>
                </w:r>
              </w:sdtContent>
            </w:sdt>
          </w:p>
        </w:tc>
        <w:tc>
          <w:tcPr>
            <w:tcW w:type="dxa" w:w="3572"/>
            <w:vAlign w:val="top"/>
          </w:tcPr>
          <w:p>
            <w:pPr>
              <w:keepNext w:val="0"/>
              <w:spacing w:after="20"/>
            </w:pPr>
            <w:sdt>
              <w:sdtPr>
                <w:id w:val="1349"/>
                <w:alias w:val="MR-20-T02-R2-C2"/>
                <w:tag w:val="MR-20-T02-R2-C2"/>
                <w:text w:multiLine="1"/>
              </w:sdtPr>
              <w:sdtContent>
                <w:r>
                  <w:rPr>
                    <w:rFonts w:ascii="Arial" w:hAnsi="Arial"/>
                    <w:color w:val="62716E"/>
                    <w:sz w:val="18"/>
                  </w:rPr>
                  <w:t>[Complete]</w:t>
                </w:r>
              </w:sdtContent>
            </w:sdt>
          </w:p>
        </w:tc>
        <w:tc>
          <w:tcPr>
            <w:tcW w:type="dxa" w:w="3390"/>
            <w:vAlign w:val="top"/>
          </w:tcPr>
          <w:p>
            <w:pPr>
              <w:keepNext w:val="0"/>
              <w:spacing w:after="20"/>
            </w:pPr>
            <w:sdt>
              <w:sdtPr>
                <w:id w:val="1350"/>
                <w:alias w:val="MR-20-T02-R2-C3"/>
                <w:tag w:val="MR-20-T02-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51"/>
                <w:alias w:val="MR-20-T02-R3-C1"/>
                <w:tag w:val="MR-20-T02-R3-C1"/>
                <w:text w:multiLine="1"/>
              </w:sdtPr>
              <w:sdtContent>
                <w:r>
                  <w:rPr>
                    <w:rFonts w:ascii="Arial" w:hAnsi="Arial"/>
                    <w:color w:val="62716E"/>
                    <w:sz w:val="18"/>
                  </w:rPr>
                  <w:t>[Complete]</w:t>
                </w:r>
              </w:sdtContent>
            </w:sdt>
          </w:p>
        </w:tc>
        <w:tc>
          <w:tcPr>
            <w:tcW w:type="dxa" w:w="3572"/>
            <w:vAlign w:val="top"/>
          </w:tcPr>
          <w:p>
            <w:pPr>
              <w:keepNext w:val="0"/>
              <w:spacing w:after="20"/>
            </w:pPr>
            <w:sdt>
              <w:sdtPr>
                <w:id w:val="1352"/>
                <w:alias w:val="MR-20-T02-R3-C2"/>
                <w:tag w:val="MR-20-T02-R3-C2"/>
                <w:text w:multiLine="1"/>
              </w:sdtPr>
              <w:sdtContent>
                <w:r>
                  <w:rPr>
                    <w:rFonts w:ascii="Arial" w:hAnsi="Arial"/>
                    <w:color w:val="62716E"/>
                    <w:sz w:val="18"/>
                  </w:rPr>
                  <w:t>[Complete]</w:t>
                </w:r>
              </w:sdtContent>
            </w:sdt>
          </w:p>
        </w:tc>
        <w:tc>
          <w:tcPr>
            <w:tcW w:type="dxa" w:w="3390"/>
            <w:vAlign w:val="top"/>
          </w:tcPr>
          <w:p>
            <w:pPr>
              <w:keepNext w:val="0"/>
              <w:spacing w:after="20"/>
            </w:pPr>
            <w:sdt>
              <w:sdtPr>
                <w:id w:val="1353"/>
                <w:alias w:val="MR-20-T02-R3-C3"/>
                <w:tag w:val="MR-20-T02-R3-C3"/>
                <w:text w:multiLine="1"/>
              </w:sdtPr>
              <w:sdtContent>
                <w:r>
                  <w:rPr>
                    <w:rFonts w:ascii="Arial" w:hAnsi="Arial"/>
                    <w:color w:val="62716E"/>
                    <w:sz w:val="18"/>
                  </w:rPr>
                  <w:t>[Complete]</w:t>
                </w:r>
              </w:sdtContent>
            </w:sdt>
          </w:p>
        </w:tc>
      </w:tr>
    </w:tbl>
    <w:p>
      <w:pPr>
        <w:spacing w:after="20" w:before="0" w:line="40" w:lineRule="exact"/>
      </w:pPr>
      <w:r>
        <w:rPr>
          <w:sz w:val="4"/>
        </w:rPr>
      </w:r>
    </w:p>
    <w:p>
      <w:pPr>
        <w:spacing w:after="100"/>
      </w:pPr>
      <w:r>
        <w:rPr>
          <w:rFonts w:ascii="Arial" w:hAnsi="Arial" w:eastAsia="Arial" w:cs="Arial"/>
          <w:b w:val="0"/>
          <w:color w:val="243A36"/>
          <w:sz w:val="19"/>
        </w:rPr>
        <w:t>Geographic intersection alone does not settle authority, additionality or duplication. Do not assign the full common environmental effect to every initiative. Record unresolved material findings and their effect on the submitted scope.</w:t>
      </w:r>
    </w:p>
    <w:p>
      <w:bookmarkStart w:id="523" w:name="MR_21"/>
      <w:pPr>
        <w:pStyle w:val="Heading1"/>
        <w:keepNext/>
        <w:pageBreakBefore/>
      </w:pPr>
      <w:r>
        <w:rPr>
          <w:rFonts w:ascii="Arial" w:hAnsi="Arial" w:eastAsia="Arial" w:cs="Arial"/>
          <w:b w:val="0"/>
          <w:color w:val="215F52"/>
          <w:sz w:val="38"/>
        </w:rPr>
        <w:t>21  Participation, safeguards and benefit-sharing</w:t>
      </w:r>
      <w:bookmarkEnd w:id="523"/>
    </w:p>
    <w:p>
      <w:pPr>
        <w:keepNext/>
        <w:spacing w:after="100"/>
      </w:pPr>
      <w:r>
        <w:rPr>
          <w:rFonts w:ascii="Arial" w:hAnsi="Arial" w:eastAsia="Arial" w:cs="Arial"/>
          <w:b w:val="0"/>
          <w:color w:val="62716E"/>
          <w:sz w:val="16"/>
        </w:rPr>
        <w:t>[1] S-12; S-13; S-17; AO-03; P-12; A-13; A-14; A-15</w:t>
      </w:r>
    </w:p>
    <w:p>
      <w:pPr>
        <w:spacing w:after="100"/>
      </w:pPr>
      <w:r>
        <w:rPr>
          <w:rFonts w:ascii="Arial" w:hAnsi="Arial" w:eastAsia="Arial" w:cs="Arial"/>
          <w:b w:val="0"/>
          <w:color w:val="243A36"/>
          <w:sz w:val="19"/>
        </w:rPr>
        <w:t>Document actual engagement, consent where applicable, governance decisions, worker and community safeguards, benefit-sharing and access to complaints during the interval. Distinguish planned commitments from executed actions and payments.</w:t>
      </w:r>
    </w:p>
    <w:p>
      <w:pPr>
        <w:keepNext/>
        <w:spacing w:after="100"/>
      </w:pPr>
      <w:r>
        <w:rPr>
          <w:rFonts w:ascii="Arial" w:hAnsi="Arial" w:eastAsia="Arial" w:cs="Arial"/>
          <w:b/>
          <w:color w:val="215F52"/>
          <w:sz w:val="20"/>
        </w:rPr>
        <w:t>MR-21-T01 / Commitments and observed performance</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Commitment / group / period</w:t>
            </w:r>
          </w:p>
        </w:tc>
        <w:tc>
          <w:tcPr>
            <w:tcW w:type="dxa" w:w="3572"/>
            <w:vAlign w:val="center"/>
            <w:shd w:fill="F1F5F2"/>
          </w:tcPr>
          <w:p>
            <w:pPr>
              <w:keepNext/>
              <w:spacing w:after="20"/>
            </w:pPr>
            <w:r>
              <w:rPr>
                <w:rFonts w:ascii="Arial" w:hAnsi="Arial" w:eastAsia="Arial" w:cs="Arial"/>
                <w:b/>
                <w:color w:val="215F52"/>
                <w:sz w:val="17"/>
              </w:rPr>
              <w:t>Executed measure, evidence and distribution basis</w:t>
            </w:r>
          </w:p>
        </w:tc>
        <w:tc>
          <w:tcPr>
            <w:tcW w:type="dxa" w:w="3390"/>
            <w:vAlign w:val="center"/>
            <w:shd w:fill="F1F5F2"/>
          </w:tcPr>
          <w:p>
            <w:pPr>
              <w:keepNext/>
              <w:spacing w:after="20"/>
            </w:pPr>
            <w:r>
              <w:rPr>
                <w:rFonts w:ascii="Arial" w:hAnsi="Arial" w:eastAsia="Arial" w:cs="Arial"/>
                <w:b/>
                <w:color w:val="215F52"/>
                <w:sz w:val="17"/>
              </w:rPr>
              <w:t>Adverse effect, outstanding duty and response</w:t>
            </w:r>
          </w:p>
        </w:tc>
      </w:tr>
      <w:tr>
        <w:trPr>
          <w:trHeight w:val="442" w:hRule="atLeast"/>
        </w:trPr>
        <w:tc>
          <w:tcPr>
            <w:tcW w:type="dxa" w:w="2778"/>
            <w:vAlign w:val="top"/>
          </w:tcPr>
          <w:p>
            <w:pPr>
              <w:keepNext w:val="0"/>
              <w:spacing w:after="20"/>
            </w:pPr>
            <w:sdt>
              <w:sdtPr>
                <w:id w:val="1354"/>
                <w:alias w:val="MR-21-T01-R1-C1"/>
                <w:tag w:val="MR-21-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355"/>
                <w:alias w:val="MR-21-T01-R1-C2"/>
                <w:tag w:val="MR-21-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356"/>
                <w:alias w:val="MR-21-T01-R1-C3"/>
                <w:tag w:val="MR-21-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57"/>
                <w:alias w:val="MR-21-T01-R2-C1"/>
                <w:tag w:val="MR-21-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358"/>
                <w:alias w:val="MR-21-T01-R2-C2"/>
                <w:tag w:val="MR-21-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359"/>
                <w:alias w:val="MR-21-T01-R2-C3"/>
                <w:tag w:val="MR-21-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60"/>
                <w:alias w:val="MR-21-T01-R3-C1"/>
                <w:tag w:val="MR-21-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361"/>
                <w:alias w:val="MR-21-T01-R3-C2"/>
                <w:tag w:val="MR-21-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362"/>
                <w:alias w:val="MR-21-T01-R3-C3"/>
                <w:tag w:val="MR-21-T01-R3-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63"/>
                <w:alias w:val="MR-21-T01-R4-C1"/>
                <w:tag w:val="MR-21-T01-R4-C1"/>
                <w:text w:multiLine="1"/>
              </w:sdtPr>
              <w:sdtContent>
                <w:r>
                  <w:rPr>
                    <w:rFonts w:ascii="Arial" w:hAnsi="Arial"/>
                    <w:color w:val="62716E"/>
                    <w:sz w:val="18"/>
                  </w:rPr>
                  <w:t>[Complete]</w:t>
                </w:r>
              </w:sdtContent>
            </w:sdt>
          </w:p>
        </w:tc>
        <w:tc>
          <w:tcPr>
            <w:tcW w:type="dxa" w:w="3572"/>
            <w:vAlign w:val="top"/>
          </w:tcPr>
          <w:p>
            <w:pPr>
              <w:keepNext w:val="0"/>
              <w:spacing w:after="20"/>
            </w:pPr>
            <w:sdt>
              <w:sdtPr>
                <w:id w:val="1364"/>
                <w:alias w:val="MR-21-T01-R4-C2"/>
                <w:tag w:val="MR-21-T01-R4-C2"/>
                <w:text w:multiLine="1"/>
              </w:sdtPr>
              <w:sdtContent>
                <w:r>
                  <w:rPr>
                    <w:rFonts w:ascii="Arial" w:hAnsi="Arial"/>
                    <w:color w:val="62716E"/>
                    <w:sz w:val="18"/>
                  </w:rPr>
                  <w:t>[Complete]</w:t>
                </w:r>
              </w:sdtContent>
            </w:sdt>
          </w:p>
        </w:tc>
        <w:tc>
          <w:tcPr>
            <w:tcW w:type="dxa" w:w="3390"/>
            <w:vAlign w:val="top"/>
          </w:tcPr>
          <w:p>
            <w:pPr>
              <w:keepNext w:val="0"/>
              <w:spacing w:after="20"/>
            </w:pPr>
            <w:sdt>
              <w:sdtPr>
                <w:id w:val="1365"/>
                <w:alias w:val="MR-21-T01-R4-C3"/>
                <w:tag w:val="MR-21-T01-R4-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color w:val="215F52"/>
          <w:sz w:val="20"/>
        </w:rPr>
        <w:t>MR-21-T02 / Complaint and remedy follow-up</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Restricted case ID / date / issue</w:t>
            </w:r>
          </w:p>
        </w:tc>
        <w:tc>
          <w:tcPr>
            <w:tcW w:type="dxa" w:w="3572"/>
            <w:vAlign w:val="center"/>
            <w:shd w:fill="F1F5F2"/>
          </w:tcPr>
          <w:p>
            <w:pPr>
              <w:keepNext/>
              <w:spacing w:after="20"/>
            </w:pPr>
            <w:r>
              <w:rPr>
                <w:rFonts w:ascii="Arial" w:hAnsi="Arial" w:eastAsia="Arial" w:cs="Arial"/>
                <w:b/>
                <w:color w:val="215F52"/>
                <w:sz w:val="17"/>
              </w:rPr>
              <w:t>Channel, approved deadline and independent handling</w:t>
            </w:r>
          </w:p>
        </w:tc>
        <w:tc>
          <w:tcPr>
            <w:tcW w:type="dxa" w:w="3390"/>
            <w:vAlign w:val="center"/>
            <w:shd w:fill="F1F5F2"/>
          </w:tcPr>
          <w:p>
            <w:pPr>
              <w:keepNext/>
              <w:spacing w:after="20"/>
            </w:pPr>
            <w:r>
              <w:rPr>
                <w:rFonts w:ascii="Arial" w:hAnsi="Arial" w:eastAsia="Arial" w:cs="Arial"/>
                <w:b/>
                <w:color w:val="215F52"/>
                <w:sz w:val="17"/>
              </w:rPr>
              <w:t>Response, remedy evidence and closure status</w:t>
            </w:r>
          </w:p>
        </w:tc>
      </w:tr>
      <w:tr>
        <w:trPr>
          <w:trHeight w:val="442" w:hRule="atLeast"/>
        </w:trPr>
        <w:tc>
          <w:tcPr>
            <w:tcW w:type="dxa" w:w="2778"/>
            <w:vAlign w:val="top"/>
          </w:tcPr>
          <w:p>
            <w:pPr>
              <w:keepNext w:val="0"/>
              <w:spacing w:after="20"/>
            </w:pPr>
            <w:sdt>
              <w:sdtPr>
                <w:id w:val="1366"/>
                <w:alias w:val="MR-21-T02-R1-C1"/>
                <w:tag w:val="MR-21-T02-R1-C1"/>
                <w:text w:multiLine="1"/>
              </w:sdtPr>
              <w:sdtContent>
                <w:r>
                  <w:rPr>
                    <w:rFonts w:ascii="Arial" w:hAnsi="Arial"/>
                    <w:color w:val="62716E"/>
                    <w:sz w:val="18"/>
                  </w:rPr>
                  <w:t>[Complete]</w:t>
                </w:r>
              </w:sdtContent>
            </w:sdt>
          </w:p>
        </w:tc>
        <w:tc>
          <w:tcPr>
            <w:tcW w:type="dxa" w:w="3572"/>
            <w:vAlign w:val="top"/>
          </w:tcPr>
          <w:p>
            <w:pPr>
              <w:keepNext w:val="0"/>
              <w:spacing w:after="20"/>
            </w:pPr>
            <w:sdt>
              <w:sdtPr>
                <w:id w:val="1367"/>
                <w:alias w:val="MR-21-T02-R1-C2"/>
                <w:tag w:val="MR-21-T02-R1-C2"/>
                <w:text w:multiLine="1"/>
              </w:sdtPr>
              <w:sdtContent>
                <w:r>
                  <w:rPr>
                    <w:rFonts w:ascii="Arial" w:hAnsi="Arial"/>
                    <w:color w:val="62716E"/>
                    <w:sz w:val="18"/>
                  </w:rPr>
                  <w:t>[Complete]</w:t>
                </w:r>
              </w:sdtContent>
            </w:sdt>
          </w:p>
        </w:tc>
        <w:tc>
          <w:tcPr>
            <w:tcW w:type="dxa" w:w="3390"/>
            <w:vAlign w:val="top"/>
          </w:tcPr>
          <w:p>
            <w:pPr>
              <w:keepNext w:val="0"/>
              <w:spacing w:after="20"/>
            </w:pPr>
            <w:sdt>
              <w:sdtPr>
                <w:id w:val="1368"/>
                <w:alias w:val="MR-21-T02-R1-C3"/>
                <w:tag w:val="MR-21-T02-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69"/>
                <w:alias w:val="MR-21-T02-R2-C1"/>
                <w:tag w:val="MR-21-T02-R2-C1"/>
                <w:text w:multiLine="1"/>
              </w:sdtPr>
              <w:sdtContent>
                <w:r>
                  <w:rPr>
                    <w:rFonts w:ascii="Arial" w:hAnsi="Arial"/>
                    <w:color w:val="62716E"/>
                    <w:sz w:val="18"/>
                  </w:rPr>
                  <w:t>[Complete]</w:t>
                </w:r>
              </w:sdtContent>
            </w:sdt>
          </w:p>
        </w:tc>
        <w:tc>
          <w:tcPr>
            <w:tcW w:type="dxa" w:w="3572"/>
            <w:vAlign w:val="top"/>
          </w:tcPr>
          <w:p>
            <w:pPr>
              <w:keepNext w:val="0"/>
              <w:spacing w:after="20"/>
            </w:pPr>
            <w:sdt>
              <w:sdtPr>
                <w:id w:val="1370"/>
                <w:alias w:val="MR-21-T02-R2-C2"/>
                <w:tag w:val="MR-21-T02-R2-C2"/>
                <w:text w:multiLine="1"/>
              </w:sdtPr>
              <w:sdtContent>
                <w:r>
                  <w:rPr>
                    <w:rFonts w:ascii="Arial" w:hAnsi="Arial"/>
                    <w:color w:val="62716E"/>
                    <w:sz w:val="18"/>
                  </w:rPr>
                  <w:t>[Complete]</w:t>
                </w:r>
              </w:sdtContent>
            </w:sdt>
          </w:p>
        </w:tc>
        <w:tc>
          <w:tcPr>
            <w:tcW w:type="dxa" w:w="3390"/>
            <w:vAlign w:val="top"/>
          </w:tcPr>
          <w:p>
            <w:pPr>
              <w:keepNext w:val="0"/>
              <w:spacing w:after="20"/>
            </w:pPr>
            <w:sdt>
              <w:sdtPr>
                <w:id w:val="1371"/>
                <w:alias w:val="MR-21-T02-R2-C3"/>
                <w:tag w:val="MR-21-T02-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72"/>
                <w:alias w:val="MR-21-T02-R3-C1"/>
                <w:tag w:val="MR-21-T02-R3-C1"/>
                <w:text w:multiLine="1"/>
              </w:sdtPr>
              <w:sdtContent>
                <w:r>
                  <w:rPr>
                    <w:rFonts w:ascii="Arial" w:hAnsi="Arial"/>
                    <w:color w:val="62716E"/>
                    <w:sz w:val="18"/>
                  </w:rPr>
                  <w:t>[Complete]</w:t>
                </w:r>
              </w:sdtContent>
            </w:sdt>
          </w:p>
        </w:tc>
        <w:tc>
          <w:tcPr>
            <w:tcW w:type="dxa" w:w="3572"/>
            <w:vAlign w:val="top"/>
          </w:tcPr>
          <w:p>
            <w:pPr>
              <w:keepNext w:val="0"/>
              <w:spacing w:after="20"/>
            </w:pPr>
            <w:sdt>
              <w:sdtPr>
                <w:id w:val="1373"/>
                <w:alias w:val="MR-21-T02-R3-C2"/>
                <w:tag w:val="MR-21-T02-R3-C2"/>
                <w:text w:multiLine="1"/>
              </w:sdtPr>
              <w:sdtContent>
                <w:r>
                  <w:rPr>
                    <w:rFonts w:ascii="Arial" w:hAnsi="Arial"/>
                    <w:color w:val="62716E"/>
                    <w:sz w:val="18"/>
                  </w:rPr>
                  <w:t>[Complete]</w:t>
                </w:r>
              </w:sdtContent>
            </w:sdt>
          </w:p>
        </w:tc>
        <w:tc>
          <w:tcPr>
            <w:tcW w:type="dxa" w:w="3390"/>
            <w:vAlign w:val="top"/>
          </w:tcPr>
          <w:p>
            <w:pPr>
              <w:keepNext w:val="0"/>
              <w:spacing w:after="20"/>
            </w:pPr>
            <w:sdt>
              <w:sdtPr>
                <w:id w:val="1374"/>
                <w:alias w:val="MR-21-T02-R3-C3"/>
                <w:tag w:val="MR-21-T02-R3-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Explain language and nondigital access, protections against retaliation, consent changes, vulnerable-group impacts and unresolved matters. The public report may redact protected identities, but authorized assessment needs the full evidence. Do not treat absence of recorded complaints as proof that access was effective.</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375"/>
                <w:alias w:val="MR-response-54"/>
                <w:tag w:val="MR-response-54"/>
                <w:text w:multiLine="1"/>
              </w:sdtPr>
              <w:sdtContent>
                <w:r>
                  <w:rPr>
                    <w:rFonts w:ascii="Arial" w:hAnsi="Arial"/>
                    <w:color w:val="62716E"/>
                    <w:sz w:val="18"/>
                  </w:rPr>
                  <w:t>[Enter response and exact evidence references.]</w:t>
                </w:r>
              </w:sdtContent>
            </w:sdt>
          </w:p>
        </w:tc>
      </w:tr>
    </w:tbl>
    <w:p>
      <w:pPr>
        <w:spacing w:after="20" w:line="40" w:lineRule="exact"/>
      </w:pPr>
      <w:r>
        <w:rPr>
          <w:sz w:val="4"/>
        </w:rPr>
      </w:r>
    </w:p>
    <w:p>
      <w:bookmarkStart w:id="532" w:name="MR_22"/>
      <w:pPr>
        <w:pStyle w:val="Heading1"/>
        <w:keepNext/>
        <w:pageBreakBefore/>
      </w:pPr>
      <w:r>
        <w:rPr>
          <w:rFonts w:ascii="Arial" w:hAnsi="Arial" w:eastAsia="Arial" w:cs="Arial"/>
          <w:b w:val="0"/>
          <w:color w:val="215F52"/>
          <w:sz w:val="38"/>
        </w:rPr>
        <w:t>22  Ecosystem, biodiversity and social outcomes</w:t>
      </w:r>
      <w:bookmarkEnd w:id="532"/>
    </w:p>
    <w:p>
      <w:pPr>
        <w:keepNext/>
        <w:spacing w:after="100"/>
      </w:pPr>
      <w:r>
        <w:rPr>
          <w:rFonts w:ascii="Arial" w:hAnsi="Arial" w:eastAsia="Arial" w:cs="Arial"/>
          <w:b w:val="0"/>
          <w:color w:val="62716E"/>
          <w:sz w:val="16"/>
        </w:rPr>
        <w:t>[1] M06.1; T-10; T-22; S-02; P-11; U-01; U-02</w:t>
      </w:r>
    </w:p>
    <w:p>
      <w:pPr>
        <w:spacing w:after="100"/>
      </w:pPr>
      <w:r>
        <w:rPr>
          <w:rFonts w:ascii="Arial" w:hAnsi="Arial" w:eastAsia="Arial" w:cs="Arial"/>
          <w:b w:val="0"/>
          <w:color w:val="243A36"/>
          <w:sz w:val="19"/>
        </w:rPr>
        <w:t>Report only the indicators and methods supported by the PD and applicable profile. Keep biodiversity, ecosystem condition and social outcomes in their own units. Record targets, observed period values and cumulative values separately; a lifetime target is not an achieved monitoring-period result.</w:t>
      </w:r>
    </w:p>
    <w:p>
      <w:pPr>
        <w:keepNext/>
        <w:spacing w:after="100"/>
      </w:pPr>
      <w:r>
        <w:rPr>
          <w:rFonts w:ascii="Arial" w:hAnsi="Arial" w:eastAsia="Arial" w:cs="Arial"/>
          <w:b/>
          <w:color w:val="215F52"/>
          <w:sz w:val="20"/>
        </w:rPr>
        <w:t>MR-22-T01 / Indicator-to-evidence record</w:t>
      </w:r>
    </w:p>
    <w:p>
      <w:pPr>
        <w:keepNext/>
        <w:spacing w:after="100"/>
      </w:pPr>
      <w:r>
        <w:rPr>
          <w:rFonts w:ascii="Arial" w:hAnsi="Arial" w:eastAsia="Arial" w:cs="Arial"/>
          <w:b/>
          <w:color w:val="215F52"/>
          <w:sz w:val="17"/>
        </w:rPr>
        <w:t>MR-22-T01 / Calculation notation</w:t>
      </w:r>
    </w:p>
    <w:p>
      <w:pPr>
        <w:keepNext/>
        <w:spacing w:after="60" w:before="20"/>
        <w:jc w:val="center"/>
      </w:pPr>
      <m:oMath>
        <m:sSub>
          <m:e>
            <m:r>
              <w:rPr>
                <w:sz w:val="20"/>
                <w:rFonts w:ascii="Cambria Math" w:hAnsi="Cambria Math"/>
              </w:rPr>
              <m:t>x</m:t>
            </m:r>
          </m:e>
          <m:sub>
            <m:r>
              <w:rPr>
                <w:sz w:val="20"/>
                <w:rFonts w:ascii="Cambria Math" w:hAnsi="Cambria Math"/>
              </w:rPr>
              <m:rPr>
                <m:sty m:val="p"/>
              </m:rPr>
              <m:t>ℓ</m:t>
            </m:r>
          </m:sub>
        </m:sSub>
        <m:r>
          <w:rPr>
            <w:sz w:val="20"/>
            <w:rFonts w:ascii="Cambria Math" w:hAnsi="Cambria Math"/>
          </w:rPr>
          <m:t> </m:t>
        </m:r>
        <m:d>
          <m:dPr>
            <m:begChr m:val="["/>
            <m:endChr m:val="]"/>
            <m:sepChr m:val=""/>
            <m:grow/>
          </m:dPr>
          <m:e>
            <m:sSub>
              <m:e>
                <m:r>
                  <w:rPr>
                    <w:sz w:val="20"/>
                    <w:rFonts w:ascii="Cambria Math" w:hAnsi="Cambria Math"/>
                  </w:rPr>
                  <m:t>u</m:t>
                </m:r>
              </m:e>
              <m:sub>
                <m:r>
                  <w:rPr>
                    <w:sz w:val="20"/>
                    <w:rFonts w:ascii="Cambria Math" w:hAnsi="Cambria Math"/>
                  </w:rPr>
                  <m:rPr>
                    <m:sty m:val="p"/>
                  </m:rPr>
                  <m:t>ℓ</m:t>
                </m:r>
              </m:sub>
            </m:sSub>
          </m:e>
        </m:d>
      </m:oMath>
    </w:p>
    <w:p>
      <w:pPr>
        <w:keepNext/>
        <w:spacing w:after="60"/>
      </w:pPr>
      <w:r>
        <w:rPr>
          <w:rFonts w:ascii="Arial" w:hAnsi="Arial" w:eastAsia="Arial" w:cs="Arial"/>
          <w:b w:val="0"/>
          <w:color w:val="215F52"/>
          <w:sz w:val="17"/>
        </w:rPr>
        <w:t>x_l is the identified observation, input, or output; u_l is its declared unit. Record the exact equation and source file, worksheet, cell/range, period, and status. This notation does not prescribe an estimator.</w:t>
      </w:r>
    </w:p>
    <w:p>
      <w:pPr>
        <w:keepNext/>
        <w:spacing w:after="80"/>
      </w:pPr>
      <w:r>
        <w:rPr>
          <w:rFonts w:ascii="Arial" w:hAnsi="Arial" w:eastAsia="Arial" w:cs="Arial"/>
          <w:b w:val="0"/>
          <w:color w:val="62716E"/>
          <w:sz w:val="16"/>
        </w:rPr>
        <w:t>Basis: F-01; T-01. Calculation location: Evidence!A:J; Components!F:L.</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Indicator / definition / symbol / unit</w:t>
            </w:r>
          </w:p>
        </w:tc>
        <w:tc>
          <w:tcPr>
            <w:tcW w:type="dxa" w:w="3572"/>
            <w:vAlign w:val="center"/>
            <w:shd w:fill="F1F5F2"/>
          </w:tcPr>
          <w:p>
            <w:pPr>
              <w:keepNext/>
              <w:spacing w:after="20"/>
            </w:pPr>
            <w:r>
              <w:rPr>
                <w:rFonts w:ascii="Arial" w:hAnsi="Arial" w:eastAsia="Arial" w:cs="Arial"/>
                <w:b/>
                <w:color w:val="215F52"/>
                <w:sz w:val="17"/>
              </w:rPr>
              <w:t>Reference, period result and uncertainty / limitation</w:t>
            </w:r>
          </w:p>
        </w:tc>
        <w:tc>
          <w:tcPr>
            <w:tcW w:type="dxa" w:w="3390"/>
            <w:vAlign w:val="center"/>
            <w:shd w:fill="F1F5F2"/>
          </w:tcPr>
          <w:p>
            <w:pPr>
              <w:keepNext/>
              <w:spacing w:after="20"/>
            </w:pPr>
            <w:r>
              <w:rPr>
                <w:rFonts w:ascii="Arial" w:hAnsi="Arial" w:eastAsia="Arial" w:cs="Arial"/>
                <w:b/>
                <w:color w:val="215F52"/>
                <w:sz w:val="17"/>
              </w:rPr>
              <w:t>Method, observation dates, source and attribution</w:t>
            </w:r>
          </w:p>
        </w:tc>
      </w:tr>
      <w:tr>
        <w:trPr>
          <w:trHeight w:val="442" w:hRule="atLeast"/>
        </w:trPr>
        <w:tc>
          <w:tcPr>
            <w:tcW w:type="dxa" w:w="2778"/>
            <w:vAlign w:val="top"/>
          </w:tcPr>
          <w:p>
            <w:pPr>
              <w:keepNext w:val="0"/>
              <w:spacing w:after="20"/>
            </w:pPr>
            <w:sdt>
              <w:sdtPr>
                <w:id w:val="1376"/>
                <w:alias w:val="MR-22-T01-R1-C1"/>
                <w:tag w:val="MR-22-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377"/>
                <w:alias w:val="MR-22-T01-R1-C2"/>
                <w:tag w:val="MR-22-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378"/>
                <w:alias w:val="MR-22-T01-R1-C3"/>
                <w:tag w:val="MR-22-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79"/>
                <w:alias w:val="MR-22-T01-R2-C1"/>
                <w:tag w:val="MR-22-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380"/>
                <w:alias w:val="MR-22-T01-R2-C2"/>
                <w:tag w:val="MR-22-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381"/>
                <w:alias w:val="MR-22-T01-R2-C3"/>
                <w:tag w:val="MR-22-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82"/>
                <w:alias w:val="MR-22-T01-R3-C1"/>
                <w:tag w:val="MR-22-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383"/>
                <w:alias w:val="MR-22-T01-R3-C2"/>
                <w:tag w:val="MR-22-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384"/>
                <w:alias w:val="MR-22-T01-R3-C3"/>
                <w:tag w:val="MR-22-T01-R3-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85"/>
                <w:alias w:val="MR-22-T01-R4-C1"/>
                <w:tag w:val="MR-22-T01-R4-C1"/>
                <w:text w:multiLine="1"/>
              </w:sdtPr>
              <w:sdtContent>
                <w:r>
                  <w:rPr>
                    <w:rFonts w:ascii="Arial" w:hAnsi="Arial"/>
                    <w:color w:val="62716E"/>
                    <w:sz w:val="18"/>
                  </w:rPr>
                  <w:t>[Complete]</w:t>
                </w:r>
              </w:sdtContent>
            </w:sdt>
          </w:p>
        </w:tc>
        <w:tc>
          <w:tcPr>
            <w:tcW w:type="dxa" w:w="3572"/>
            <w:vAlign w:val="top"/>
          </w:tcPr>
          <w:p>
            <w:pPr>
              <w:keepNext w:val="0"/>
              <w:spacing w:after="20"/>
            </w:pPr>
            <w:sdt>
              <w:sdtPr>
                <w:id w:val="1386"/>
                <w:alias w:val="MR-22-T01-R4-C2"/>
                <w:tag w:val="MR-22-T01-R4-C2"/>
                <w:text w:multiLine="1"/>
              </w:sdtPr>
              <w:sdtContent>
                <w:r>
                  <w:rPr>
                    <w:rFonts w:ascii="Arial" w:hAnsi="Arial"/>
                    <w:color w:val="62716E"/>
                    <w:sz w:val="18"/>
                  </w:rPr>
                  <w:t>[Complete]</w:t>
                </w:r>
              </w:sdtContent>
            </w:sdt>
          </w:p>
        </w:tc>
        <w:tc>
          <w:tcPr>
            <w:tcW w:type="dxa" w:w="3390"/>
            <w:vAlign w:val="top"/>
          </w:tcPr>
          <w:p>
            <w:pPr>
              <w:keepNext w:val="0"/>
              <w:spacing w:after="20"/>
            </w:pPr>
            <w:sdt>
              <w:sdtPr>
                <w:id w:val="1387"/>
                <w:alias w:val="MR-22-T01-R4-C3"/>
                <w:tag w:val="MR-22-T01-R4-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Specify sampling effort, counting rules, repeated observations and any offsite adverse effects. Distinguish unique participants from attendances, jobs from person-time and a species list from demonstrated change, where those indicators apply. Document the PD definition instead of inserting a new universal metric.</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388"/>
                <w:alias w:val="MR-response-56"/>
                <w:tag w:val="MR-response-56"/>
                <w:text w:multiLine="1"/>
              </w:sdtPr>
              <w:sdtContent>
                <w:r>
                  <w:rPr>
                    <w:rFonts w:ascii="Arial" w:hAnsi="Arial"/>
                    <w:color w:val="62716E"/>
                    <w:sz w:val="18"/>
                  </w:rPr>
                  <w:t>[Enter response and exact evidence references.]</w:t>
                </w:r>
              </w:sdtContent>
            </w:sdt>
          </w:p>
        </w:tc>
      </w:tr>
    </w:tbl>
    <w:p>
      <w:pPr>
        <w:spacing w:after="20" w:line="40" w:lineRule="exact"/>
      </w:pPr>
      <w:r>
        <w:rPr>
          <w:sz w:val="4"/>
        </w:rPr>
      </w:r>
    </w:p>
    <w:p>
      <w:pPr>
        <w:spacing w:after="100"/>
      </w:pPr>
      <w:r>
        <w:rPr>
          <w:rFonts w:ascii="Arial" w:hAnsi="Arial" w:eastAsia="Arial" w:cs="Arial"/>
          <w:b w:val="0"/>
          <w:color w:val="243A36"/>
          <w:sz w:val="19"/>
        </w:rPr>
        <w:t>A reported indicator does not become an NVEU without the applicable category and authorization. No conversion between these outcomes and carbon is implied.</w:t>
      </w:r>
    </w:p>
    <w:p>
      <w:bookmarkStart w:id="544" w:name="MR_23"/>
      <w:pPr>
        <w:pStyle w:val="Heading1"/>
        <w:keepNext/>
        <w:pageBreakBefore/>
      </w:pPr>
      <w:r>
        <w:rPr>
          <w:rFonts w:ascii="Arial" w:hAnsi="Arial" w:eastAsia="Arial" w:cs="Arial"/>
          <w:b w:val="0"/>
          <w:color w:val="215F52"/>
          <w:sz w:val="38"/>
        </w:rPr>
        <w:t>23  Migration and prior claim continuity</w:t>
      </w:r>
      <w:bookmarkEnd w:id="544"/>
    </w:p>
    <w:p>
      <w:pPr>
        <w:keepNext/>
        <w:spacing w:after="100"/>
      </w:pPr>
      <w:r>
        <w:rPr>
          <w:rFonts w:ascii="Arial" w:hAnsi="Arial" w:eastAsia="Arial" w:cs="Arial"/>
          <w:b w:val="0"/>
          <w:color w:val="62716E"/>
          <w:sz w:val="16"/>
        </w:rPr>
        <w:t>[1] MIG-02; MIG-04; MIG-05; MIG-06; MIG-07; MIG-08; MIG-09; MIG-12; MIG-17; AO-11</w:t>
      </w:r>
    </w:p>
    <w:p>
      <w:pPr>
        <w:spacing w:after="100"/>
      </w:pPr>
      <w:r>
        <w:rPr>
          <w:rFonts w:ascii="Arial" w:hAnsi="Arial" w:eastAsia="Arial" w:cs="Arial"/>
          <w:b w:val="0"/>
          <w:color w:val="243A36"/>
          <w:sz w:val="19"/>
        </w:rPr>
        <w:t>Complete when migration, reuse of historical accounts or prior claims affect the interval. Preserve the originating method, dates, rights, findings, issued/retired/canceled history and liabilities. Attach the controlled Migration Reconciliation; do not restart the baseline or obligation clock by changing the report.</w:t>
      </w:r>
    </w:p>
    <w:p>
      <w:pPr>
        <w:keepNext/>
        <w:spacing w:after="100"/>
      </w:pPr>
      <w:r>
        <w:rPr>
          <w:rFonts w:ascii="Arial" w:hAnsi="Arial" w:eastAsia="Arial" w:cs="Arial"/>
          <w:b/>
          <w:color w:val="215F52"/>
          <w:sz w:val="20"/>
        </w:rPr>
        <w:t>MR-23-T01 / Original, harmonized and NEBIOT account</w:t>
      </w:r>
    </w:p>
    <w:p>
      <w:pPr>
        <w:keepNext/>
        <w:spacing w:after="100"/>
      </w:pPr>
      <w:r>
        <w:rPr>
          <w:rFonts w:ascii="Arial" w:hAnsi="Arial" w:eastAsia="Arial" w:cs="Arial"/>
          <w:b/>
          <w:color w:val="215F52"/>
          <w:sz w:val="17"/>
        </w:rPr>
        <w:t>MR-23-T01 / Calculation notation</w:t>
      </w:r>
    </w:p>
    <w:p>
      <w:pPr>
        <w:keepNext/>
        <w:spacing w:after="60" w:before="20"/>
        <w:jc w:val="center"/>
      </w:pPr>
      <m:oMath>
        <m:r>
          <w:rPr>
            <w:sz w:val="20"/>
            <w:rFonts w:ascii="Cambria Math" w:hAnsi="Cambria Math"/>
          </w:rPr>
          <m:t>Δ</m:t>
        </m:r>
        <m:sSub>
          <m:e>
            <m:r>
              <w:rPr>
                <w:sz w:val="20"/>
                <w:rFonts w:ascii="Cambria Math" w:hAnsi="Cambria Math"/>
              </w:rPr>
              <m:t>q</m:t>
            </m:r>
          </m:e>
          <m:sub>
            <m:r>
              <w:rPr>
                <w:sz w:val="20"/>
                <w:rFonts w:ascii="Cambria Math" w:hAnsi="Cambria Math"/>
              </w:rPr>
              <m:rPr>
                <m:sty m:val="p"/>
              </m:rPr>
              <m:t>b</m:t>
            </m:r>
            <m:r>
              <w:rPr>
                <w:sz w:val="20"/>
                <w:rFonts w:ascii="Cambria Math" w:hAnsi="Cambria Math"/>
              </w:rPr>
              <m:rPr>
                <m:sty m:val="p"/>
              </m:rPr>
              <m:t>a</m:t>
            </m:r>
            <m:r>
              <w:rPr>
                <w:sz w:val="20"/>
                <w:rFonts w:ascii="Cambria Math" w:hAnsi="Cambria Math"/>
              </w:rPr>
              <m:rPr>
                <m:sty m:val="p"/>
              </m:rPr>
              <m:t>s</m:t>
            </m:r>
            <m:r>
              <w:rPr>
                <w:sz w:val="20"/>
                <w:rFonts w:ascii="Cambria Math" w:hAnsi="Cambria Math"/>
              </w:rPr>
              <m:rPr>
                <m:sty m:val="p"/>
              </m:rPr>
              <m:t>i</m:t>
            </m:r>
            <m:r>
              <w:rPr>
                <w:sz w:val="20"/>
                <w:rFonts w:ascii="Cambria Math" w:hAnsi="Cambria Math"/>
              </w:rPr>
              <m:rPr>
                <m:sty m:val="p"/>
              </m:rPr>
              <m:t>s</m:t>
            </m:r>
          </m:sub>
        </m:sSub>
        <m:r>
          <w:rPr>
            <w:sz w:val="20"/>
            <w:rFonts w:ascii="Cambria Math" w:hAnsi="Cambria Math"/>
          </w:rPr>
          <m:rPr>
            <m:sty m:val="p"/>
          </m:rPr>
          <m:t>=</m:t>
        </m:r>
        <m:sSup>
          <m:e>
            <m:r>
              <w:rPr>
                <w:sz w:val="20"/>
                <w:rFonts w:ascii="Cambria Math" w:hAnsi="Cambria Math"/>
              </w:rPr>
              <m:t>q</m:t>
            </m:r>
          </m:e>
          <m:sup>
            <m:r>
              <w:rPr>
                <w:sz w:val="20"/>
                <w:rFonts w:ascii="Cambria Math" w:hAnsi="Cambria Math"/>
              </w:rPr>
              <m:rPr>
                <m:sty m:val="p"/>
              </m:rPr>
              <m:t>h</m:t>
            </m:r>
            <m:r>
              <w:rPr>
                <w:sz w:val="20"/>
                <w:rFonts w:ascii="Cambria Math" w:hAnsi="Cambria Math"/>
              </w:rPr>
              <m:rPr>
                <m:sty m:val="p"/>
              </m:rPr>
              <m:t>a</m:t>
            </m:r>
            <m:r>
              <w:rPr>
                <w:sz w:val="20"/>
                <w:rFonts w:ascii="Cambria Math" w:hAnsi="Cambria Math"/>
              </w:rPr>
              <m:rPr>
                <m:sty m:val="p"/>
              </m:rPr>
              <m:t>r</m:t>
            </m:r>
            <m:r>
              <w:rPr>
                <w:sz w:val="20"/>
                <w:rFonts w:ascii="Cambria Math" w:hAnsi="Cambria Math"/>
              </w:rPr>
              <m:rPr>
                <m:sty m:val="p"/>
              </m:rPr>
              <m:t>m</m:t>
            </m:r>
          </m:sup>
        </m:sSup>
        <m:r>
          <w:rPr>
            <w:sz w:val="20"/>
            <w:rFonts w:ascii="Cambria Math" w:hAnsi="Cambria Math"/>
          </w:rPr>
          <m:rPr>
            <m:sty m:val="p"/>
          </m:rPr>
          <m:t>−</m:t>
        </m:r>
        <m:sSup>
          <m:e>
            <m:r>
              <w:rPr>
                <w:sz w:val="20"/>
                <w:rFonts w:ascii="Cambria Math" w:hAnsi="Cambria Math"/>
              </w:rPr>
              <m:t>q</m:t>
            </m:r>
          </m:e>
          <m:sup>
            <m:r>
              <w:rPr>
                <w:sz w:val="20"/>
                <w:rFonts w:ascii="Cambria Math" w:hAnsi="Cambria Math"/>
              </w:rPr>
              <m:rPr>
                <m:sty m:val="p"/>
              </m:rPr>
              <m:t>s</m:t>
            </m:r>
            <m:r>
              <w:rPr>
                <w:sz w:val="20"/>
                <w:rFonts w:ascii="Cambria Math" w:hAnsi="Cambria Math"/>
              </w:rPr>
              <m:rPr>
                <m:sty m:val="p"/>
              </m:rPr>
              <m:t>r</m:t>
            </m:r>
            <m:r>
              <w:rPr>
                <w:sz w:val="20"/>
                <w:rFonts w:ascii="Cambria Math" w:hAnsi="Cambria Math"/>
              </w:rPr>
              <m:rPr>
                <m:sty m:val="p"/>
              </m:rPr>
              <m:t>c</m:t>
            </m:r>
          </m:sup>
        </m:sSup>
        <m:r>
          <w:rPr>
            <w:sz w:val="20"/>
            <w:rFonts w:ascii="Cambria Math" w:hAnsi="Cambria Math"/>
          </w:rPr>
          <m:rPr>
            <m:sty m:val="p"/>
          </m:rPr>
          <m:t>,</m:t>
        </m:r>
        <m:r>
          <w:rPr>
            <w:sz w:val="20"/>
            <w:rFonts w:ascii="Cambria Math" w:hAnsi="Cambria Math"/>
          </w:rPr>
          <m:t> </m:t>
        </m:r>
        <m:r>
          <w:rPr>
            <w:sz w:val="20"/>
            <w:rFonts w:ascii="Cambria Math" w:hAnsi="Cambria Math"/>
          </w:rPr>
          <m:t>Δ</m:t>
        </m:r>
        <m:sSub>
          <m:e>
            <m:r>
              <w:rPr>
                <w:sz w:val="20"/>
                <w:rFonts w:ascii="Cambria Math" w:hAnsi="Cambria Math"/>
              </w:rPr>
              <m:t>q</m:t>
            </m:r>
          </m:e>
          <m:sub>
            <m:r>
              <w:rPr>
                <w:sz w:val="20"/>
                <w:rFonts w:ascii="Cambria Math" w:hAnsi="Cambria Math"/>
              </w:rPr>
              <m:rPr>
                <m:sty m:val="p"/>
              </m:rPr>
              <m:t>m</m:t>
            </m:r>
            <m:r>
              <w:rPr>
                <w:sz w:val="20"/>
                <w:rFonts w:ascii="Cambria Math" w:hAnsi="Cambria Math"/>
              </w:rPr>
              <m:rPr>
                <m:sty m:val="p"/>
              </m:rPr>
              <m:t>e</m:t>
            </m:r>
            <m:r>
              <w:rPr>
                <w:sz w:val="20"/>
                <w:rFonts w:ascii="Cambria Math" w:hAnsi="Cambria Math"/>
              </w:rPr>
              <m:rPr>
                <m:sty m:val="p"/>
              </m:rPr>
              <m:t>t</m:t>
            </m:r>
            <m:r>
              <w:rPr>
                <w:sz w:val="20"/>
                <w:rFonts w:ascii="Cambria Math" w:hAnsi="Cambria Math"/>
              </w:rPr>
              <m:rPr>
                <m:sty m:val="p"/>
              </m:rPr>
              <m:t>h</m:t>
            </m:r>
            <m:r>
              <w:rPr>
                <w:sz w:val="20"/>
                <w:rFonts w:ascii="Cambria Math" w:hAnsi="Cambria Math"/>
              </w:rPr>
              <m:rPr>
                <m:sty m:val="p"/>
              </m:rPr>
              <m:t>o</m:t>
            </m:r>
            <m:r>
              <w:rPr>
                <w:sz w:val="20"/>
                <w:rFonts w:ascii="Cambria Math" w:hAnsi="Cambria Math"/>
              </w:rPr>
              <m:rPr>
                <m:sty m:val="p"/>
              </m:rPr>
              <m:t>d</m:t>
            </m:r>
          </m:sub>
        </m:sSub>
        <m:r>
          <w:rPr>
            <w:sz w:val="20"/>
            <w:rFonts w:ascii="Cambria Math" w:hAnsi="Cambria Math"/>
          </w:rPr>
          <m:rPr>
            <m:sty m:val="p"/>
          </m:rPr>
          <m:t>=</m:t>
        </m:r>
        <m:sSup>
          <m:e>
            <m:r>
              <w:rPr>
                <w:sz w:val="20"/>
                <w:rFonts w:ascii="Cambria Math" w:hAnsi="Cambria Math"/>
              </w:rPr>
              <m:t>q</m:t>
            </m:r>
          </m:e>
          <m:sup>
            <m:r>
              <w:rPr>
                <w:sz w:val="20"/>
                <w:rFonts w:ascii="Cambria Math" w:hAnsi="Cambria Math"/>
              </w:rPr>
              <m:rPr>
                <m:sty m:val="p"/>
              </m:rPr>
              <m:t>N</m:t>
            </m:r>
            <m:r>
              <w:rPr>
                <w:sz w:val="20"/>
                <w:rFonts w:ascii="Cambria Math" w:hAnsi="Cambria Math"/>
              </w:rPr>
              <m:rPr>
                <m:sty m:val="p"/>
              </m:rPr>
              <m:t>E</m:t>
            </m:r>
            <m:r>
              <w:rPr>
                <w:sz w:val="20"/>
                <w:rFonts w:ascii="Cambria Math" w:hAnsi="Cambria Math"/>
              </w:rPr>
              <m:rPr>
                <m:sty m:val="p"/>
              </m:rPr>
              <m:t>B</m:t>
            </m:r>
          </m:sup>
        </m:sSup>
        <m:r>
          <w:rPr>
            <w:sz w:val="20"/>
            <w:rFonts w:ascii="Cambria Math" w:hAnsi="Cambria Math"/>
          </w:rPr>
          <m:rPr>
            <m:sty m:val="p"/>
          </m:rPr>
          <m:t>−</m:t>
        </m:r>
        <m:sSup>
          <m:e>
            <m:r>
              <w:rPr>
                <w:sz w:val="20"/>
                <w:rFonts w:ascii="Cambria Math" w:hAnsi="Cambria Math"/>
              </w:rPr>
              <m:t>q</m:t>
            </m:r>
          </m:e>
          <m:sup>
            <m:r>
              <w:rPr>
                <w:sz w:val="20"/>
                <w:rFonts w:ascii="Cambria Math" w:hAnsi="Cambria Math"/>
              </w:rPr>
              <m:rPr>
                <m:sty m:val="p"/>
              </m:rPr>
              <m:t>h</m:t>
            </m:r>
            <m:r>
              <w:rPr>
                <w:sz w:val="20"/>
                <w:rFonts w:ascii="Cambria Math" w:hAnsi="Cambria Math"/>
              </w:rPr>
              <m:rPr>
                <m:sty m:val="p"/>
              </m:rPr>
              <m:t>a</m:t>
            </m:r>
            <m:r>
              <w:rPr>
                <w:sz w:val="20"/>
                <w:rFonts w:ascii="Cambria Math" w:hAnsi="Cambria Math"/>
              </w:rPr>
              <m:rPr>
                <m:sty m:val="p"/>
              </m:rPr>
              <m:t>r</m:t>
            </m:r>
            <m:r>
              <w:rPr>
                <w:sz w:val="20"/>
                <w:rFonts w:ascii="Cambria Math" w:hAnsi="Cambria Math"/>
              </w:rPr>
              <m:rPr>
                <m:sty m:val="p"/>
              </m:rPr>
              <m:t>m</m:t>
            </m:r>
          </m:sup>
        </m:sSup>
      </m:oMath>
    </w:p>
    <w:p>
      <w:pPr>
        <w:keepNext/>
        <w:spacing w:after="60" w:before="20"/>
        <w:jc w:val="center"/>
      </w:pPr>
      <m:oMath>
        <m:sSup>
          <m:e>
            <m:r>
              <w:rPr>
                <w:sz w:val="20"/>
                <w:rFonts w:ascii="Cambria Math" w:hAnsi="Cambria Math"/>
              </w:rPr>
              <m:t>q</m:t>
            </m:r>
          </m:e>
          <m:sup>
            <m:r>
              <w:rPr>
                <w:sz w:val="20"/>
                <w:rFonts w:ascii="Cambria Math" w:hAnsi="Cambria Math"/>
              </w:rPr>
              <m:rPr>
                <m:sty m:val="p"/>
              </m:rPr>
              <m:t>N</m:t>
            </m:r>
            <m:r>
              <w:rPr>
                <w:sz w:val="20"/>
                <w:rFonts w:ascii="Cambria Math" w:hAnsi="Cambria Math"/>
              </w:rPr>
              <m:rPr>
                <m:sty m:val="p"/>
              </m:rPr>
              <m:t>E</m:t>
            </m:r>
            <m:r>
              <w:rPr>
                <w:sz w:val="20"/>
                <w:rFonts w:ascii="Cambria Math" w:hAnsi="Cambria Math"/>
              </w:rPr>
              <m:rPr>
                <m:sty m:val="p"/>
              </m:rPr>
              <m:t>B</m:t>
            </m:r>
          </m:sup>
        </m:sSup>
        <m:r>
          <w:rPr>
            <w:sz w:val="20"/>
            <w:rFonts w:ascii="Cambria Math" w:hAnsi="Cambria Math"/>
          </w:rPr>
          <m:rPr>
            <m:sty m:val="p"/>
          </m:rPr>
          <m:t>−</m:t>
        </m:r>
        <m:sSup>
          <m:e>
            <m:r>
              <w:rPr>
                <w:sz w:val="20"/>
                <w:rFonts w:ascii="Cambria Math" w:hAnsi="Cambria Math"/>
              </w:rPr>
              <m:t>q</m:t>
            </m:r>
          </m:e>
          <m:sup>
            <m:r>
              <w:rPr>
                <w:sz w:val="20"/>
                <w:rFonts w:ascii="Cambria Math" w:hAnsi="Cambria Math"/>
              </w:rPr>
              <m:rPr>
                <m:sty m:val="p"/>
              </m:rPr>
              <m:t>s</m:t>
            </m:r>
            <m:r>
              <w:rPr>
                <w:sz w:val="20"/>
                <w:rFonts w:ascii="Cambria Math" w:hAnsi="Cambria Math"/>
              </w:rPr>
              <m:rPr>
                <m:sty m:val="p"/>
              </m:rPr>
              <m:t>r</m:t>
            </m:r>
            <m:r>
              <w:rPr>
                <w:sz w:val="20"/>
                <w:rFonts w:ascii="Cambria Math" w:hAnsi="Cambria Math"/>
              </w:rPr>
              <m:rPr>
                <m:sty m:val="p"/>
              </m:rPr>
              <m:t>c</m:t>
            </m:r>
          </m:sup>
        </m:sSup>
        <m:r>
          <w:rPr>
            <w:sz w:val="20"/>
            <w:rFonts w:ascii="Cambria Math" w:hAnsi="Cambria Math"/>
          </w:rPr>
          <m:rPr>
            <m:sty m:val="p"/>
          </m:rPr>
          <m:t>=</m:t>
        </m:r>
        <m:r>
          <w:rPr>
            <w:sz w:val="20"/>
            <w:rFonts w:ascii="Cambria Math" w:hAnsi="Cambria Math"/>
          </w:rPr>
          <m:t>Δ</m:t>
        </m:r>
        <m:sSub>
          <m:e>
            <m:r>
              <w:rPr>
                <w:sz w:val="20"/>
                <w:rFonts w:ascii="Cambria Math" w:hAnsi="Cambria Math"/>
              </w:rPr>
              <m:t>q</m:t>
            </m:r>
          </m:e>
          <m:sub>
            <m:r>
              <w:rPr>
                <w:sz w:val="20"/>
                <w:rFonts w:ascii="Cambria Math" w:hAnsi="Cambria Math"/>
              </w:rPr>
              <m:rPr>
                <m:sty m:val="p"/>
              </m:rPr>
              <m:t>b</m:t>
            </m:r>
            <m:r>
              <w:rPr>
                <w:sz w:val="20"/>
                <w:rFonts w:ascii="Cambria Math" w:hAnsi="Cambria Math"/>
              </w:rPr>
              <m:rPr>
                <m:sty m:val="p"/>
              </m:rPr>
              <m:t>a</m:t>
            </m:r>
            <m:r>
              <w:rPr>
                <w:sz w:val="20"/>
                <w:rFonts w:ascii="Cambria Math" w:hAnsi="Cambria Math"/>
              </w:rPr>
              <m:rPr>
                <m:sty m:val="p"/>
              </m:rPr>
              <m:t>s</m:t>
            </m:r>
            <m:r>
              <w:rPr>
                <w:sz w:val="20"/>
                <w:rFonts w:ascii="Cambria Math" w:hAnsi="Cambria Math"/>
              </w:rPr>
              <m:rPr>
                <m:sty m:val="p"/>
              </m:rPr>
              <m:t>i</m:t>
            </m:r>
            <m:r>
              <w:rPr>
                <w:sz w:val="20"/>
                <w:rFonts w:ascii="Cambria Math" w:hAnsi="Cambria Math"/>
              </w:rPr>
              <m:rPr>
                <m:sty m:val="p"/>
              </m:rPr>
              <m:t>s</m:t>
            </m:r>
          </m:sub>
        </m:sSub>
        <m:r>
          <w:rPr>
            <w:sz w:val="20"/>
            <w:rFonts w:ascii="Cambria Math" w:hAnsi="Cambria Math"/>
          </w:rPr>
          <m:rPr>
            <m:sty m:val="p"/>
          </m:rPr>
          <m:t>+</m:t>
        </m:r>
        <m:r>
          <w:rPr>
            <w:sz w:val="20"/>
            <w:rFonts w:ascii="Cambria Math" w:hAnsi="Cambria Math"/>
          </w:rPr>
          <m:t>Δ</m:t>
        </m:r>
        <m:sSub>
          <m:e>
            <m:r>
              <w:rPr>
                <w:sz w:val="20"/>
                <w:rFonts w:ascii="Cambria Math" w:hAnsi="Cambria Math"/>
              </w:rPr>
              <m:t>q</m:t>
            </m:r>
          </m:e>
          <m:sub>
            <m:r>
              <w:rPr>
                <w:sz w:val="20"/>
                <w:rFonts w:ascii="Cambria Math" w:hAnsi="Cambria Math"/>
              </w:rPr>
              <m:rPr>
                <m:sty m:val="p"/>
              </m:rPr>
              <m:t>m</m:t>
            </m:r>
            <m:r>
              <w:rPr>
                <w:sz w:val="20"/>
                <w:rFonts w:ascii="Cambria Math" w:hAnsi="Cambria Math"/>
              </w:rPr>
              <m:rPr>
                <m:sty m:val="p"/>
              </m:rPr>
              <m:t>e</m:t>
            </m:r>
            <m:r>
              <w:rPr>
                <w:sz w:val="20"/>
                <w:rFonts w:ascii="Cambria Math" w:hAnsi="Cambria Math"/>
              </w:rPr>
              <m:rPr>
                <m:sty m:val="p"/>
              </m:rPr>
              <m:t>t</m:t>
            </m:r>
            <m:r>
              <w:rPr>
                <w:sz w:val="20"/>
                <w:rFonts w:ascii="Cambria Math" w:hAnsi="Cambria Math"/>
              </w:rPr>
              <m:rPr>
                <m:sty m:val="p"/>
              </m:rPr>
              <m:t>h</m:t>
            </m:r>
            <m:r>
              <w:rPr>
                <w:sz w:val="20"/>
                <w:rFonts w:ascii="Cambria Math" w:hAnsi="Cambria Math"/>
              </w:rPr>
              <m:rPr>
                <m:sty m:val="p"/>
              </m:rPr>
              <m:t>o</m:t>
            </m:r>
            <m:r>
              <w:rPr>
                <w:sz w:val="20"/>
                <w:rFonts w:ascii="Cambria Math" w:hAnsi="Cambria Math"/>
              </w:rPr>
              <m:rPr>
                <m:sty m:val="p"/>
              </m:rPr>
              <m:t>d</m:t>
            </m:r>
          </m:sub>
        </m:sSub>
      </m:oMath>
    </w:p>
    <w:p>
      <w:pPr>
        <w:keepNext/>
        <w:spacing w:after="60"/>
      </w:pPr>
      <w:r>
        <w:rPr>
          <w:rFonts w:ascii="Arial" w:hAnsi="Arial" w:eastAsia="Arial" w:cs="Arial"/>
          <w:b w:val="0"/>
          <w:color w:val="215F52"/>
          <w:sz w:val="17"/>
        </w:rPr>
        <w:t>src retains the original result; harm is the original method on the agreed comparable basis; NEB is the receiving-method result on that basis. This telescoping identity explains differences, not eligibility. Do not force the methodological difference to zero.</w:t>
      </w:r>
    </w:p>
    <w:p>
      <w:pPr>
        <w:keepNext/>
        <w:spacing w:after="80"/>
      </w:pPr>
      <w:r>
        <w:rPr>
          <w:rFonts w:ascii="Arial" w:hAnsi="Arial" w:eastAsia="Arial" w:cs="Arial"/>
          <w:b w:val="0"/>
          <w:color w:val="62716E"/>
          <w:sz w:val="16"/>
        </w:rPr>
        <w:t>Basis: MIG-05; P-13; reconciliation identity. Calculation location: Migration!E:K.</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Quantity / unit / original scope</w:t>
            </w:r>
          </w:p>
        </w:tc>
        <w:tc>
          <w:tcPr>
            <w:tcW w:type="dxa" w:w="3572"/>
            <w:vAlign w:val="center"/>
            <w:shd w:fill="F1F5F2"/>
          </w:tcPr>
          <w:p>
            <w:pPr>
              <w:keepNext/>
              <w:spacing w:after="20"/>
            </w:pPr>
            <w:r>
              <w:rPr>
                <w:rFonts w:ascii="Arial" w:hAnsi="Arial" w:eastAsia="Arial" w:cs="Arial"/>
                <w:b/>
                <w:color w:val="215F52"/>
                <w:sz w:val="17"/>
              </w:rPr>
              <w:t>Original, harmonized and receiving-method values</w:t>
            </w:r>
          </w:p>
        </w:tc>
        <w:tc>
          <w:tcPr>
            <w:tcW w:type="dxa" w:w="3390"/>
            <w:vAlign w:val="center"/>
            <w:shd w:fill="F1F5F2"/>
          </w:tcPr>
          <w:p>
            <w:pPr>
              <w:keepNext/>
              <w:spacing w:after="20"/>
            </w:pPr>
            <w:r>
              <w:rPr>
                <w:rFonts w:ascii="Arial" w:hAnsi="Arial" w:eastAsia="Arial" w:cs="Arial"/>
                <w:b/>
                <w:color w:val="215F52"/>
                <w:sz w:val="17"/>
              </w:rPr>
              <w:t>Basis change, method change and evidence</w:t>
            </w:r>
          </w:p>
        </w:tc>
      </w:tr>
      <w:tr>
        <w:trPr>
          <w:trHeight w:val="442" w:hRule="atLeast"/>
        </w:trPr>
        <w:tc>
          <w:tcPr>
            <w:tcW w:type="dxa" w:w="2778"/>
            <w:vAlign w:val="top"/>
          </w:tcPr>
          <w:p>
            <w:pPr>
              <w:keepNext w:val="0"/>
              <w:spacing w:after="20"/>
            </w:pPr>
            <w:sdt>
              <w:sdtPr>
                <w:id w:val="1389"/>
                <w:alias w:val="MR-23-T01-R1-C1"/>
                <w:tag w:val="MR-23-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390"/>
                <w:alias w:val="MR-23-T01-R1-C2"/>
                <w:tag w:val="MR-23-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391"/>
                <w:alias w:val="MR-23-T01-R1-C3"/>
                <w:tag w:val="MR-23-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92"/>
                <w:alias w:val="MR-23-T01-R2-C1"/>
                <w:tag w:val="MR-23-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393"/>
                <w:alias w:val="MR-23-T01-R2-C2"/>
                <w:tag w:val="MR-23-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394"/>
                <w:alias w:val="MR-23-T01-R2-C3"/>
                <w:tag w:val="MR-23-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395"/>
                <w:alias w:val="MR-23-T01-R3-C1"/>
                <w:tag w:val="MR-23-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396"/>
                <w:alias w:val="MR-23-T01-R3-C2"/>
                <w:tag w:val="MR-23-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397"/>
                <w:alias w:val="MR-23-T01-R3-C3"/>
                <w:tag w:val="MR-23-T01-R3-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color w:val="215F52"/>
          <w:sz w:val="20"/>
        </w:rPr>
        <w:t>MR-23-T02 / Prior claims and continuing obligations</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Outcome / period / program record</w:t>
            </w:r>
          </w:p>
        </w:tc>
        <w:tc>
          <w:tcPr>
            <w:tcW w:type="dxa" w:w="3572"/>
            <w:vAlign w:val="center"/>
            <w:shd w:fill="F1F5F2"/>
          </w:tcPr>
          <w:p>
            <w:pPr>
              <w:keepNext/>
              <w:spacing w:after="20"/>
            </w:pPr>
            <w:r>
              <w:rPr>
                <w:rFonts w:ascii="Arial" w:hAnsi="Arial" w:eastAsia="Arial" w:cs="Arial"/>
                <w:b/>
                <w:color w:val="215F52"/>
                <w:sz w:val="17"/>
              </w:rPr>
              <w:t>Other external carbon units and original status</w:t>
            </w:r>
          </w:p>
        </w:tc>
        <w:tc>
          <w:tcPr>
            <w:tcW w:type="dxa" w:w="3390"/>
            <w:vAlign w:val="center"/>
            <w:shd w:fill="F1F5F2"/>
          </w:tcPr>
          <w:p>
            <w:pPr>
              <w:keepNext/>
              <w:spacing w:after="20"/>
            </w:pPr>
            <w:r>
              <w:rPr>
                <w:rFonts w:ascii="Arial" w:hAnsi="Arial" w:eastAsia="Arial" w:cs="Arial"/>
                <w:b/>
                <w:color w:val="215F52"/>
                <w:sz w:val="17"/>
              </w:rPr>
              <w:t>Overlap, remaining liability and receiving disposition</w:t>
            </w:r>
          </w:p>
        </w:tc>
      </w:tr>
      <w:tr>
        <w:trPr>
          <w:trHeight w:val="442" w:hRule="atLeast"/>
        </w:trPr>
        <w:tc>
          <w:tcPr>
            <w:tcW w:type="dxa" w:w="2778"/>
            <w:vAlign w:val="top"/>
          </w:tcPr>
          <w:p>
            <w:pPr>
              <w:keepNext w:val="0"/>
              <w:spacing w:after="20"/>
            </w:pPr>
            <w:sdt>
              <w:sdtPr>
                <w:id w:val="1398"/>
                <w:alias w:val="MR-23-T02-R1-C1"/>
                <w:tag w:val="MR-23-T02-R1-C1"/>
                <w:text w:multiLine="1"/>
              </w:sdtPr>
              <w:sdtContent>
                <w:r>
                  <w:rPr>
                    <w:rFonts w:ascii="Arial" w:hAnsi="Arial"/>
                    <w:color w:val="62716E"/>
                    <w:sz w:val="18"/>
                  </w:rPr>
                  <w:t>[Complete]</w:t>
                </w:r>
              </w:sdtContent>
            </w:sdt>
          </w:p>
        </w:tc>
        <w:tc>
          <w:tcPr>
            <w:tcW w:type="dxa" w:w="3572"/>
            <w:vAlign w:val="top"/>
          </w:tcPr>
          <w:p>
            <w:pPr>
              <w:keepNext w:val="0"/>
              <w:spacing w:after="20"/>
            </w:pPr>
            <w:sdt>
              <w:sdtPr>
                <w:id w:val="1399"/>
                <w:alias w:val="MR-23-T02-R1-C2"/>
                <w:tag w:val="MR-23-T02-R1-C2"/>
                <w:text w:multiLine="1"/>
              </w:sdtPr>
              <w:sdtContent>
                <w:r>
                  <w:rPr>
                    <w:rFonts w:ascii="Arial" w:hAnsi="Arial"/>
                    <w:color w:val="62716E"/>
                    <w:sz w:val="18"/>
                  </w:rPr>
                  <w:t>[Complete]</w:t>
                </w:r>
              </w:sdtContent>
            </w:sdt>
          </w:p>
        </w:tc>
        <w:tc>
          <w:tcPr>
            <w:tcW w:type="dxa" w:w="3390"/>
            <w:vAlign w:val="top"/>
          </w:tcPr>
          <w:p>
            <w:pPr>
              <w:keepNext w:val="0"/>
              <w:spacing w:after="20"/>
            </w:pPr>
            <w:sdt>
              <w:sdtPr>
                <w:id w:val="1400"/>
                <w:alias w:val="MR-23-T02-R1-C3"/>
                <w:tag w:val="MR-23-T02-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401"/>
                <w:alias w:val="MR-23-T02-R2-C1"/>
                <w:tag w:val="MR-23-T02-R2-C1"/>
                <w:text w:multiLine="1"/>
              </w:sdtPr>
              <w:sdtContent>
                <w:r>
                  <w:rPr>
                    <w:rFonts w:ascii="Arial" w:hAnsi="Arial"/>
                    <w:color w:val="62716E"/>
                    <w:sz w:val="18"/>
                  </w:rPr>
                  <w:t>[Complete]</w:t>
                </w:r>
              </w:sdtContent>
            </w:sdt>
          </w:p>
        </w:tc>
        <w:tc>
          <w:tcPr>
            <w:tcW w:type="dxa" w:w="3572"/>
            <w:vAlign w:val="top"/>
          </w:tcPr>
          <w:p>
            <w:pPr>
              <w:keepNext w:val="0"/>
              <w:spacing w:after="20"/>
            </w:pPr>
            <w:sdt>
              <w:sdtPr>
                <w:id w:val="1402"/>
                <w:alias w:val="MR-23-T02-R2-C2"/>
                <w:tag w:val="MR-23-T02-R2-C2"/>
                <w:text w:multiLine="1"/>
              </w:sdtPr>
              <w:sdtContent>
                <w:r>
                  <w:rPr>
                    <w:rFonts w:ascii="Arial" w:hAnsi="Arial"/>
                    <w:color w:val="62716E"/>
                    <w:sz w:val="18"/>
                  </w:rPr>
                  <w:t>[Complete]</w:t>
                </w:r>
              </w:sdtContent>
            </w:sdt>
          </w:p>
        </w:tc>
        <w:tc>
          <w:tcPr>
            <w:tcW w:type="dxa" w:w="3390"/>
            <w:vAlign w:val="top"/>
          </w:tcPr>
          <w:p>
            <w:pPr>
              <w:keepNext w:val="0"/>
              <w:spacing w:after="20"/>
            </w:pPr>
            <w:sdt>
              <w:sdtPr>
                <w:id w:val="1403"/>
                <w:alias w:val="MR-23-T02-R2-C3"/>
                <w:tag w:val="MR-23-T02-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404"/>
                <w:alias w:val="MR-23-T02-R3-C1"/>
                <w:tag w:val="MR-23-T02-R3-C1"/>
                <w:text w:multiLine="1"/>
              </w:sdtPr>
              <w:sdtContent>
                <w:r>
                  <w:rPr>
                    <w:rFonts w:ascii="Arial" w:hAnsi="Arial"/>
                    <w:color w:val="62716E"/>
                    <w:sz w:val="18"/>
                  </w:rPr>
                  <w:t>[Complete]</w:t>
                </w:r>
              </w:sdtContent>
            </w:sdt>
          </w:p>
        </w:tc>
        <w:tc>
          <w:tcPr>
            <w:tcW w:type="dxa" w:w="3572"/>
            <w:vAlign w:val="top"/>
          </w:tcPr>
          <w:p>
            <w:pPr>
              <w:keepNext w:val="0"/>
              <w:spacing w:after="20"/>
            </w:pPr>
            <w:sdt>
              <w:sdtPr>
                <w:id w:val="1405"/>
                <w:alias w:val="MR-23-T02-R3-C2"/>
                <w:tag w:val="MR-23-T02-R3-C2"/>
                <w:text w:multiLine="1"/>
              </w:sdtPr>
              <w:sdtContent>
                <w:r>
                  <w:rPr>
                    <w:rFonts w:ascii="Arial" w:hAnsi="Arial"/>
                    <w:color w:val="62716E"/>
                    <w:sz w:val="18"/>
                  </w:rPr>
                  <w:t>[Complete]</w:t>
                </w:r>
              </w:sdtContent>
            </w:sdt>
          </w:p>
        </w:tc>
        <w:tc>
          <w:tcPr>
            <w:tcW w:type="dxa" w:w="3390"/>
            <w:vAlign w:val="top"/>
          </w:tcPr>
          <w:p>
            <w:pPr>
              <w:keepNext w:val="0"/>
              <w:spacing w:after="20"/>
            </w:pPr>
            <w:sdt>
              <w:sdtPr>
                <w:id w:val="1406"/>
                <w:alias w:val="MR-23-T02-R3-C3"/>
                <w:tag w:val="MR-23-T02-R3-C3"/>
                <w:text w:multiLine="1"/>
              </w:sdtPr>
              <w:sdtContent>
                <w:r>
                  <w:rPr>
                    <w:rFonts w:ascii="Arial" w:hAnsi="Arial"/>
                    <w:color w:val="62716E"/>
                    <w:sz w:val="18"/>
                  </w:rPr>
                  <w:t>[Complete]</w:t>
                </w:r>
              </w:sdtContent>
            </w:sdt>
          </w:p>
        </w:tc>
      </w:tr>
    </w:tbl>
    <w:p>
      <w:pPr>
        <w:spacing w:after="20" w:before="0" w:line="40" w:lineRule="exact"/>
      </w:pPr>
      <w:r>
        <w:rPr>
          <w:sz w:val="4"/>
        </w:rPr>
      </w:r>
    </w:p>
    <w:p>
      <w:pPr>
        <w:spacing w:after="100"/>
      </w:pPr>
      <w:r>
        <w:rPr>
          <w:rFonts w:ascii="Arial" w:hAnsi="Arial" w:eastAsia="Arial" w:cs="Arial"/>
          <w:b w:val="0"/>
          <w:color w:val="243A36"/>
          <w:sz w:val="19"/>
        </w:rPr>
        <w:t>Cancellation alone does not authorize replacement issuance. Retaining a qualified historical map is not a waiver of evidence or uniqueness. Use the same underlying result only once.</w:t>
      </w:r>
    </w:p>
    <w:p>
      <w:bookmarkStart w:id="557" w:name="MR_24"/>
      <w:pPr>
        <w:pStyle w:val="Heading1"/>
        <w:keepNext/>
        <w:pageBreakBefore/>
      </w:pPr>
      <w:r>
        <w:rPr>
          <w:rFonts w:ascii="Arial" w:hAnsi="Arial" w:eastAsia="Arial" w:cs="Arial"/>
          <w:b w:val="0"/>
          <w:color w:val="215F52"/>
          <w:sz w:val="38"/>
        </w:rPr>
        <w:t>24  NVEU request and claim boundaries</w:t>
      </w:r>
      <w:bookmarkEnd w:id="557"/>
    </w:p>
    <w:p>
      <w:pPr>
        <w:keepNext/>
        <w:spacing w:after="100"/>
      </w:pPr>
      <w:r>
        <w:rPr>
          <w:rFonts w:ascii="Arial" w:hAnsi="Arial" w:eastAsia="Arial" w:cs="Arial"/>
          <w:b w:val="0"/>
          <w:color w:val="62716E"/>
          <w:sz w:val="16"/>
        </w:rPr>
        <w:t>[1] U-01; U-02; U-03; U-05; U-07; F-R04; P-09; P-11; FRM-06</w:t>
      </w:r>
    </w:p>
    <w:p>
      <w:pPr>
        <w:spacing w:after="100"/>
      </w:pPr>
      <w:r>
        <w:rPr>
          <w:rFonts w:ascii="Arial" w:hAnsi="Arial" w:eastAsia="Arial" w:cs="Arial"/>
          <w:b w:val="0"/>
          <w:color w:val="243A36"/>
          <w:sz w:val="19"/>
        </w:rPr>
        <w:t>Identify whether the submission requests only assessment of environmental results or also a later NVEU decision. State the specific category, denomination, precision, permitted claim and governing approval where these exist. Leave an unapproved category pending and report physical quantities instead.</w:t>
      </w:r>
    </w:p>
    <w:p>
      <w:pPr>
        <w:keepNext/>
        <w:spacing w:after="100"/>
      </w:pPr>
      <w:r>
        <w:rPr>
          <w:rFonts w:ascii="Arial" w:hAnsi="Arial" w:eastAsia="Arial" w:cs="Arial"/>
          <w:b/>
          <w:color w:val="215F52"/>
          <w:sz w:val="20"/>
        </w:rPr>
        <w:t>MR-24-T01 / Conditional category calculation</w:t>
      </w:r>
    </w:p>
    <w:p>
      <w:pPr>
        <w:keepNext/>
        <w:spacing w:after="100"/>
      </w:pPr>
      <w:r>
        <w:rPr>
          <w:rFonts w:ascii="Arial" w:hAnsi="Arial" w:eastAsia="Arial" w:cs="Arial"/>
          <w:b/>
          <w:color w:val="215F52"/>
          <w:sz w:val="17"/>
        </w:rPr>
        <w:t>MR-24-T01 / Calculation notation</w:t>
      </w:r>
    </w:p>
    <w:p>
      <w:pPr>
        <w:keepNext/>
        <w:spacing w:after="60" w:before="20"/>
        <w:jc w:val="center"/>
      </w:pPr>
      <m:oMath>
        <m:sSubSup>
          <m:e>
            <m:r>
              <w:rPr>
                <w:sz w:val="20"/>
                <w:rFonts w:ascii="Cambria Math" w:hAnsi="Cambria Math"/>
              </w:rPr>
              <m:t>n</m:t>
            </m:r>
          </m:e>
          <m:sub>
            <m:r>
              <w:rPr>
                <w:sz w:val="20"/>
                <w:rFonts w:ascii="Cambria Math" w:hAnsi="Cambria Math"/>
              </w:rPr>
              <m:t>t</m:t>
            </m:r>
          </m:sub>
          <m:sup>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n</m:t>
            </m:r>
            <m:r>
              <w:rPr>
                <w:sz w:val="20"/>
                <w:rFonts w:ascii="Cambria Math" w:hAnsi="Cambria Math"/>
              </w:rPr>
              <m:rPr>
                <m:sty m:val="p"/>
              </m:rPr>
              <m:t>d</m:t>
            </m:r>
            <m:r>
              <w:rPr>
                <w:sz w:val="20"/>
                <w:rFonts w:ascii="Cambria Math" w:hAnsi="Cambria Math"/>
              </w:rPr>
              <m:rPr>
                <m:sty m:val="p"/>
              </m:rPr>
              <m:t>i</m:t>
            </m:r>
            <m:r>
              <w:rPr>
                <w:sz w:val="20"/>
                <w:rFonts w:ascii="Cambria Math" w:hAnsi="Cambria Math"/>
              </w:rPr>
              <m:rPr>
                <m:sty m:val="p"/>
              </m:rPr>
              <m:t>d</m:t>
            </m:r>
            <m:r>
              <w:rPr>
                <w:sz w:val="20"/>
                <w:rFonts w:ascii="Cambria Math" w:hAnsi="Cambria Math"/>
              </w:rPr>
              <m:rPr>
                <m:sty m:val="p"/>
              </m:rPr>
              <m:t>a</m:t>
            </m:r>
            <m:r>
              <w:rPr>
                <w:sz w:val="20"/>
                <w:rFonts w:ascii="Cambria Math" w:hAnsi="Cambria Math"/>
              </w:rPr>
              <m:rPr>
                <m:sty m:val="p"/>
              </m:rPr>
              <m:t>t</m:t>
            </m:r>
            <m:r>
              <w:rPr>
                <w:sz w:val="20"/>
                <w:rFonts w:ascii="Cambria Math" w:hAnsi="Cambria Math"/>
              </w:rPr>
              <m:rPr>
                <m:sty m:val="p"/>
              </m:rPr>
              <m:t>e</m:t>
            </m:r>
          </m:sup>
        </m:sSubSup>
        <m:r>
          <w:rPr>
            <w:sz w:val="20"/>
            <w:rFonts w:ascii="Cambria Math" w:hAnsi="Cambria Math"/>
          </w:rPr>
          <m:rPr>
            <m:sty m:val="p"/>
          </m:rPr>
          <m:t>=</m:t>
        </m:r>
        <m:f>
          <m:fPr>
            <m:type m:val="bar"/>
          </m:fPr>
          <m:num>
            <m:sSubSup>
              <m:e>
                <m:r>
                  <w:rPr>
                    <w:sz w:val="20"/>
                    <w:rFonts w:ascii="Cambria Math" w:hAnsi="Cambria Math"/>
                  </w:rPr>
                  <m:t>J</m:t>
                </m:r>
              </m:e>
              <m:sub>
                <m:r>
                  <w:rPr>
                    <w:sz w:val="20"/>
                    <w:rFonts w:ascii="Cambria Math" w:hAnsi="Cambria Math"/>
                  </w:rPr>
                  <m:t>t</m:t>
                </m:r>
              </m:sub>
              <m:sup>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n</m:t>
                </m:r>
                <m:r>
                  <w:rPr>
                    <w:sz w:val="20"/>
                    <w:rFonts w:ascii="Cambria Math" w:hAnsi="Cambria Math"/>
                  </w:rPr>
                  <m:rPr>
                    <m:sty m:val="p"/>
                  </m:rPr>
                  <m:t>d</m:t>
                </m:r>
              </m:sup>
            </m:sSubSup>
          </m:num>
          <m:den>
            <m:sSub>
              <m:e>
                <m:r>
                  <w:rPr>
                    <w:sz w:val="20"/>
                    <w:rFonts w:ascii="Cambria Math" w:hAnsi="Cambria Math"/>
                  </w:rPr>
                  <m:t>d</m:t>
                </m:r>
              </m:e>
              <m:sub>
                <m:r>
                  <w:rPr>
                    <w:sz w:val="20"/>
                    <w:rFonts w:ascii="Cambria Math" w:hAnsi="Cambria Math"/>
                  </w:rPr>
                  <m:t>u</m:t>
                </m:r>
              </m:sub>
            </m:sSub>
          </m:den>
        </m:f>
        <m:r>
          <w:rPr>
            <w:sz w:val="20"/>
            <w:rFonts w:ascii="Cambria Math" w:hAnsi="Cambria Math"/>
          </w:rPr>
          <m:rPr>
            <m:sty m:val="p"/>
          </m:rPr>
          <m:t>,</m:t>
        </m:r>
        <m:r>
          <w:rPr>
            <w:sz w:val="20"/>
            <w:rFonts w:ascii="Cambria Math" w:hAnsi="Cambria Math"/>
          </w:rPr>
          <m:t>  </m:t>
        </m:r>
        <m:sSub>
          <m:e>
            <m:r>
              <w:rPr>
                <w:sz w:val="20"/>
                <w:rFonts w:ascii="Cambria Math" w:hAnsi="Cambria Math"/>
              </w:rPr>
              <m:t>d</m:t>
            </m:r>
          </m:e>
          <m:sub>
            <m:r>
              <w:rPr>
                <w:sz w:val="20"/>
                <w:rFonts w:ascii="Cambria Math" w:hAnsi="Cambria Math"/>
              </w:rPr>
              <m:t>u</m:t>
            </m:r>
          </m:sub>
        </m:sSub>
        <m:r>
          <w:rPr>
            <w:sz w:val="20"/>
            <w:rFonts w:ascii="Cambria Math" w:hAnsi="Cambria Math"/>
          </w:rPr>
          <m:rPr>
            <m:sty m:val="p"/>
          </m:rPr>
          <m:t>&gt;</m:t>
        </m:r>
        <m:r>
          <w:rPr>
            <w:sz w:val="20"/>
            <w:rFonts w:ascii="Cambria Math" w:hAnsi="Cambria Math"/>
          </w:rPr>
          <m:t>0</m:t>
        </m:r>
        <m:r>
          <w:rPr>
            <w:sz w:val="20"/>
            <w:rFonts w:ascii="Cambria Math" w:hAnsi="Cambria Math"/>
          </w:rPr>
          <m:rPr>
            <m:sty m:val="p"/>
          </m:rPr>
          <m:t>,</m:t>
        </m:r>
        <m:r>
          <w:rPr>
            <w:sz w:val="20"/>
            <w:rFonts w:ascii="Cambria Math" w:hAnsi="Cambria Math"/>
          </w:rPr>
          <m:t> </m:t>
        </m:r>
        <m:sSubSup>
          <m:e>
            <m:r>
              <w:rPr>
                <w:sz w:val="20"/>
                <w:rFonts w:ascii="Cambria Math" w:hAnsi="Cambria Math"/>
              </w:rPr>
              <m:t>J</m:t>
            </m:r>
          </m:e>
          <m:sub>
            <m:r>
              <w:rPr>
                <w:sz w:val="20"/>
                <w:rFonts w:ascii="Cambria Math" w:hAnsi="Cambria Math"/>
              </w:rPr>
              <m:t>t</m:t>
            </m:r>
          </m:sub>
          <m:sup>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n</m:t>
            </m:r>
            <m:r>
              <w:rPr>
                <w:sz w:val="20"/>
                <w:rFonts w:ascii="Cambria Math" w:hAnsi="Cambria Math"/>
              </w:rPr>
              <m:rPr>
                <m:sty m:val="p"/>
              </m:rPr>
              <m:t>d</m:t>
            </m:r>
          </m:sup>
        </m:sSubSup>
        <m:r>
          <w:rPr>
            <w:sz w:val="20"/>
            <w:rFonts w:ascii="Cambria Math" w:hAnsi="Cambria Math"/>
          </w:rPr>
          <m:rPr>
            <m:sty m:val="p"/>
          </m:rPr>
          <m:t>≥</m:t>
        </m:r>
        <m:r>
          <w:rPr>
            <w:sz w:val="20"/>
            <w:rFonts w:ascii="Cambria Math" w:hAnsi="Cambria Math"/>
          </w:rPr>
          <m:t>0</m:t>
        </m:r>
      </m:oMath>
    </w:p>
    <w:p>
      <w:pPr>
        <w:keepNext/>
        <w:spacing w:after="60"/>
      </w:pPr>
      <w:r>
        <w:rPr>
          <w:rFonts w:ascii="Arial" w:hAnsi="Arial" w:eastAsia="Arial" w:cs="Arial"/>
          <w:b w:val="0"/>
          <w:color w:val="215F52"/>
          <w:sz w:val="17"/>
        </w:rPr>
        <w:t>d_u is t CO2e per NVEU of the specified category. The quotient is a candidate count, not issuance or an equivalence with other external carbon units. No value for d_u or whole-unit rule is assumed. Missing category authorization blocks the unit count.</w:t>
      </w:r>
    </w:p>
    <w:p>
      <w:pPr>
        <w:keepNext/>
        <w:spacing w:after="80"/>
      </w:pPr>
      <w:r>
        <w:rPr>
          <w:rFonts w:ascii="Arial" w:hAnsi="Arial" w:eastAsia="Arial" w:cs="Arial"/>
          <w:b w:val="0"/>
          <w:color w:val="62716E"/>
          <w:sz w:val="16"/>
        </w:rPr>
        <w:t>Basis: F-R04; U-01. Calculation location: Results!F:H; Profile!B7:B10.</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Category / period / support</w:t>
            </w:r>
          </w:p>
        </w:tc>
        <w:tc>
          <w:tcPr>
            <w:tcW w:type="dxa" w:w="3572"/>
            <w:vAlign w:val="center"/>
            <w:shd w:fill="F1F5F2"/>
          </w:tcPr>
          <w:p>
            <w:pPr>
              <w:keepNext/>
              <w:spacing w:after="20"/>
            </w:pPr>
            <w:r>
              <w:rPr>
                <w:rFonts w:ascii="Arial" w:hAnsi="Arial" w:eastAsia="Arial" w:cs="Arial"/>
                <w:b/>
                <w:color w:val="215F52"/>
                <w:sz w:val="17"/>
              </w:rPr>
              <w:t>Candidate mass, denomination and NVEU count</w:t>
            </w:r>
          </w:p>
        </w:tc>
        <w:tc>
          <w:tcPr>
            <w:tcW w:type="dxa" w:w="3390"/>
            <w:vAlign w:val="center"/>
            <w:shd w:fill="F1F5F2"/>
          </w:tcPr>
          <w:p>
            <w:pPr>
              <w:keepNext/>
              <w:spacing w:after="20"/>
            </w:pPr>
            <w:r>
              <w:rPr>
                <w:rFonts w:ascii="Arial" w:hAnsi="Arial" w:eastAsia="Arial" w:cs="Arial"/>
                <w:b/>
                <w:color w:val="215F52"/>
                <w:sz w:val="17"/>
              </w:rPr>
              <w:t>Approval, rounding/residual rule and exact cell</w:t>
            </w:r>
          </w:p>
        </w:tc>
      </w:tr>
      <w:tr>
        <w:trPr>
          <w:trHeight w:val="442" w:hRule="atLeast"/>
        </w:trPr>
        <w:tc>
          <w:tcPr>
            <w:tcW w:type="dxa" w:w="2778"/>
            <w:vAlign w:val="top"/>
          </w:tcPr>
          <w:p>
            <w:pPr>
              <w:keepNext w:val="0"/>
              <w:spacing w:after="20"/>
            </w:pPr>
            <w:sdt>
              <w:sdtPr>
                <w:id w:val="1407"/>
                <w:alias w:val="MR-24-T01-R1-C1"/>
                <w:tag w:val="MR-24-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408"/>
                <w:alias w:val="MR-24-T01-R1-C2"/>
                <w:tag w:val="MR-24-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409"/>
                <w:alias w:val="MR-24-T01-R1-C3"/>
                <w:tag w:val="MR-24-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410"/>
                <w:alias w:val="MR-24-T01-R2-C1"/>
                <w:tag w:val="MR-24-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411"/>
                <w:alias w:val="MR-24-T01-R2-C2"/>
                <w:tag w:val="MR-24-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412"/>
                <w:alias w:val="MR-24-T01-R2-C3"/>
                <w:tag w:val="MR-24-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413"/>
                <w:alias w:val="MR-24-T01-R3-C1"/>
                <w:tag w:val="MR-24-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414"/>
                <w:alias w:val="MR-24-T01-R3-C2"/>
                <w:tag w:val="MR-24-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415"/>
                <w:alias w:val="MR-24-T01-R3-C3"/>
                <w:tag w:val="MR-24-T01-R3-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color w:val="215F52"/>
          <w:sz w:val="20"/>
        </w:rPr>
        <w:t>MR-24-T02 / Reported, verified and authorized status</w:t>
      </w:r>
    </w:p>
    <w:p>
      <w:pPr>
        <w:keepNext/>
        <w:spacing w:after="100"/>
      </w:pPr>
      <w:r>
        <w:rPr>
          <w:rFonts w:ascii="Arial" w:hAnsi="Arial" w:eastAsia="Arial" w:cs="Arial"/>
          <w:b/>
          <w:color w:val="215F52"/>
          <w:sz w:val="17"/>
        </w:rPr>
        <w:t>MR-24-T02 / Calculation notation</w:t>
      </w:r>
    </w:p>
    <w:p>
      <w:pPr>
        <w:keepNext/>
        <w:spacing w:after="60" w:before="20"/>
        <w:jc w:val="center"/>
      </w:pPr>
      <m:oMath>
        <m:sSub>
          <m:e>
            <m:r>
              <w:rPr>
                <w:sz w:val="20"/>
                <w:rFonts w:ascii="Cambria Math" w:hAnsi="Cambria Math"/>
              </w:rPr>
              <m:t>x</m:t>
            </m:r>
          </m:e>
          <m:sub>
            <m:r>
              <w:rPr>
                <w:sz w:val="20"/>
                <w:rFonts w:ascii="Cambria Math" w:hAnsi="Cambria Math"/>
              </w:rPr>
              <m:rPr>
                <m:sty m:val="p"/>
              </m:rPr>
              <m:t>ℓ</m:t>
            </m:r>
          </m:sub>
        </m:sSub>
        <m:r>
          <w:rPr>
            <w:sz w:val="20"/>
            <w:rFonts w:ascii="Cambria Math" w:hAnsi="Cambria Math"/>
          </w:rPr>
          <m:t> </m:t>
        </m:r>
        <m:d>
          <m:dPr>
            <m:begChr m:val="["/>
            <m:endChr m:val="]"/>
            <m:sepChr m:val=""/>
            <m:grow/>
          </m:dPr>
          <m:e>
            <m:sSub>
              <m:e>
                <m:r>
                  <w:rPr>
                    <w:sz w:val="20"/>
                    <w:rFonts w:ascii="Cambria Math" w:hAnsi="Cambria Math"/>
                  </w:rPr>
                  <m:t>u</m:t>
                </m:r>
              </m:e>
              <m:sub>
                <m:r>
                  <w:rPr>
                    <w:sz w:val="20"/>
                    <w:rFonts w:ascii="Cambria Math" w:hAnsi="Cambria Math"/>
                  </w:rPr>
                  <m:rPr>
                    <m:sty m:val="p"/>
                  </m:rPr>
                  <m:t>ℓ</m:t>
                </m:r>
              </m:sub>
            </m:sSub>
          </m:e>
        </m:d>
      </m:oMath>
    </w:p>
    <w:p>
      <w:pPr>
        <w:keepNext/>
        <w:spacing w:after="60"/>
      </w:pPr>
      <w:r>
        <w:rPr>
          <w:rFonts w:ascii="Arial" w:hAnsi="Arial" w:eastAsia="Arial" w:cs="Arial"/>
          <w:b w:val="0"/>
          <w:color w:val="215F52"/>
          <w:sz w:val="17"/>
        </w:rPr>
        <w:t>x_l is the identified observation, input, or output; u_l is its declared unit. Record the exact equation and source file, worksheet, cell/range, period, and status. This notation does not prescribe an estimator.</w:t>
      </w:r>
    </w:p>
    <w:p>
      <w:pPr>
        <w:keepNext/>
        <w:spacing w:after="80"/>
      </w:pPr>
      <w:r>
        <w:rPr>
          <w:rFonts w:ascii="Arial" w:hAnsi="Arial" w:eastAsia="Arial" w:cs="Arial"/>
          <w:b w:val="0"/>
          <w:color w:val="62716E"/>
          <w:sz w:val="16"/>
        </w:rPr>
        <w:t>Basis: F-01; T-01. Calculation location: Evidence!A:J; Components!F:L.</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Same category / quantity / unit</w:t>
            </w:r>
          </w:p>
        </w:tc>
        <w:tc>
          <w:tcPr>
            <w:tcW w:type="dxa" w:w="3572"/>
            <w:vAlign w:val="center"/>
            <w:shd w:fill="F1F5F2"/>
          </w:tcPr>
          <w:p>
            <w:pPr>
              <w:keepNext/>
              <w:spacing w:after="20"/>
            </w:pPr>
            <w:r>
              <w:rPr>
                <w:rFonts w:ascii="Arial" w:hAnsi="Arial" w:eastAsia="Arial" w:cs="Arial"/>
                <w:b/>
                <w:color w:val="215F52"/>
                <w:sz w:val="17"/>
              </w:rPr>
              <w:t>Reported / independently verified / authorized amounts</w:t>
            </w:r>
          </w:p>
        </w:tc>
        <w:tc>
          <w:tcPr>
            <w:tcW w:type="dxa" w:w="3390"/>
            <w:vAlign w:val="center"/>
            <w:shd w:fill="F1F5F2"/>
          </w:tcPr>
          <w:p>
            <w:pPr>
              <w:keepNext/>
              <w:spacing w:after="20"/>
            </w:pPr>
            <w:r>
              <w:rPr>
                <w:rFonts w:ascii="Arial" w:hAnsi="Arial" w:eastAsia="Arial" w:cs="Arial"/>
                <w:b/>
                <w:color w:val="215F52"/>
                <w:sz w:val="17"/>
              </w:rPr>
              <w:t>Opinion, decision and status-history reference</w:t>
            </w:r>
          </w:p>
        </w:tc>
      </w:tr>
      <w:tr>
        <w:trPr>
          <w:trHeight w:val="442" w:hRule="atLeast"/>
        </w:trPr>
        <w:tc>
          <w:tcPr>
            <w:tcW w:type="dxa" w:w="2778"/>
            <w:vAlign w:val="top"/>
          </w:tcPr>
          <w:p>
            <w:pPr>
              <w:keepNext w:val="0"/>
              <w:spacing w:after="20"/>
            </w:pPr>
            <w:sdt>
              <w:sdtPr>
                <w:id w:val="1416"/>
                <w:alias w:val="MR-24-T02-R1-C1"/>
                <w:tag w:val="MR-24-T02-R1-C1"/>
                <w:text w:multiLine="1"/>
              </w:sdtPr>
              <w:sdtContent>
                <w:r>
                  <w:rPr>
                    <w:rFonts w:ascii="Arial" w:hAnsi="Arial"/>
                    <w:color w:val="62716E"/>
                    <w:sz w:val="18"/>
                  </w:rPr>
                  <w:t>[Complete]</w:t>
                </w:r>
              </w:sdtContent>
            </w:sdt>
          </w:p>
        </w:tc>
        <w:tc>
          <w:tcPr>
            <w:tcW w:type="dxa" w:w="3572"/>
            <w:vAlign w:val="top"/>
          </w:tcPr>
          <w:p>
            <w:pPr>
              <w:keepNext w:val="0"/>
              <w:spacing w:after="20"/>
            </w:pPr>
            <w:sdt>
              <w:sdtPr>
                <w:id w:val="1417"/>
                <w:alias w:val="MR-24-T02-R1-C2"/>
                <w:tag w:val="MR-24-T02-R1-C2"/>
                <w:text w:multiLine="1"/>
              </w:sdtPr>
              <w:sdtContent>
                <w:r>
                  <w:rPr>
                    <w:rFonts w:ascii="Arial" w:hAnsi="Arial"/>
                    <w:color w:val="62716E"/>
                    <w:sz w:val="18"/>
                  </w:rPr>
                  <w:t>[Complete]</w:t>
                </w:r>
              </w:sdtContent>
            </w:sdt>
          </w:p>
        </w:tc>
        <w:tc>
          <w:tcPr>
            <w:tcW w:type="dxa" w:w="3390"/>
            <w:vAlign w:val="top"/>
          </w:tcPr>
          <w:p>
            <w:pPr>
              <w:keepNext w:val="0"/>
              <w:spacing w:after="20"/>
            </w:pPr>
            <w:sdt>
              <w:sdtPr>
                <w:id w:val="1418"/>
                <w:alias w:val="MR-24-T02-R1-C3"/>
                <w:tag w:val="MR-24-T02-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419"/>
                <w:alias w:val="MR-24-T02-R2-C1"/>
                <w:tag w:val="MR-24-T02-R2-C1"/>
                <w:text w:multiLine="1"/>
              </w:sdtPr>
              <w:sdtContent>
                <w:r>
                  <w:rPr>
                    <w:rFonts w:ascii="Arial" w:hAnsi="Arial"/>
                    <w:color w:val="62716E"/>
                    <w:sz w:val="18"/>
                  </w:rPr>
                  <w:t>[Complete]</w:t>
                </w:r>
              </w:sdtContent>
            </w:sdt>
          </w:p>
        </w:tc>
        <w:tc>
          <w:tcPr>
            <w:tcW w:type="dxa" w:w="3572"/>
            <w:vAlign w:val="top"/>
          </w:tcPr>
          <w:p>
            <w:pPr>
              <w:keepNext w:val="0"/>
              <w:spacing w:after="20"/>
            </w:pPr>
            <w:sdt>
              <w:sdtPr>
                <w:id w:val="1420"/>
                <w:alias w:val="MR-24-T02-R2-C2"/>
                <w:tag w:val="MR-24-T02-R2-C2"/>
                <w:text w:multiLine="1"/>
              </w:sdtPr>
              <w:sdtContent>
                <w:r>
                  <w:rPr>
                    <w:rFonts w:ascii="Arial" w:hAnsi="Arial"/>
                    <w:color w:val="62716E"/>
                    <w:sz w:val="18"/>
                  </w:rPr>
                  <w:t>[Complete]</w:t>
                </w:r>
              </w:sdtContent>
            </w:sdt>
          </w:p>
        </w:tc>
        <w:tc>
          <w:tcPr>
            <w:tcW w:type="dxa" w:w="3390"/>
            <w:vAlign w:val="top"/>
          </w:tcPr>
          <w:p>
            <w:pPr>
              <w:keepNext w:val="0"/>
              <w:spacing w:after="20"/>
            </w:pPr>
            <w:sdt>
              <w:sdtPr>
                <w:id w:val="1421"/>
                <w:alias w:val="MR-24-T02-R2-C3"/>
                <w:tag w:val="MR-24-T02-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422"/>
                <w:alias w:val="MR-24-T02-R3-C1"/>
                <w:tag w:val="MR-24-T02-R3-C1"/>
                <w:text w:multiLine="1"/>
              </w:sdtPr>
              <w:sdtContent>
                <w:r>
                  <w:rPr>
                    <w:rFonts w:ascii="Arial" w:hAnsi="Arial"/>
                    <w:color w:val="62716E"/>
                    <w:sz w:val="18"/>
                  </w:rPr>
                  <w:t>[Complete]</w:t>
                </w:r>
              </w:sdtContent>
            </w:sdt>
          </w:p>
        </w:tc>
        <w:tc>
          <w:tcPr>
            <w:tcW w:type="dxa" w:w="3572"/>
            <w:vAlign w:val="top"/>
          </w:tcPr>
          <w:p>
            <w:pPr>
              <w:keepNext w:val="0"/>
              <w:spacing w:after="20"/>
            </w:pPr>
            <w:sdt>
              <w:sdtPr>
                <w:id w:val="1423"/>
                <w:alias w:val="MR-24-T02-R3-C2"/>
                <w:tag w:val="MR-24-T02-R3-C2"/>
                <w:text w:multiLine="1"/>
              </w:sdtPr>
              <w:sdtContent>
                <w:r>
                  <w:rPr>
                    <w:rFonts w:ascii="Arial" w:hAnsi="Arial"/>
                    <w:color w:val="62716E"/>
                    <w:sz w:val="18"/>
                  </w:rPr>
                  <w:t>[Complete]</w:t>
                </w:r>
              </w:sdtContent>
            </w:sdt>
          </w:p>
        </w:tc>
        <w:tc>
          <w:tcPr>
            <w:tcW w:type="dxa" w:w="3390"/>
            <w:vAlign w:val="top"/>
          </w:tcPr>
          <w:p>
            <w:pPr>
              <w:keepNext w:val="0"/>
              <w:spacing w:after="20"/>
            </w:pPr>
            <w:sdt>
              <w:sdtPr>
                <w:id w:val="1424"/>
                <w:alias w:val="MR-24-T02-R3-C3"/>
                <w:tag w:val="MR-24-T02-R3-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Reconcile the request with prior recognition, use, retirement, cancellation and remaining liabilities. Separate current-request quantities from history, reserves and denomination residuals. No status changes merely because a quantity appears in the monitoring report. A pending opinion or decision remains pending.</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425"/>
                <w:alias w:val="MR-response-61"/>
                <w:tag w:val="MR-response-61"/>
                <w:text w:multiLine="1"/>
              </w:sdtPr>
              <w:sdtContent>
                <w:r>
                  <w:rPr>
                    <w:rFonts w:ascii="Arial" w:hAnsi="Arial"/>
                    <w:color w:val="62716E"/>
                    <w:sz w:val="18"/>
                  </w:rPr>
                  <w:t>[Enter response and exact evidence references.]</w:t>
                </w:r>
              </w:sdtContent>
            </w:sdt>
          </w:p>
        </w:tc>
      </w:tr>
    </w:tbl>
    <w:p>
      <w:pPr>
        <w:spacing w:after="20" w:line="40" w:lineRule="exact"/>
      </w:pPr>
      <w:r>
        <w:rPr>
          <w:sz w:val="4"/>
        </w:rPr>
      </w:r>
    </w:p>
    <w:p>
      <w:bookmarkStart w:id="574" w:name="MR_25"/>
      <w:pPr>
        <w:pStyle w:val="Heading1"/>
        <w:keepNext/>
        <w:pageBreakBefore/>
      </w:pPr>
      <w:r>
        <w:rPr>
          <w:rFonts w:ascii="Arial" w:hAnsi="Arial" w:eastAsia="Arial" w:cs="Arial"/>
          <w:b w:val="0"/>
          <w:color w:val="215F52"/>
          <w:sz w:val="38"/>
        </w:rPr>
        <w:t>25  Findings, submission and separate decisions</w:t>
      </w:r>
      <w:bookmarkEnd w:id="574"/>
    </w:p>
    <w:p>
      <w:pPr>
        <w:keepNext/>
        <w:spacing w:after="100"/>
      </w:pPr>
      <w:r>
        <w:rPr>
          <w:rFonts w:ascii="Arial" w:hAnsi="Arial" w:eastAsia="Arial" w:cs="Arial"/>
          <w:b w:val="0"/>
          <w:color w:val="62716E"/>
          <w:sz w:val="16"/>
        </w:rPr>
        <w:t>[1] S-15; S-16; S-22; P-05; P-06; P-09; P-14; A-12; A-13; FRM-03; FRM-06</w:t>
      </w:r>
    </w:p>
    <w:p>
      <w:pPr>
        <w:keepNext/>
        <w:spacing w:after="100"/>
      </w:pPr>
      <w:r>
        <w:rPr>
          <w:rFonts w:ascii="Arial" w:hAnsi="Arial" w:eastAsia="Arial" w:cs="Arial"/>
          <w:b/>
          <w:color w:val="215F52"/>
          <w:sz w:val="20"/>
        </w:rPr>
        <w:t>MR-25-T01 / Findings and independent closure</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Requirement / finding / affected scope</w:t>
            </w:r>
          </w:p>
        </w:tc>
        <w:tc>
          <w:tcPr>
            <w:tcW w:type="dxa" w:w="3572"/>
            <w:vAlign w:val="center"/>
            <w:shd w:fill="F1F5F2"/>
          </w:tcPr>
          <w:p>
            <w:pPr>
              <w:keepNext/>
              <w:spacing w:after="20"/>
            </w:pPr>
            <w:r>
              <w:rPr>
                <w:rFonts w:ascii="Arial" w:hAnsi="Arial" w:eastAsia="Arial" w:cs="Arial"/>
                <w:b/>
                <w:color w:val="215F52"/>
                <w:sz w:val="17"/>
              </w:rPr>
              <w:t>Proponent response, corrected evidence and date</w:t>
            </w:r>
          </w:p>
        </w:tc>
        <w:tc>
          <w:tcPr>
            <w:tcW w:type="dxa" w:w="3390"/>
            <w:vAlign w:val="center"/>
            <w:shd w:fill="F1F5F2"/>
          </w:tcPr>
          <w:p>
            <w:pPr>
              <w:keepNext/>
              <w:spacing w:after="20"/>
            </w:pPr>
            <w:r>
              <w:rPr>
                <w:rFonts w:ascii="Arial" w:hAnsi="Arial" w:eastAsia="Arial" w:cs="Arial"/>
                <w:b/>
                <w:color w:val="215F52"/>
                <w:sz w:val="17"/>
              </w:rPr>
              <w:t>Uninvolved assessment, closure and remaining condition</w:t>
            </w:r>
          </w:p>
        </w:tc>
      </w:tr>
      <w:tr>
        <w:trPr>
          <w:trHeight w:val="442" w:hRule="atLeast"/>
        </w:trPr>
        <w:tc>
          <w:tcPr>
            <w:tcW w:type="dxa" w:w="2778"/>
            <w:vAlign w:val="top"/>
          </w:tcPr>
          <w:p>
            <w:pPr>
              <w:keepNext w:val="0"/>
              <w:spacing w:after="20"/>
            </w:pPr>
            <w:sdt>
              <w:sdtPr>
                <w:id w:val="1426"/>
                <w:alias w:val="MR-25-T01-R1-C1"/>
                <w:tag w:val="MR-25-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427"/>
                <w:alias w:val="MR-25-T01-R1-C2"/>
                <w:tag w:val="MR-25-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428"/>
                <w:alias w:val="MR-25-T01-R1-C3"/>
                <w:tag w:val="MR-25-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429"/>
                <w:alias w:val="MR-25-T01-R2-C1"/>
                <w:tag w:val="MR-25-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430"/>
                <w:alias w:val="MR-25-T01-R2-C2"/>
                <w:tag w:val="MR-25-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431"/>
                <w:alias w:val="MR-25-T01-R2-C3"/>
                <w:tag w:val="MR-25-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432"/>
                <w:alias w:val="MR-25-T01-R3-C1"/>
                <w:tag w:val="MR-25-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433"/>
                <w:alias w:val="MR-25-T01-R3-C2"/>
                <w:tag w:val="MR-25-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434"/>
                <w:alias w:val="MR-25-T01-R3-C3"/>
                <w:tag w:val="MR-25-T01-R3-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435"/>
                <w:alias w:val="MR-25-T01-R4-C1"/>
                <w:tag w:val="MR-25-T01-R4-C1"/>
                <w:text w:multiLine="1"/>
              </w:sdtPr>
              <w:sdtContent>
                <w:r>
                  <w:rPr>
                    <w:rFonts w:ascii="Arial" w:hAnsi="Arial"/>
                    <w:color w:val="62716E"/>
                    <w:sz w:val="18"/>
                  </w:rPr>
                  <w:t>[Complete]</w:t>
                </w:r>
              </w:sdtContent>
            </w:sdt>
          </w:p>
        </w:tc>
        <w:tc>
          <w:tcPr>
            <w:tcW w:type="dxa" w:w="3572"/>
            <w:vAlign w:val="top"/>
          </w:tcPr>
          <w:p>
            <w:pPr>
              <w:keepNext w:val="0"/>
              <w:spacing w:after="20"/>
            </w:pPr>
            <w:sdt>
              <w:sdtPr>
                <w:id w:val="1436"/>
                <w:alias w:val="MR-25-T01-R4-C2"/>
                <w:tag w:val="MR-25-T01-R4-C2"/>
                <w:text w:multiLine="1"/>
              </w:sdtPr>
              <w:sdtContent>
                <w:r>
                  <w:rPr>
                    <w:rFonts w:ascii="Arial" w:hAnsi="Arial"/>
                    <w:color w:val="62716E"/>
                    <w:sz w:val="18"/>
                  </w:rPr>
                  <w:t>[Complete]</w:t>
                </w:r>
              </w:sdtContent>
            </w:sdt>
          </w:p>
        </w:tc>
        <w:tc>
          <w:tcPr>
            <w:tcW w:type="dxa" w:w="3390"/>
            <w:vAlign w:val="top"/>
          </w:tcPr>
          <w:p>
            <w:pPr>
              <w:keepNext w:val="0"/>
              <w:spacing w:after="20"/>
            </w:pPr>
            <w:sdt>
              <w:sdtPr>
                <w:id w:val="1437"/>
                <w:alias w:val="MR-25-T01-R4-C3"/>
                <w:tag w:val="MR-25-T01-R4-C3"/>
                <w:text w:multiLine="1"/>
              </w:sdtPr>
              <w:sdtContent>
                <w:r>
                  <w:rPr>
                    <w:rFonts w:ascii="Arial" w:hAnsi="Arial"/>
                    <w:color w:val="62716E"/>
                    <w:sz w:val="18"/>
                  </w:rPr>
                  <w:t>[Complete]</w:t>
                </w:r>
              </w:sdtContent>
            </w:sdt>
          </w:p>
        </w:tc>
      </w:tr>
    </w:tbl>
    <w:p>
      <w:pPr>
        <w:spacing w:after="20" w:before="0" w:line="40" w:lineRule="exact"/>
      </w:pPr>
      <w:r>
        <w:rPr>
          <w:sz w:val="4"/>
        </w:rPr>
      </w:r>
    </w:p>
    <w:p>
      <w:pPr>
        <w:spacing w:after="100"/>
      </w:pPr>
      <w:r>
        <w:rPr>
          <w:rFonts w:ascii="Arial" w:hAnsi="Arial" w:eastAsia="Arial" w:cs="Arial"/>
          <w:b w:val="0"/>
          <w:color w:val="243A36"/>
          <w:sz w:val="19"/>
        </w:rPr>
        <w:t>Retain each original finding, response and independent disposition. A completed response or future action does not close a material issue in the current claim. Identify the approved materiality and assurance scope, actual OVV credentials and access arrangements by reference.</w:t>
      </w:r>
    </w:p>
    <w:p>
      <w:pPr>
        <w:keepNext/>
        <w:spacing w:after="100"/>
      </w:pPr>
      <w:r>
        <w:rPr>
          <w:rFonts w:ascii="Arial" w:hAnsi="Arial" w:eastAsia="Arial" w:cs="Arial"/>
          <w:b/>
          <w:color w:val="215F52"/>
          <w:sz w:val="20"/>
        </w:rPr>
        <w:t>MR-25-T02 / Submission and decision references</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Role / record</w:t>
            </w:r>
          </w:p>
        </w:tc>
        <w:tc>
          <w:tcPr>
            <w:tcW w:type="dxa" w:w="3572"/>
            <w:vAlign w:val="center"/>
            <w:shd w:fill="F1F5F2"/>
          </w:tcPr>
          <w:p>
            <w:pPr>
              <w:keepNext/>
              <w:spacing w:after="20"/>
            </w:pPr>
            <w:r>
              <w:rPr>
                <w:rFonts w:ascii="Arial" w:hAnsi="Arial" w:eastAsia="Arial" w:cs="Arial"/>
                <w:b/>
                <w:color w:val="215F52"/>
                <w:sz w:val="17"/>
              </w:rPr>
              <w:t>Name, date, signature or signed-record reference</w:t>
            </w:r>
          </w:p>
        </w:tc>
        <w:tc>
          <w:tcPr>
            <w:tcW w:type="dxa" w:w="3390"/>
            <w:vAlign w:val="center"/>
            <w:shd w:fill="F1F5F2"/>
          </w:tcPr>
          <w:p>
            <w:pPr>
              <w:keepNext/>
              <w:spacing w:after="20"/>
            </w:pPr>
            <w:r>
              <w:rPr>
                <w:rFonts w:ascii="Arial" w:hAnsi="Arial" w:eastAsia="Arial" w:cs="Arial"/>
                <w:b/>
                <w:color w:val="215F52"/>
                <w:sz w:val="17"/>
              </w:rPr>
              <w:t>Scope and status</w:t>
            </w:r>
          </w:p>
        </w:tc>
      </w:tr>
      <w:tr>
        <w:trPr>
          <w:trHeight w:val="442" w:hRule="atLeast"/>
        </w:trPr>
        <w:tc>
          <w:tcPr>
            <w:tcW w:type="dxa" w:w="2778"/>
            <w:vAlign w:val="top"/>
          </w:tcPr>
          <w:p>
            <w:pPr>
              <w:keepNext w:val="0"/>
              <w:spacing w:after="20"/>
            </w:pPr>
            <w:r>
              <w:rPr>
                <w:rFonts w:ascii="Arial" w:hAnsi="Arial" w:eastAsia="Arial" w:cs="Arial"/>
                <w:b w:val="0"/>
                <w:color w:val="243A36"/>
                <w:sz w:val="17"/>
              </w:rPr>
              <w:t>Prepared: NEBIOT technical-services lead</w:t>
            </w:r>
          </w:p>
        </w:tc>
        <w:tc>
          <w:tcPr>
            <w:tcW w:type="dxa" w:w="3572"/>
            <w:vAlign w:val="top"/>
          </w:tcPr>
          <w:p>
            <w:pPr>
              <w:keepNext w:val="0"/>
              <w:spacing w:after="20"/>
            </w:pPr>
            <w:sdt>
              <w:sdtPr>
                <w:id w:val="1438"/>
                <w:alias w:val="MR-25-T02-R1-C2"/>
                <w:tag w:val="MR-25-T02-R1-C2"/>
                <w:text w:multiLine="1"/>
              </w:sdtPr>
              <w:sdtContent>
                <w:r>
                  <w:rPr>
                    <w:rFonts w:ascii="Arial" w:hAnsi="Arial"/>
                    <w:color w:val="62716E"/>
                    <w:sz w:val="18"/>
                  </w:rPr>
                  <w:t>[Complete]</w:t>
                </w:r>
              </w:sdtContent>
            </w:sdt>
          </w:p>
        </w:tc>
        <w:tc>
          <w:tcPr>
            <w:tcW w:type="dxa" w:w="3390"/>
            <w:vAlign w:val="top"/>
          </w:tcPr>
          <w:p>
            <w:pPr>
              <w:keepNext w:val="0"/>
              <w:spacing w:after="20"/>
            </w:pPr>
            <w:sdt>
              <w:sdtPr>
                <w:id w:val="1439"/>
                <w:alias w:val="MR-25-T02-R1-C3"/>
                <w:tag w:val="MR-25-T02-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Submitted: accountable proponent</w:t>
            </w:r>
          </w:p>
        </w:tc>
        <w:tc>
          <w:tcPr>
            <w:tcW w:type="dxa" w:w="3572"/>
            <w:vAlign w:val="top"/>
          </w:tcPr>
          <w:p>
            <w:pPr>
              <w:keepNext w:val="0"/>
              <w:spacing w:after="20"/>
            </w:pPr>
            <w:sdt>
              <w:sdtPr>
                <w:id w:val="1440"/>
                <w:alias w:val="MR-25-T02-R2-C2"/>
                <w:tag w:val="MR-25-T02-R2-C2"/>
                <w:text w:multiLine="1"/>
              </w:sdtPr>
              <w:sdtContent>
                <w:r>
                  <w:rPr>
                    <w:rFonts w:ascii="Arial" w:hAnsi="Arial"/>
                    <w:color w:val="62716E"/>
                    <w:sz w:val="18"/>
                  </w:rPr>
                  <w:t>[Complete]</w:t>
                </w:r>
              </w:sdtContent>
            </w:sdt>
          </w:p>
        </w:tc>
        <w:tc>
          <w:tcPr>
            <w:tcW w:type="dxa" w:w="3390"/>
            <w:vAlign w:val="top"/>
          </w:tcPr>
          <w:p>
            <w:pPr>
              <w:keepNext w:val="0"/>
              <w:spacing w:after="20"/>
            </w:pPr>
            <w:sdt>
              <w:sdtPr>
                <w:id w:val="1441"/>
                <w:alias w:val="MR-25-T02-R2-C3"/>
                <w:tag w:val="MR-25-T02-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Internal review: uninvolved competent reviewer</w:t>
            </w:r>
          </w:p>
        </w:tc>
        <w:tc>
          <w:tcPr>
            <w:tcW w:type="dxa" w:w="3572"/>
            <w:vAlign w:val="top"/>
          </w:tcPr>
          <w:p>
            <w:pPr>
              <w:keepNext w:val="0"/>
              <w:spacing w:after="20"/>
            </w:pPr>
            <w:sdt>
              <w:sdtPr>
                <w:id w:val="1442"/>
                <w:alias w:val="MR-25-T02-R3-C2"/>
                <w:tag w:val="MR-25-T02-R3-C2"/>
                <w:text w:multiLine="1"/>
              </w:sdtPr>
              <w:sdtContent>
                <w:r>
                  <w:rPr>
                    <w:rFonts w:ascii="Arial" w:hAnsi="Arial"/>
                    <w:color w:val="62716E"/>
                    <w:sz w:val="18"/>
                  </w:rPr>
                  <w:t>[Complete]</w:t>
                </w:r>
              </w:sdtContent>
            </w:sdt>
          </w:p>
        </w:tc>
        <w:tc>
          <w:tcPr>
            <w:tcW w:type="dxa" w:w="3390"/>
            <w:vAlign w:val="top"/>
          </w:tcPr>
          <w:p>
            <w:pPr>
              <w:keepNext w:val="0"/>
              <w:spacing w:after="20"/>
            </w:pPr>
            <w:sdt>
              <w:sdtPr>
                <w:id w:val="1443"/>
                <w:alias w:val="MR-25-T02-R3-C3"/>
                <w:tag w:val="MR-25-T02-R3-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OVV opinion / program decision, when issued</w:t>
            </w:r>
          </w:p>
        </w:tc>
        <w:tc>
          <w:tcPr>
            <w:tcW w:type="dxa" w:w="3572"/>
            <w:vAlign w:val="top"/>
          </w:tcPr>
          <w:p>
            <w:pPr>
              <w:keepNext w:val="0"/>
              <w:spacing w:after="20"/>
            </w:pPr>
            <w:sdt>
              <w:sdtPr>
                <w:id w:val="1444"/>
                <w:alias w:val="MR-25-T02-R4-C2"/>
                <w:tag w:val="MR-25-T02-R4-C2"/>
                <w:text w:multiLine="1"/>
              </w:sdtPr>
              <w:sdtContent>
                <w:r>
                  <w:rPr>
                    <w:rFonts w:ascii="Arial" w:hAnsi="Arial"/>
                    <w:color w:val="62716E"/>
                    <w:sz w:val="18"/>
                  </w:rPr>
                  <w:t>[Complete]</w:t>
                </w:r>
              </w:sdtContent>
            </w:sdt>
          </w:p>
        </w:tc>
        <w:tc>
          <w:tcPr>
            <w:tcW w:type="dxa" w:w="3390"/>
            <w:vAlign w:val="top"/>
          </w:tcPr>
          <w:p>
            <w:pPr>
              <w:keepNext w:val="0"/>
              <w:spacing w:after="20"/>
            </w:pPr>
            <w:sdt>
              <w:sdtPr>
                <w:id w:val="1445"/>
                <w:alias w:val="MR-25-T02-R4-C3"/>
                <w:tag w:val="MR-25-T02-R4-C3"/>
                <w:text w:multiLine="1"/>
              </w:sdtPr>
              <w:sdtContent>
                <w:r>
                  <w:rPr>
                    <w:rFonts w:ascii="Arial" w:hAnsi="Arial"/>
                    <w:color w:val="62716E"/>
                    <w:sz w:val="18"/>
                  </w:rPr>
                  <w:t>[Complete]</w:t>
                </w:r>
              </w:sdtContent>
            </w:sdt>
          </w:p>
        </w:tc>
      </w:tr>
    </w:tbl>
    <w:p>
      <w:pPr>
        <w:spacing w:after="20" w:before="0" w:line="40" w:lineRule="exact"/>
      </w:pPr>
      <w:r>
        <w:rPr>
          <w:sz w:val="4"/>
        </w:rPr>
      </w:r>
    </w:p>
    <w:p>
      <w:pPr>
        <w:spacing w:after="100"/>
      </w:pPr>
      <w:r>
        <w:rPr>
          <w:rFonts w:ascii="Arial" w:hAnsi="Arial" w:eastAsia="Arial" w:cs="Arial"/>
          <w:b w:val="0"/>
          <w:color w:val="243A36"/>
          <w:sz w:val="19"/>
        </w:rPr>
        <w:t>The last row references a separately issued record; it is not a form for the preparer to sign on behalf of the OVV or program authority. Record pending assessment explicitly. Keep reported, verified and authorized quantities separate.</w:t>
      </w:r>
    </w:p>
    <w:p>
      <w:bookmarkStart w:id="582" w:name="MR_26"/>
      <w:pPr>
        <w:pStyle w:val="Heading1"/>
        <w:keepNext/>
        <w:pageBreakBefore/>
      </w:pPr>
      <w:r>
        <w:rPr>
          <w:rFonts w:ascii="Arial" w:hAnsi="Arial" w:eastAsia="Arial" w:cs="Arial"/>
          <w:b w:val="0"/>
          <w:color w:val="215F52"/>
          <w:sz w:val="38"/>
        </w:rPr>
        <w:t>26  Evidence handover and next-period actions</w:t>
      </w:r>
      <w:bookmarkEnd w:id="582"/>
    </w:p>
    <w:p>
      <w:pPr>
        <w:keepNext/>
        <w:spacing w:after="100"/>
      </w:pPr>
      <w:r>
        <w:rPr>
          <w:rFonts w:ascii="Arial" w:hAnsi="Arial" w:eastAsia="Arial" w:cs="Arial"/>
          <w:b w:val="0"/>
          <w:color w:val="62716E"/>
          <w:sz w:val="16"/>
        </w:rPr>
        <w:t>[1] P-04; P-10; P-12; AO-08; CYC-06; S-18; FRM-02; FRM-06</w:t>
      </w:r>
    </w:p>
    <w:p>
      <w:pPr>
        <w:keepNext/>
        <w:spacing w:after="100"/>
      </w:pPr>
      <w:r>
        <w:rPr>
          <w:rFonts w:ascii="Arial" w:hAnsi="Arial" w:eastAsia="Arial" w:cs="Arial"/>
          <w:b/>
          <w:color w:val="215F52"/>
          <w:sz w:val="20"/>
        </w:rPr>
        <w:t>MR-26-T01 / Evidence and annex index</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Evidence ID / document / version / fingerprint</w:t>
            </w:r>
          </w:p>
        </w:tc>
        <w:tc>
          <w:tcPr>
            <w:tcW w:type="dxa" w:w="3572"/>
            <w:vAlign w:val="center"/>
            <w:shd w:fill="F1F5F2"/>
          </w:tcPr>
          <w:p>
            <w:pPr>
              <w:keepNext/>
              <w:spacing w:after="20"/>
            </w:pPr>
            <w:r>
              <w:rPr>
                <w:rFonts w:ascii="Arial" w:hAnsi="Arial" w:eastAsia="Arial" w:cs="Arial"/>
                <w:b/>
                <w:color w:val="215F52"/>
                <w:sz w:val="17"/>
              </w:rPr>
              <w:t>Exact record, section, worksheet or cell range</w:t>
            </w:r>
          </w:p>
        </w:tc>
        <w:tc>
          <w:tcPr>
            <w:tcW w:type="dxa" w:w="3390"/>
            <w:vAlign w:val="center"/>
            <w:shd w:fill="F1F5F2"/>
          </w:tcPr>
          <w:p>
            <w:pPr>
              <w:keepNext/>
              <w:spacing w:after="20"/>
            </w:pPr>
            <w:r>
              <w:rPr>
                <w:rFonts w:ascii="Arial" w:hAnsi="Arial" w:eastAsia="Arial" w:cs="Arial"/>
                <w:b/>
                <w:color w:val="215F52"/>
                <w:sz w:val="17"/>
              </w:rPr>
              <w:t>Custodian, access, retention approval and report use</w:t>
            </w:r>
          </w:p>
        </w:tc>
      </w:tr>
      <w:tr>
        <w:trPr>
          <w:trHeight w:val="442" w:hRule="atLeast"/>
        </w:trPr>
        <w:tc>
          <w:tcPr>
            <w:tcW w:type="dxa" w:w="2778"/>
            <w:vAlign w:val="top"/>
          </w:tcPr>
          <w:p>
            <w:pPr>
              <w:keepNext w:val="0"/>
              <w:spacing w:after="20"/>
            </w:pPr>
            <w:sdt>
              <w:sdtPr>
                <w:id w:val="1446"/>
                <w:alias w:val="MR-26-T01-R1-C1"/>
                <w:tag w:val="MR-26-T01-R1-C1"/>
                <w:text w:multiLine="1"/>
              </w:sdtPr>
              <w:sdtContent>
                <w:r>
                  <w:rPr>
                    <w:rFonts w:ascii="Arial" w:hAnsi="Arial"/>
                    <w:color w:val="62716E"/>
                    <w:sz w:val="18"/>
                  </w:rPr>
                  <w:t>[Complete]</w:t>
                </w:r>
              </w:sdtContent>
            </w:sdt>
          </w:p>
        </w:tc>
        <w:tc>
          <w:tcPr>
            <w:tcW w:type="dxa" w:w="3572"/>
            <w:vAlign w:val="top"/>
          </w:tcPr>
          <w:p>
            <w:pPr>
              <w:keepNext w:val="0"/>
              <w:spacing w:after="20"/>
            </w:pPr>
            <w:sdt>
              <w:sdtPr>
                <w:id w:val="1447"/>
                <w:alias w:val="MR-26-T01-R1-C2"/>
                <w:tag w:val="MR-26-T01-R1-C2"/>
                <w:text w:multiLine="1"/>
              </w:sdtPr>
              <w:sdtContent>
                <w:r>
                  <w:rPr>
                    <w:rFonts w:ascii="Arial" w:hAnsi="Arial"/>
                    <w:color w:val="62716E"/>
                    <w:sz w:val="18"/>
                  </w:rPr>
                  <w:t>[Complete]</w:t>
                </w:r>
              </w:sdtContent>
            </w:sdt>
          </w:p>
        </w:tc>
        <w:tc>
          <w:tcPr>
            <w:tcW w:type="dxa" w:w="3390"/>
            <w:vAlign w:val="top"/>
          </w:tcPr>
          <w:p>
            <w:pPr>
              <w:keepNext w:val="0"/>
              <w:spacing w:after="20"/>
            </w:pPr>
            <w:sdt>
              <w:sdtPr>
                <w:id w:val="1448"/>
                <w:alias w:val="MR-26-T01-R1-C3"/>
                <w:tag w:val="MR-26-T01-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449"/>
                <w:alias w:val="MR-26-T01-R2-C1"/>
                <w:tag w:val="MR-26-T01-R2-C1"/>
                <w:text w:multiLine="1"/>
              </w:sdtPr>
              <w:sdtContent>
                <w:r>
                  <w:rPr>
                    <w:rFonts w:ascii="Arial" w:hAnsi="Arial"/>
                    <w:color w:val="62716E"/>
                    <w:sz w:val="18"/>
                  </w:rPr>
                  <w:t>[Complete]</w:t>
                </w:r>
              </w:sdtContent>
            </w:sdt>
          </w:p>
        </w:tc>
        <w:tc>
          <w:tcPr>
            <w:tcW w:type="dxa" w:w="3572"/>
            <w:vAlign w:val="top"/>
          </w:tcPr>
          <w:p>
            <w:pPr>
              <w:keepNext w:val="0"/>
              <w:spacing w:after="20"/>
            </w:pPr>
            <w:sdt>
              <w:sdtPr>
                <w:id w:val="1450"/>
                <w:alias w:val="MR-26-T01-R2-C2"/>
                <w:tag w:val="MR-26-T01-R2-C2"/>
                <w:text w:multiLine="1"/>
              </w:sdtPr>
              <w:sdtContent>
                <w:r>
                  <w:rPr>
                    <w:rFonts w:ascii="Arial" w:hAnsi="Arial"/>
                    <w:color w:val="62716E"/>
                    <w:sz w:val="18"/>
                  </w:rPr>
                  <w:t>[Complete]</w:t>
                </w:r>
              </w:sdtContent>
            </w:sdt>
          </w:p>
        </w:tc>
        <w:tc>
          <w:tcPr>
            <w:tcW w:type="dxa" w:w="3390"/>
            <w:vAlign w:val="top"/>
          </w:tcPr>
          <w:p>
            <w:pPr>
              <w:keepNext w:val="0"/>
              <w:spacing w:after="20"/>
            </w:pPr>
            <w:sdt>
              <w:sdtPr>
                <w:id w:val="1451"/>
                <w:alias w:val="MR-26-T01-R2-C3"/>
                <w:tag w:val="MR-26-T01-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452"/>
                <w:alias w:val="MR-26-T01-R3-C1"/>
                <w:tag w:val="MR-26-T01-R3-C1"/>
                <w:text w:multiLine="1"/>
              </w:sdtPr>
              <w:sdtContent>
                <w:r>
                  <w:rPr>
                    <w:rFonts w:ascii="Arial" w:hAnsi="Arial"/>
                    <w:color w:val="62716E"/>
                    <w:sz w:val="18"/>
                  </w:rPr>
                  <w:t>[Complete]</w:t>
                </w:r>
              </w:sdtContent>
            </w:sdt>
          </w:p>
        </w:tc>
        <w:tc>
          <w:tcPr>
            <w:tcW w:type="dxa" w:w="3572"/>
            <w:vAlign w:val="top"/>
          </w:tcPr>
          <w:p>
            <w:pPr>
              <w:keepNext w:val="0"/>
              <w:spacing w:after="20"/>
            </w:pPr>
            <w:sdt>
              <w:sdtPr>
                <w:id w:val="1453"/>
                <w:alias w:val="MR-26-T01-R3-C2"/>
                <w:tag w:val="MR-26-T01-R3-C2"/>
                <w:text w:multiLine="1"/>
              </w:sdtPr>
              <w:sdtContent>
                <w:r>
                  <w:rPr>
                    <w:rFonts w:ascii="Arial" w:hAnsi="Arial"/>
                    <w:color w:val="62716E"/>
                    <w:sz w:val="18"/>
                  </w:rPr>
                  <w:t>[Complete]</w:t>
                </w:r>
              </w:sdtContent>
            </w:sdt>
          </w:p>
        </w:tc>
        <w:tc>
          <w:tcPr>
            <w:tcW w:type="dxa" w:w="3390"/>
            <w:vAlign w:val="top"/>
          </w:tcPr>
          <w:p>
            <w:pPr>
              <w:keepNext w:val="0"/>
              <w:spacing w:after="20"/>
            </w:pPr>
            <w:sdt>
              <w:sdtPr>
                <w:id w:val="1454"/>
                <w:alias w:val="MR-26-T01-R3-C3"/>
                <w:tag w:val="MR-26-T01-R3-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455"/>
                <w:alias w:val="MR-26-T01-R4-C1"/>
                <w:tag w:val="MR-26-T01-R4-C1"/>
                <w:text w:multiLine="1"/>
              </w:sdtPr>
              <w:sdtContent>
                <w:r>
                  <w:rPr>
                    <w:rFonts w:ascii="Arial" w:hAnsi="Arial"/>
                    <w:color w:val="62716E"/>
                    <w:sz w:val="18"/>
                  </w:rPr>
                  <w:t>[Complete]</w:t>
                </w:r>
              </w:sdtContent>
            </w:sdt>
          </w:p>
        </w:tc>
        <w:tc>
          <w:tcPr>
            <w:tcW w:type="dxa" w:w="3572"/>
            <w:vAlign w:val="top"/>
          </w:tcPr>
          <w:p>
            <w:pPr>
              <w:keepNext w:val="0"/>
              <w:spacing w:after="20"/>
            </w:pPr>
            <w:sdt>
              <w:sdtPr>
                <w:id w:val="1456"/>
                <w:alias w:val="MR-26-T01-R4-C2"/>
                <w:tag w:val="MR-26-T01-R4-C2"/>
                <w:text w:multiLine="1"/>
              </w:sdtPr>
              <w:sdtContent>
                <w:r>
                  <w:rPr>
                    <w:rFonts w:ascii="Arial" w:hAnsi="Arial"/>
                    <w:color w:val="62716E"/>
                    <w:sz w:val="18"/>
                  </w:rPr>
                  <w:t>[Complete]</w:t>
                </w:r>
              </w:sdtContent>
            </w:sdt>
          </w:p>
        </w:tc>
        <w:tc>
          <w:tcPr>
            <w:tcW w:type="dxa" w:w="3390"/>
            <w:vAlign w:val="top"/>
          </w:tcPr>
          <w:p>
            <w:pPr>
              <w:keepNext w:val="0"/>
              <w:spacing w:after="20"/>
            </w:pPr>
            <w:sdt>
              <w:sdtPr>
                <w:id w:val="1457"/>
                <w:alias w:val="MR-26-T01-R4-C3"/>
                <w:tag w:val="MR-26-T01-R4-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458"/>
                <w:alias w:val="MR-26-T01-R5-C1"/>
                <w:tag w:val="MR-26-T01-R5-C1"/>
                <w:text w:multiLine="1"/>
              </w:sdtPr>
              <w:sdtContent>
                <w:r>
                  <w:rPr>
                    <w:rFonts w:ascii="Arial" w:hAnsi="Arial"/>
                    <w:color w:val="62716E"/>
                    <w:sz w:val="18"/>
                  </w:rPr>
                  <w:t>[Complete]</w:t>
                </w:r>
              </w:sdtContent>
            </w:sdt>
          </w:p>
        </w:tc>
        <w:tc>
          <w:tcPr>
            <w:tcW w:type="dxa" w:w="3572"/>
            <w:vAlign w:val="top"/>
          </w:tcPr>
          <w:p>
            <w:pPr>
              <w:keepNext w:val="0"/>
              <w:spacing w:after="20"/>
            </w:pPr>
            <w:sdt>
              <w:sdtPr>
                <w:id w:val="1459"/>
                <w:alias w:val="MR-26-T01-R5-C2"/>
                <w:tag w:val="MR-26-T01-R5-C2"/>
                <w:text w:multiLine="1"/>
              </w:sdtPr>
              <w:sdtContent>
                <w:r>
                  <w:rPr>
                    <w:rFonts w:ascii="Arial" w:hAnsi="Arial"/>
                    <w:color w:val="62716E"/>
                    <w:sz w:val="18"/>
                  </w:rPr>
                  <w:t>[Complete]</w:t>
                </w:r>
              </w:sdtContent>
            </w:sdt>
          </w:p>
        </w:tc>
        <w:tc>
          <w:tcPr>
            <w:tcW w:type="dxa" w:w="3390"/>
            <w:vAlign w:val="top"/>
          </w:tcPr>
          <w:p>
            <w:pPr>
              <w:keepNext w:val="0"/>
              <w:spacing w:after="20"/>
            </w:pPr>
            <w:sdt>
              <w:sdtPr>
                <w:id w:val="1460"/>
                <w:alias w:val="MR-26-T01-R5-C3"/>
                <w:tag w:val="MR-26-T01-R5-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color w:val="215F52"/>
          <w:sz w:val="20"/>
        </w:rPr>
        <w:t>MR-26-T02 / Continuing actions and unresolved conditions</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Action / original finding / trigger</w:t>
            </w:r>
          </w:p>
        </w:tc>
        <w:tc>
          <w:tcPr>
            <w:tcW w:type="dxa" w:w="3572"/>
            <w:vAlign w:val="center"/>
            <w:shd w:fill="F1F5F2"/>
          </w:tcPr>
          <w:p>
            <w:pPr>
              <w:keepNext/>
              <w:spacing w:after="20"/>
            </w:pPr>
            <w:r>
              <w:rPr>
                <w:rFonts w:ascii="Arial" w:hAnsi="Arial" w:eastAsia="Arial" w:cs="Arial"/>
                <w:b/>
                <w:color w:val="215F52"/>
                <w:sz w:val="17"/>
              </w:rPr>
              <w:t>Responsible party, due date or approved frequency</w:t>
            </w:r>
          </w:p>
        </w:tc>
        <w:tc>
          <w:tcPr>
            <w:tcW w:type="dxa" w:w="3390"/>
            <w:vAlign w:val="center"/>
            <w:shd w:fill="F1F5F2"/>
          </w:tcPr>
          <w:p>
            <w:pPr>
              <w:keepNext/>
              <w:spacing w:after="20"/>
            </w:pPr>
            <w:r>
              <w:rPr>
                <w:rFonts w:ascii="Arial" w:hAnsi="Arial" w:eastAsia="Arial" w:cs="Arial"/>
                <w:b/>
                <w:color w:val="215F52"/>
                <w:sz w:val="17"/>
              </w:rPr>
              <w:t>Evidence required, affected decision and next report</w:t>
            </w:r>
          </w:p>
        </w:tc>
      </w:tr>
      <w:tr>
        <w:trPr>
          <w:trHeight w:val="442" w:hRule="atLeast"/>
        </w:trPr>
        <w:tc>
          <w:tcPr>
            <w:tcW w:type="dxa" w:w="2778"/>
            <w:vAlign w:val="top"/>
          </w:tcPr>
          <w:p>
            <w:pPr>
              <w:keepNext w:val="0"/>
              <w:spacing w:after="20"/>
            </w:pPr>
            <w:sdt>
              <w:sdtPr>
                <w:id w:val="1461"/>
                <w:alias w:val="MR-26-T02-R1-C1"/>
                <w:tag w:val="MR-26-T02-R1-C1"/>
                <w:text w:multiLine="1"/>
              </w:sdtPr>
              <w:sdtContent>
                <w:r>
                  <w:rPr>
                    <w:rFonts w:ascii="Arial" w:hAnsi="Arial"/>
                    <w:color w:val="62716E"/>
                    <w:sz w:val="18"/>
                  </w:rPr>
                  <w:t>[Complete]</w:t>
                </w:r>
              </w:sdtContent>
            </w:sdt>
          </w:p>
        </w:tc>
        <w:tc>
          <w:tcPr>
            <w:tcW w:type="dxa" w:w="3572"/>
            <w:vAlign w:val="top"/>
          </w:tcPr>
          <w:p>
            <w:pPr>
              <w:keepNext w:val="0"/>
              <w:spacing w:after="20"/>
            </w:pPr>
            <w:sdt>
              <w:sdtPr>
                <w:id w:val="1462"/>
                <w:alias w:val="MR-26-T02-R1-C2"/>
                <w:tag w:val="MR-26-T02-R1-C2"/>
                <w:text w:multiLine="1"/>
              </w:sdtPr>
              <w:sdtContent>
                <w:r>
                  <w:rPr>
                    <w:rFonts w:ascii="Arial" w:hAnsi="Arial"/>
                    <w:color w:val="62716E"/>
                    <w:sz w:val="18"/>
                  </w:rPr>
                  <w:t>[Complete]</w:t>
                </w:r>
              </w:sdtContent>
            </w:sdt>
          </w:p>
        </w:tc>
        <w:tc>
          <w:tcPr>
            <w:tcW w:type="dxa" w:w="3390"/>
            <w:vAlign w:val="top"/>
          </w:tcPr>
          <w:p>
            <w:pPr>
              <w:keepNext w:val="0"/>
              <w:spacing w:after="20"/>
            </w:pPr>
            <w:sdt>
              <w:sdtPr>
                <w:id w:val="1463"/>
                <w:alias w:val="MR-26-T02-R1-C3"/>
                <w:tag w:val="MR-26-T02-R1-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464"/>
                <w:alias w:val="MR-26-T02-R2-C1"/>
                <w:tag w:val="MR-26-T02-R2-C1"/>
                <w:text w:multiLine="1"/>
              </w:sdtPr>
              <w:sdtContent>
                <w:r>
                  <w:rPr>
                    <w:rFonts w:ascii="Arial" w:hAnsi="Arial"/>
                    <w:color w:val="62716E"/>
                    <w:sz w:val="18"/>
                  </w:rPr>
                  <w:t>[Complete]</w:t>
                </w:r>
              </w:sdtContent>
            </w:sdt>
          </w:p>
        </w:tc>
        <w:tc>
          <w:tcPr>
            <w:tcW w:type="dxa" w:w="3572"/>
            <w:vAlign w:val="top"/>
          </w:tcPr>
          <w:p>
            <w:pPr>
              <w:keepNext w:val="0"/>
              <w:spacing w:after="20"/>
            </w:pPr>
            <w:sdt>
              <w:sdtPr>
                <w:id w:val="1465"/>
                <w:alias w:val="MR-26-T02-R2-C2"/>
                <w:tag w:val="MR-26-T02-R2-C2"/>
                <w:text w:multiLine="1"/>
              </w:sdtPr>
              <w:sdtContent>
                <w:r>
                  <w:rPr>
                    <w:rFonts w:ascii="Arial" w:hAnsi="Arial"/>
                    <w:color w:val="62716E"/>
                    <w:sz w:val="18"/>
                  </w:rPr>
                  <w:t>[Complete]</w:t>
                </w:r>
              </w:sdtContent>
            </w:sdt>
          </w:p>
        </w:tc>
        <w:tc>
          <w:tcPr>
            <w:tcW w:type="dxa" w:w="3390"/>
            <w:vAlign w:val="top"/>
          </w:tcPr>
          <w:p>
            <w:pPr>
              <w:keepNext w:val="0"/>
              <w:spacing w:after="20"/>
            </w:pPr>
            <w:sdt>
              <w:sdtPr>
                <w:id w:val="1466"/>
                <w:alias w:val="MR-26-T02-R2-C3"/>
                <w:tag w:val="MR-26-T02-R2-C3"/>
                <w:text w:multiLine="1"/>
              </w:sdtPr>
              <w:sdtContent>
                <w:r>
                  <w:rPr>
                    <w:rFonts w:ascii="Arial" w:hAnsi="Arial"/>
                    <w:color w:val="62716E"/>
                    <w:sz w:val="18"/>
                  </w:rPr>
                  <w:t>[Complete]</w:t>
                </w:r>
              </w:sdtContent>
            </w:sdt>
          </w:p>
        </w:tc>
      </w:tr>
      <w:tr>
        <w:trPr>
          <w:trHeight w:val="442" w:hRule="atLeast"/>
        </w:trPr>
        <w:tc>
          <w:tcPr>
            <w:tcW w:type="dxa" w:w="2778"/>
            <w:vAlign w:val="top"/>
          </w:tcPr>
          <w:p>
            <w:pPr>
              <w:keepNext w:val="0"/>
              <w:spacing w:after="20"/>
            </w:pPr>
            <w:sdt>
              <w:sdtPr>
                <w:id w:val="1467"/>
                <w:alias w:val="MR-26-T02-R3-C1"/>
                <w:tag w:val="MR-26-T02-R3-C1"/>
                <w:text w:multiLine="1"/>
              </w:sdtPr>
              <w:sdtContent>
                <w:r>
                  <w:rPr>
                    <w:rFonts w:ascii="Arial" w:hAnsi="Arial"/>
                    <w:color w:val="62716E"/>
                    <w:sz w:val="18"/>
                  </w:rPr>
                  <w:t>[Complete]</w:t>
                </w:r>
              </w:sdtContent>
            </w:sdt>
          </w:p>
        </w:tc>
        <w:tc>
          <w:tcPr>
            <w:tcW w:type="dxa" w:w="3572"/>
            <w:vAlign w:val="top"/>
          </w:tcPr>
          <w:p>
            <w:pPr>
              <w:keepNext w:val="0"/>
              <w:spacing w:after="20"/>
            </w:pPr>
            <w:sdt>
              <w:sdtPr>
                <w:id w:val="1468"/>
                <w:alias w:val="MR-26-T02-R3-C2"/>
                <w:tag w:val="MR-26-T02-R3-C2"/>
                <w:text w:multiLine="1"/>
              </w:sdtPr>
              <w:sdtContent>
                <w:r>
                  <w:rPr>
                    <w:rFonts w:ascii="Arial" w:hAnsi="Arial"/>
                    <w:color w:val="62716E"/>
                    <w:sz w:val="18"/>
                  </w:rPr>
                  <w:t>[Complete]</w:t>
                </w:r>
              </w:sdtContent>
            </w:sdt>
          </w:p>
        </w:tc>
        <w:tc>
          <w:tcPr>
            <w:tcW w:type="dxa" w:w="3390"/>
            <w:vAlign w:val="top"/>
          </w:tcPr>
          <w:p>
            <w:pPr>
              <w:keepNext w:val="0"/>
              <w:spacing w:after="20"/>
            </w:pPr>
            <w:sdt>
              <w:sdtPr>
                <w:id w:val="1469"/>
                <w:alias w:val="MR-26-T02-R3-C3"/>
                <w:tag w:val="MR-26-T02-R3-C3"/>
                <w:text w:multiLine="1"/>
              </w:sdtPr>
              <w:sdtContent>
                <w:r>
                  <w:rPr>
                    <w:rFonts w:ascii="Arial" w:hAnsi="Arial"/>
                    <w:color w:val="62716E"/>
                    <w:sz w:val="18"/>
                  </w:rPr>
                  <w:t>[Complete]</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Identify the next monitoring handover, opening balances and cohort records, unchanged or revised plan, outstanding remedies, data-retention arrangements and distribution version. Keep public and controlled evidence indexes linked without exposing protected information. No deadline is assumed by this template.</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470"/>
                <w:alias w:val="MR-response-66"/>
                <w:tag w:val="MR-response-66"/>
                <w:text w:multiLine="1"/>
              </w:sdtPr>
              <w:sdtContent>
                <w:r>
                  <w:rPr>
                    <w:rFonts w:ascii="Arial" w:hAnsi="Arial"/>
                    <w:color w:val="62716E"/>
                    <w:sz w:val="18"/>
                  </w:rPr>
                  <w:t>[Enter response and exact evidence references.]</w:t>
                </w:r>
              </w:sdtContent>
            </w:sdt>
          </w:p>
        </w:tc>
      </w:tr>
    </w:tbl>
    <w:p>
      <w:pPr>
        <w:spacing w:after="20" w:line="40" w:lineRule="exact"/>
      </w:pPr>
      <w:r>
        <w:rPr>
          <w:sz w:val="4"/>
        </w:rPr>
      </w:r>
    </w:p>
    <w:p>
      <w:bookmarkStart w:id="590" w:name="MR_CALC"/>
      <w:pPr>
        <w:pStyle w:val="Heading1"/>
        <w:keepNext/>
        <w:pageBreakBefore/>
      </w:pPr>
      <w:r>
        <w:rPr>
          <w:rFonts w:ascii="Arial" w:hAnsi="Arial" w:eastAsia="Arial" w:cs="Arial"/>
          <w:b w:val="0"/>
          <w:color w:val="215F52"/>
          <w:sz w:val="38"/>
        </w:rPr>
        <w:t>CALC  Calculation traceability and reviewer recalculation</w:t>
      </w:r>
      <w:bookmarkEnd w:id="590"/>
    </w:p>
    <w:p>
      <w:pPr>
        <w:keepNext/>
        <w:spacing w:after="100"/>
      </w:pPr>
      <w:r>
        <w:rPr>
          <w:rFonts w:ascii="Arial" w:hAnsi="Arial" w:eastAsia="Arial" w:cs="Arial"/>
          <w:b w:val="0"/>
          <w:color w:val="62716E"/>
          <w:sz w:val="16"/>
        </w:rPr>
        <w:t>[1] F-01; T-01; P-04; P-13; FRM-02; NEB-MTH-002</w:t>
      </w:r>
    </w:p>
    <w:p>
      <w:pPr>
        <w:spacing w:after="100"/>
      </w:pPr>
      <w:r>
        <w:rPr>
          <w:rFonts w:ascii="Arial" w:hAnsi="Arial" w:eastAsia="Arial" w:cs="Arial"/>
          <w:b w:val="0"/>
          <w:color w:val="243A36"/>
          <w:sz w:val="19"/>
        </w:rPr>
        <w:t>Repeat this record for each material calculated quantity or link an equivalent controlled calculation ledger. Reproduce the exact original expression first and record every adaptation separately. Report text, equations and workbook rows must use the same units, period, scope and version. Administrative records do not require invented equations.</w:t>
      </w:r>
    </w:p>
    <w:p>
      <w:pPr>
        <w:spacing w:after="100"/>
      </w:pPr>
      <w:r>
        <w:rPr>
          <w:rFonts w:ascii="Arial" w:hAnsi="Arial" w:eastAsia="Arial" w:cs="Arial"/>
          <w:b w:val="0"/>
          <w:color w:val="243A36"/>
          <w:sz w:val="18"/>
        </w:rPr>
        <w:t>EA / EP: dated forecast / period account; t: interval; i,j: stratum or class; o: organ or pool; g: gas; τ: event cohort; ℓ: calculation row.</w:t>
      </w:r>
    </w:p>
    <w:p>
      <w:pPr>
        <w:keepNext/>
        <w:spacing w:after="100"/>
      </w:pPr>
      <w:r>
        <w:rPr>
          <w:rFonts w:ascii="Arial" w:hAnsi="Arial" w:eastAsia="Arial" w:cs="Arial"/>
          <w:b/>
          <w:color w:val="215F52"/>
          <w:sz w:val="20"/>
        </w:rPr>
        <w:t>MR-CALC / Repeatable calculation record</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3515"/>
        <w:gridCol w:w="6225"/>
      </w:tblGrid>
      <w:tr>
        <w:trPr>
          <w:tblHeader/>
        </w:trPr>
        <w:tc>
          <w:tcPr>
            <w:tcW w:type="dxa" w:w="3515"/>
            <w:vAlign w:val="center"/>
            <w:shd w:fill="F1F5F2"/>
          </w:tcPr>
          <w:p>
            <w:pPr>
              <w:keepNext/>
              <w:spacing w:after="20"/>
            </w:pPr>
            <w:r>
              <w:rPr>
                <w:rFonts w:ascii="Arial" w:hAnsi="Arial" w:eastAsia="Arial" w:cs="Arial"/>
                <w:b/>
                <w:color w:val="215F52"/>
                <w:sz w:val="17"/>
              </w:rPr>
              <w:t>Field</w:t>
            </w:r>
          </w:p>
        </w:tc>
        <w:tc>
          <w:tcPr>
            <w:tcW w:type="dxa" w:w="6225"/>
            <w:vAlign w:val="center"/>
            <w:shd w:fill="F1F5F2"/>
          </w:tcPr>
          <w:p>
            <w:pPr>
              <w:keepNext/>
              <w:spacing w:after="20"/>
            </w:pPr>
            <w:r>
              <w:rPr>
                <w:rFonts w:ascii="Arial" w:hAnsi="Arial" w:eastAsia="Arial" w:cs="Arial"/>
                <w:b/>
                <w:color w:val="215F52"/>
                <w:sz w:val="17"/>
              </w:rPr>
              <w:t>Evidence / value / location</w:t>
            </w:r>
          </w:p>
        </w:tc>
      </w:tr>
      <w:tr>
        <w:trPr>
          <w:trHeight w:val="442" w:hRule="atLeast"/>
        </w:trPr>
        <w:tc>
          <w:tcPr>
            <w:tcW w:type="dxa" w:w="3515"/>
            <w:vAlign w:val="top"/>
          </w:tcPr>
          <w:p>
            <w:pPr>
              <w:keepNext w:val="0"/>
              <w:spacing w:after="20"/>
            </w:pPr>
            <w:r>
              <w:rPr>
                <w:rFonts w:ascii="Arial" w:hAnsi="Arial" w:eastAsia="Arial" w:cs="Arial"/>
                <w:b w:val="0"/>
                <w:color w:val="243A36"/>
                <w:sz w:val="17"/>
              </w:rPr>
              <w:t>Calculation ID / symbol / intended result</w:t>
            </w:r>
          </w:p>
        </w:tc>
        <w:tc>
          <w:tcPr>
            <w:tcW w:type="dxa" w:w="6225"/>
            <w:vAlign w:val="top"/>
          </w:tcPr>
          <w:p>
            <w:pPr>
              <w:keepNext w:val="0"/>
              <w:spacing w:after="20"/>
            </w:pPr>
            <w:sdt>
              <w:sdtPr>
                <w:id w:val="1471"/>
                <w:alias w:val="MR-CALC-R1-C2"/>
                <w:tag w:val="MR-CALC-R1-C2"/>
                <w:text w:multiLine="1"/>
              </w:sdtPr>
              <w:sdtContent>
                <w:r>
                  <w:rPr>
                    <w:rFonts w:ascii="Arial" w:hAnsi="Arial"/>
                    <w:color w:val="62716E"/>
                    <w:sz w:val="18"/>
                  </w:rPr>
                  <w:t>[Complete]</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Exact source file / version / fingerprint</w:t>
            </w:r>
          </w:p>
        </w:tc>
        <w:tc>
          <w:tcPr>
            <w:tcW w:type="dxa" w:w="6225"/>
            <w:vAlign w:val="top"/>
          </w:tcPr>
          <w:p>
            <w:pPr>
              <w:keepNext w:val="0"/>
              <w:spacing w:after="20"/>
            </w:pPr>
            <w:sdt>
              <w:sdtPr>
                <w:id w:val="1472"/>
                <w:alias w:val="MR-CALC-R2-C2"/>
                <w:tag w:val="MR-CALC-R2-C2"/>
                <w:text w:multiLine="1"/>
              </w:sdtPr>
              <w:sdtContent>
                <w:r>
                  <w:rPr>
                    <w:rFonts w:ascii="Arial" w:hAnsi="Arial"/>
                    <w:color w:val="62716E"/>
                    <w:sz w:val="18"/>
                  </w:rPr>
                  <w:t>[Complete]</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Worksheet / cell / original observation ID</w:t>
            </w:r>
          </w:p>
        </w:tc>
        <w:tc>
          <w:tcPr>
            <w:tcW w:type="dxa" w:w="6225"/>
            <w:vAlign w:val="top"/>
          </w:tcPr>
          <w:p>
            <w:pPr>
              <w:keepNext w:val="0"/>
              <w:spacing w:after="20"/>
            </w:pPr>
            <w:sdt>
              <w:sdtPr>
                <w:id w:val="1473"/>
                <w:alias w:val="MR-CALC-R3-C2"/>
                <w:tag w:val="MR-CALC-R3-C2"/>
                <w:text w:multiLine="1"/>
              </w:sdtPr>
              <w:sdtContent>
                <w:r>
                  <w:rPr>
                    <w:rFonts w:ascii="Arial" w:hAnsi="Arial"/>
                    <w:color w:val="62716E"/>
                    <w:sz w:val="18"/>
                  </w:rPr>
                  <w:t>[Complete]</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Original formula, units and period</w:t>
            </w:r>
          </w:p>
        </w:tc>
        <w:tc>
          <w:tcPr>
            <w:tcW w:type="dxa" w:w="6225"/>
            <w:vAlign w:val="top"/>
          </w:tcPr>
          <w:p>
            <w:pPr>
              <w:keepNext w:val="0"/>
              <w:spacing w:after="20"/>
            </w:pPr>
            <w:sdt>
              <w:sdtPr>
                <w:id w:val="1474"/>
                <w:alias w:val="MR-CALC-R4-C2"/>
                <w:tag w:val="MR-CALC-R4-C2"/>
                <w:text w:multiLine="1"/>
              </w:sdtPr>
              <w:sdtContent>
                <w:r>
                  <w:rPr>
                    <w:rFonts w:ascii="Arial" w:hAnsi="Arial"/>
                    <w:color w:val="62716E"/>
                    <w:sz w:val="18"/>
                  </w:rPr>
                  <w:t>[Complete]</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Input symbols, values, units and status</w:t>
            </w:r>
          </w:p>
        </w:tc>
        <w:tc>
          <w:tcPr>
            <w:tcW w:type="dxa" w:w="6225"/>
            <w:vAlign w:val="top"/>
          </w:tcPr>
          <w:p>
            <w:pPr>
              <w:keepNext w:val="0"/>
              <w:spacing w:after="20"/>
            </w:pPr>
            <w:sdt>
              <w:sdtPr>
                <w:id w:val="1475"/>
                <w:alias w:val="MR-CALC-R5-C2"/>
                <w:tag w:val="MR-CALC-R5-C2"/>
                <w:text w:multiLine="1"/>
              </w:sdtPr>
              <w:sdtContent>
                <w:r>
                  <w:rPr>
                    <w:rFonts w:ascii="Arial" w:hAnsi="Arial"/>
                    <w:color w:val="62716E"/>
                    <w:sz w:val="18"/>
                  </w:rPr>
                  <w:t>[Complete]</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NEBIOT equation / original or adapted method</w:t>
            </w:r>
          </w:p>
        </w:tc>
        <w:tc>
          <w:tcPr>
            <w:tcW w:type="dxa" w:w="6225"/>
            <w:vAlign w:val="top"/>
          </w:tcPr>
          <w:p>
            <w:pPr>
              <w:keepNext w:val="0"/>
              <w:spacing w:after="20"/>
            </w:pPr>
            <w:sdt>
              <w:sdtPr>
                <w:id w:val="1476"/>
                <w:alias w:val="MR-CALC-R6-C2"/>
                <w:tag w:val="MR-CALC-R6-C2"/>
                <w:text w:multiLine="1"/>
              </w:sdtPr>
              <w:sdtContent>
                <w:r>
                  <w:rPr>
                    <w:rFonts w:ascii="Arial" w:hAnsi="Arial"/>
                    <w:color w:val="62716E"/>
                    <w:sz w:val="18"/>
                  </w:rPr>
                  <w:t>[Complete]</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Conversion, inclusion and exclusion rationale</w:t>
            </w:r>
          </w:p>
        </w:tc>
        <w:tc>
          <w:tcPr>
            <w:tcW w:type="dxa" w:w="6225"/>
            <w:vAlign w:val="top"/>
          </w:tcPr>
          <w:p>
            <w:pPr>
              <w:keepNext w:val="0"/>
              <w:spacing w:after="20"/>
            </w:pPr>
            <w:sdt>
              <w:sdtPr>
                <w:id w:val="1477"/>
                <w:alias w:val="MR-CALC-R7-C2"/>
                <w:tag w:val="MR-CALC-R7-C2"/>
                <w:text w:multiLine="1"/>
              </w:sdtPr>
              <w:sdtContent>
                <w:r>
                  <w:rPr>
                    <w:rFonts w:ascii="Arial" w:hAnsi="Arial"/>
                    <w:color w:val="62716E"/>
                    <w:sz w:val="18"/>
                  </w:rPr>
                  <w:t>[Complete]</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Unrounded intermediate and final results</w:t>
            </w:r>
          </w:p>
        </w:tc>
        <w:tc>
          <w:tcPr>
            <w:tcW w:type="dxa" w:w="6225"/>
            <w:vAlign w:val="top"/>
          </w:tcPr>
          <w:p>
            <w:pPr>
              <w:keepNext w:val="0"/>
              <w:spacing w:after="20"/>
            </w:pPr>
            <w:sdt>
              <w:sdtPr>
                <w:id w:val="1478"/>
                <w:alias w:val="MR-CALC-R8-C2"/>
                <w:tag w:val="MR-CALC-R8-C2"/>
                <w:text w:multiLine="1"/>
              </w:sdtPr>
              <w:sdtContent>
                <w:r>
                  <w:rPr>
                    <w:rFonts w:ascii="Arial" w:hAnsi="Arial"/>
                    <w:color w:val="62716E"/>
                    <w:sz w:val="18"/>
                  </w:rPr>
                  <w:t>[Complete]</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MR table / Ex-Post table / receiving cell</w:t>
            </w:r>
          </w:p>
        </w:tc>
        <w:tc>
          <w:tcPr>
            <w:tcW w:type="dxa" w:w="6225"/>
            <w:vAlign w:val="top"/>
          </w:tcPr>
          <w:p>
            <w:pPr>
              <w:keepNext w:val="0"/>
              <w:spacing w:after="20"/>
            </w:pPr>
            <w:sdt>
              <w:sdtPr>
                <w:id w:val="1479"/>
                <w:alias w:val="MR-CALC-R9-C2"/>
                <w:tag w:val="MR-CALC-R9-C2"/>
                <w:text w:multiLine="1"/>
              </w:sdtPr>
              <w:sdtContent>
                <w:r>
                  <w:rPr>
                    <w:rFonts w:ascii="Arial" w:hAnsi="Arial"/>
                    <w:color w:val="62716E"/>
                    <w:sz w:val="18"/>
                  </w:rPr>
                  <w:t>[Complete]</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Arithmetic difference and tolerance settings</w:t>
            </w:r>
          </w:p>
        </w:tc>
        <w:tc>
          <w:tcPr>
            <w:tcW w:type="dxa" w:w="6225"/>
            <w:vAlign w:val="top"/>
          </w:tcPr>
          <w:p>
            <w:pPr>
              <w:keepNext w:val="0"/>
              <w:spacing w:after="20"/>
            </w:pPr>
            <w:sdt>
              <w:sdtPr>
                <w:id w:val="1480"/>
                <w:alias w:val="MR-CALC-R10-C2"/>
                <w:tag w:val="MR-CALC-R10-C2"/>
                <w:text w:multiLine="1"/>
              </w:sdtPr>
              <w:sdtContent>
                <w:r>
                  <w:rPr>
                    <w:rFonts w:ascii="Arial" w:hAnsi="Arial"/>
                    <w:color w:val="62716E"/>
                    <w:sz w:val="18"/>
                  </w:rPr>
                  <w:t>[Complete]</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Uncertainty and materiality: separate records</w:t>
            </w:r>
          </w:p>
        </w:tc>
        <w:tc>
          <w:tcPr>
            <w:tcW w:type="dxa" w:w="6225"/>
            <w:vAlign w:val="top"/>
          </w:tcPr>
          <w:p>
            <w:pPr>
              <w:keepNext w:val="0"/>
              <w:spacing w:after="20"/>
            </w:pPr>
            <w:sdt>
              <w:sdtPr>
                <w:id w:val="1481"/>
                <w:alias w:val="MR-CALC-R11-C2"/>
                <w:tag w:val="MR-CALC-R11-C2"/>
                <w:text w:multiLine="1"/>
              </w:sdtPr>
              <w:sdtContent>
                <w:r>
                  <w:rPr>
                    <w:rFonts w:ascii="Arial" w:hAnsi="Arial"/>
                    <w:color w:val="62716E"/>
                    <w:sz w:val="18"/>
                  </w:rPr>
                  <w:t>[Complete]</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Reviewer / evidence / finding / disposition</w:t>
            </w:r>
          </w:p>
        </w:tc>
        <w:tc>
          <w:tcPr>
            <w:tcW w:type="dxa" w:w="6225"/>
            <w:vAlign w:val="top"/>
          </w:tcPr>
          <w:p>
            <w:pPr>
              <w:keepNext w:val="0"/>
              <w:spacing w:after="20"/>
            </w:pPr>
            <w:sdt>
              <w:sdtPr>
                <w:id w:val="1482"/>
                <w:alias w:val="MR-CALC-R12-C2"/>
                <w:tag w:val="MR-CALC-R12-C2"/>
                <w:text w:multiLine="1"/>
              </w:sdtPr>
              <w:sdtContent>
                <w:r>
                  <w:rPr>
                    <w:rFonts w:ascii="Arial" w:hAnsi="Arial"/>
                    <w:color w:val="62716E"/>
                    <w:sz w:val="18"/>
                  </w:rPr>
                  <w:t>[Complete]</w:t>
                </w:r>
              </w:sdtContent>
            </w:sdt>
          </w:p>
        </w:tc>
      </w:tr>
    </w:tbl>
    <w:p>
      <w:pPr>
        <w:spacing w:after="20" w:before="0" w:line="40" w:lineRule="exact"/>
      </w:pPr>
      <w:r>
        <w:rPr>
          <w:sz w:val="4"/>
        </w:rPr>
      </w:r>
    </w:p>
    <w:p>
      <w:pPr>
        <w:spacing w:after="100"/>
      </w:pPr>
      <w:r>
        <w:rPr>
          <w:rFonts w:ascii="Arial" w:hAnsi="Arial" w:eastAsia="Arial" w:cs="Arial"/>
          <w:b/>
          <w:color w:val="215F52"/>
          <w:sz w:val="21"/>
        </w:rPr>
        <w:t>Recalculation check</w:t>
      </w:r>
    </w:p>
    <w:p>
      <w:pPr>
        <w:keepNext/>
        <w:jc w:val="center"/>
      </w:pPr>
      <m:oMath>
        <m:sSub>
          <m:e>
            <m:r>
              <w:rPr>
                <w:sz w:val="20"/>
                <w:rFonts w:ascii="Cambria Math" w:hAnsi="Cambria Math"/>
              </w:rPr>
              <m:t>δ</m:t>
            </m:r>
          </m:e>
          <m:sub>
            <m:r>
              <w:rPr>
                <w:sz w:val="20"/>
                <w:rFonts w:ascii="Cambria Math" w:hAnsi="Cambria Math"/>
              </w:rPr>
              <m:rPr>
                <m:sty m:val="p"/>
              </m:rPr>
              <m:t>ℓ</m:t>
            </m:r>
          </m:sub>
        </m:sSub>
        <m:r>
          <w:rPr>
            <w:sz w:val="20"/>
            <w:rFonts w:ascii="Cambria Math" w:hAnsi="Cambria Math"/>
          </w:rPr>
          <m:rPr>
            <m:sty m:val="p"/>
          </m:rPr>
          <m:t>=</m:t>
        </m:r>
        <m:sSubSup>
          <m:e>
            <m:r>
              <w:rPr>
                <w:sz w:val="20"/>
                <w:rFonts w:ascii="Cambria Math" w:hAnsi="Cambria Math"/>
              </w:rPr>
              <m:t>v</m:t>
            </m:r>
          </m:e>
          <m:sub>
            <m:r>
              <w:rPr>
                <w:sz w:val="20"/>
                <w:rFonts w:ascii="Cambria Math" w:hAnsi="Cambria Math"/>
              </w:rPr>
              <m:rPr>
                <m:sty m:val="p"/>
              </m:rPr>
              <m:t>ℓ</m:t>
            </m:r>
          </m:sub>
          <m:sup>
            <m:r>
              <w:rPr>
                <w:sz w:val="20"/>
                <w:rFonts w:ascii="Cambria Math" w:hAnsi="Cambria Math"/>
              </w:rPr>
              <m:rPr>
                <m:sty m:val="p"/>
              </m:rPr>
              <m:t>r</m:t>
            </m:r>
            <m:r>
              <w:rPr>
                <w:sz w:val="20"/>
                <w:rFonts w:ascii="Cambria Math" w:hAnsi="Cambria Math"/>
              </w:rPr>
              <m:rPr>
                <m:sty m:val="p"/>
              </m:rPr>
              <m:t>e</m:t>
            </m:r>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l</m:t>
            </m:r>
            <m:r>
              <w:rPr>
                <w:sz w:val="20"/>
                <w:rFonts w:ascii="Cambria Math" w:hAnsi="Cambria Math"/>
              </w:rPr>
              <m:rPr>
                <m:sty m:val="p"/>
              </m:rPr>
              <m:t>c</m:t>
            </m:r>
          </m:sup>
        </m:sSubSup>
        <m:r>
          <w:rPr>
            <w:sz w:val="20"/>
            <w:rFonts w:ascii="Cambria Math" w:hAnsi="Cambria Math"/>
          </w:rPr>
          <m:rPr>
            <m:sty m:val="p"/>
          </m:rPr>
          <m:t>−</m:t>
        </m:r>
        <m:sSubSup>
          <m:e>
            <m:r>
              <w:rPr>
                <w:sz w:val="20"/>
                <w:rFonts w:ascii="Cambria Math" w:hAnsi="Cambria Math"/>
              </w:rPr>
              <m:t>v</m:t>
            </m:r>
          </m:e>
          <m:sub>
            <m:r>
              <w:rPr>
                <w:sz w:val="20"/>
                <w:rFonts w:ascii="Cambria Math" w:hAnsi="Cambria Math"/>
              </w:rPr>
              <m:rPr>
                <m:sty m:val="p"/>
              </m:rPr>
              <m:t>ℓ</m:t>
            </m:r>
          </m:sub>
          <m:sup>
            <m:r>
              <w:rPr>
                <w:sz w:val="20"/>
                <w:rFonts w:ascii="Cambria Math" w:hAnsi="Cambria Math"/>
              </w:rPr>
              <m:rPr>
                <m:sty m:val="p"/>
              </m:rPr>
              <m:t>r</m:t>
            </m:r>
            <m:r>
              <w:rPr>
                <w:sz w:val="20"/>
                <w:rFonts w:ascii="Cambria Math" w:hAnsi="Cambria Math"/>
              </w:rPr>
              <m:rPr>
                <m:sty m:val="p"/>
              </m:rPr>
              <m:t>e</m:t>
            </m:r>
            <m:r>
              <w:rPr>
                <w:sz w:val="20"/>
                <w:rFonts w:ascii="Cambria Math" w:hAnsi="Cambria Math"/>
              </w:rPr>
              <m:rPr>
                <m:sty m:val="p"/>
              </m:rPr>
              <m:t>f</m:t>
            </m:r>
            <m:r>
              <w:rPr>
                <w:sz w:val="20"/>
                <w:rFonts w:ascii="Cambria Math" w:hAnsi="Cambria Math"/>
              </w:rPr>
              <m:rPr>
                <m:sty m:val="p"/>
              </m:rPr>
              <m:t>e</m:t>
            </m:r>
            <m:r>
              <w:rPr>
                <w:sz w:val="20"/>
                <w:rFonts w:ascii="Cambria Math" w:hAnsi="Cambria Math"/>
              </w:rPr>
              <m:rPr>
                <m:sty m:val="p"/>
              </m:rPr>
              <m:t>r</m:t>
            </m:r>
            <m:r>
              <w:rPr>
                <w:sz w:val="20"/>
                <w:rFonts w:ascii="Cambria Math" w:hAnsi="Cambria Math"/>
              </w:rPr>
              <m:rPr>
                <m:sty m:val="p"/>
              </m:rPr>
              <m:t>e</m:t>
            </m:r>
            <m:r>
              <w:rPr>
                <w:sz w:val="20"/>
                <w:rFonts w:ascii="Cambria Math" w:hAnsi="Cambria Math"/>
              </w:rPr>
              <m:rPr>
                <m:sty m:val="p"/>
              </m:rPr>
              <m:t>n</m:t>
            </m:r>
            <m:r>
              <w:rPr>
                <w:sz w:val="20"/>
                <w:rFonts w:ascii="Cambria Math" w:hAnsi="Cambria Math"/>
              </w:rPr>
              <m:rPr>
                <m:sty m:val="p"/>
              </m:rPr>
              <m:t>c</m:t>
            </m:r>
            <m:r>
              <w:rPr>
                <w:sz w:val="20"/>
                <w:rFonts w:ascii="Cambria Math" w:hAnsi="Cambria Math"/>
              </w:rPr>
              <m:rPr>
                <m:sty m:val="p"/>
              </m:rPr>
              <m:t>e</m:t>
            </m:r>
          </m:sup>
        </m:sSubSup>
      </m:oMath>
    </w:p>
    <w:p>
      <w:pPr>
        <w:keepNext/>
        <w:jc w:val="center"/>
      </w:pPr>
      <m:oMath>
        <m:d>
          <m:dPr>
            <m:begChr m:val="|"/>
            <m:endChr m:val="|"/>
            <m:sepChr m:val=""/>
            <m:grow/>
          </m:dPr>
          <m:e>
            <m:sSub>
              <m:e>
                <m:r>
                  <w:rPr>
                    <w:sz w:val="20"/>
                    <w:rFonts w:ascii="Cambria Math" w:hAnsi="Cambria Math"/>
                  </w:rPr>
                  <m:t>δ</m:t>
                </m:r>
              </m:e>
              <m:sub>
                <m:r>
                  <w:rPr>
                    <w:sz w:val="20"/>
                    <w:rFonts w:ascii="Cambria Math" w:hAnsi="Cambria Math"/>
                  </w:rPr>
                  <m:rPr>
                    <m:sty m:val="p"/>
                  </m:rPr>
                  <m:t>ℓ</m:t>
                </m:r>
              </m:sub>
            </m:sSub>
          </m:e>
        </m:d>
        <m:r>
          <w:rPr>
            <w:sz w:val="20"/>
            <w:rFonts w:ascii="Cambria Math" w:hAnsi="Cambria Math"/>
          </w:rPr>
          <m:rPr>
            <m:sty m:val="p"/>
          </m:rPr>
          <m:t>≤</m:t>
        </m:r>
        <m:sSub>
          <m:e>
            <m:r>
              <w:rPr>
                <w:sz w:val="20"/>
                <w:rFonts w:ascii="Cambria Math" w:hAnsi="Cambria Math"/>
              </w:rPr>
              <m:t>ε</m:t>
            </m:r>
          </m:e>
          <m:sub>
            <m:r>
              <w:rPr>
                <w:sz w:val="20"/>
                <w:rFonts w:ascii="Cambria Math" w:hAnsi="Cambria Math"/>
              </w:rPr>
              <m:t>a</m:t>
            </m:r>
          </m:sub>
        </m:sSub>
        <m:r>
          <w:rPr>
            <w:sz w:val="20"/>
            <w:rFonts w:ascii="Cambria Math" w:hAnsi="Cambria Math"/>
          </w:rPr>
          <m:rPr>
            <m:sty m:val="p"/>
          </m:rPr>
          <m:t>+</m:t>
        </m:r>
        <m:sSub>
          <m:e>
            <m:r>
              <w:rPr>
                <w:sz w:val="20"/>
                <w:rFonts w:ascii="Cambria Math" w:hAnsi="Cambria Math"/>
              </w:rPr>
              <m:t>ε</m:t>
            </m:r>
          </m:e>
          <m:sub>
            <m:r>
              <w:rPr>
                <w:sz w:val="20"/>
                <w:rFonts w:ascii="Cambria Math" w:hAnsi="Cambria Math"/>
              </w:rPr>
              <m:t>r</m:t>
            </m:r>
          </m:sub>
        </m:sSub>
        <m:d>
          <m:dPr>
            <m:begChr m:val="|"/>
            <m:endChr m:val="|"/>
            <m:sepChr m:val=""/>
            <m:grow/>
          </m:dPr>
          <m:e>
            <m:sSubSup>
              <m:e>
                <m:r>
                  <w:rPr>
                    <w:sz w:val="20"/>
                    <w:rFonts w:ascii="Cambria Math" w:hAnsi="Cambria Math"/>
                  </w:rPr>
                  <m:t>v</m:t>
                </m:r>
              </m:e>
              <m:sub>
                <m:r>
                  <w:rPr>
                    <w:sz w:val="20"/>
                    <w:rFonts w:ascii="Cambria Math" w:hAnsi="Cambria Math"/>
                  </w:rPr>
                  <m:rPr>
                    <m:sty m:val="p"/>
                  </m:rPr>
                  <m:t>ℓ</m:t>
                </m:r>
              </m:sub>
              <m:sup>
                <m:r>
                  <w:rPr>
                    <w:sz w:val="20"/>
                    <w:rFonts w:ascii="Cambria Math" w:hAnsi="Cambria Math"/>
                  </w:rPr>
                  <m:rPr>
                    <m:sty m:val="p"/>
                  </m:rPr>
                  <m:t>r</m:t>
                </m:r>
                <m:r>
                  <w:rPr>
                    <w:sz w:val="20"/>
                    <w:rFonts w:ascii="Cambria Math" w:hAnsi="Cambria Math"/>
                  </w:rPr>
                  <m:rPr>
                    <m:sty m:val="p"/>
                  </m:rPr>
                  <m:t>e</m:t>
                </m:r>
                <m:r>
                  <w:rPr>
                    <w:sz w:val="20"/>
                    <w:rFonts w:ascii="Cambria Math" w:hAnsi="Cambria Math"/>
                  </w:rPr>
                  <m:rPr>
                    <m:sty m:val="p"/>
                  </m:rPr>
                  <m:t>f</m:t>
                </m:r>
                <m:r>
                  <w:rPr>
                    <w:sz w:val="20"/>
                    <w:rFonts w:ascii="Cambria Math" w:hAnsi="Cambria Math"/>
                  </w:rPr>
                  <m:rPr>
                    <m:sty m:val="p"/>
                  </m:rPr>
                  <m:t>e</m:t>
                </m:r>
                <m:r>
                  <w:rPr>
                    <w:sz w:val="20"/>
                    <w:rFonts w:ascii="Cambria Math" w:hAnsi="Cambria Math"/>
                  </w:rPr>
                  <m:rPr>
                    <m:sty m:val="p"/>
                  </m:rPr>
                  <m:t>r</m:t>
                </m:r>
                <m:r>
                  <w:rPr>
                    <w:sz w:val="20"/>
                    <w:rFonts w:ascii="Cambria Math" w:hAnsi="Cambria Math"/>
                  </w:rPr>
                  <m:rPr>
                    <m:sty m:val="p"/>
                  </m:rPr>
                  <m:t>e</m:t>
                </m:r>
                <m:r>
                  <w:rPr>
                    <w:sz w:val="20"/>
                    <w:rFonts w:ascii="Cambria Math" w:hAnsi="Cambria Math"/>
                  </w:rPr>
                  <m:rPr>
                    <m:sty m:val="p"/>
                  </m:rPr>
                  <m:t>n</m:t>
                </m:r>
                <m:r>
                  <w:rPr>
                    <w:sz w:val="20"/>
                    <w:rFonts w:ascii="Cambria Math" w:hAnsi="Cambria Math"/>
                  </w:rPr>
                  <m:rPr>
                    <m:sty m:val="p"/>
                  </m:rPr>
                  <m:t>c</m:t>
                </m:r>
                <m:r>
                  <w:rPr>
                    <w:sz w:val="20"/>
                    <w:rFonts w:ascii="Cambria Math" w:hAnsi="Cambria Math"/>
                  </w:rPr>
                  <m:rPr>
                    <m:sty m:val="p"/>
                  </m:rPr>
                  <m:t>e</m:t>
                </m:r>
              </m:sup>
            </m:sSubSup>
          </m:e>
        </m:d>
      </m:oMath>
    </w:p>
    <w:p>
      <w:pPr>
        <w:spacing w:after="100"/>
      </w:pPr>
      <w:r>
        <w:rPr>
          <w:rFonts w:ascii="Arial" w:hAnsi="Arial" w:eastAsia="Arial" w:cs="Arial"/>
          <w:b w:val="0"/>
          <w:color w:val="243A36"/>
          <w:sz w:val="18"/>
        </w:rPr>
        <w:t>The absolute tolerance has the result unit and the relative tolerance is dimensionless. Enter both as software comparison settings, not materiality criteria. Compare unrounded values after confirming matched methods and support. A justified NEBIOT methodological difference need not be zero.</w:t>
      </w:r>
    </w:p>
    <w:p>
      <w:bookmarkStart w:id="600" w:name="MR_XREF"/>
      <w:pPr>
        <w:pStyle w:val="Heading1"/>
        <w:keepNext/>
        <w:pageBreakBefore/>
      </w:pPr>
      <w:r>
        <w:rPr>
          <w:rFonts w:ascii="Arial" w:hAnsi="Arial" w:eastAsia="Arial" w:cs="Arial"/>
          <w:b w:val="0"/>
          <w:color w:val="215F52"/>
          <w:sz w:val="38"/>
        </w:rPr>
        <w:t>XREF  PD–Ex-Ante–Ex-Post crosswalk</w:t>
      </w:r>
      <w:bookmarkEnd w:id="600"/>
    </w:p>
    <w:p>
      <w:pPr>
        <w:keepNext/>
        <w:spacing w:after="100"/>
      </w:pPr>
      <w:r>
        <w:rPr>
          <w:rFonts w:ascii="Arial" w:hAnsi="Arial" w:eastAsia="Arial" w:cs="Arial"/>
          <w:b w:val="0"/>
          <w:color w:val="62716E"/>
          <w:sz w:val="16"/>
        </w:rPr>
        <w:t>[1] CYC-05; P-02; P-04; FRM-01; FRM-02</w:t>
      </w:r>
    </w:p>
    <w:p>
      <w:pPr>
        <w:spacing w:after="100"/>
      </w:pPr>
      <w:r>
        <w:rPr>
          <w:rFonts w:ascii="Arial" w:hAnsi="Arial" w:eastAsia="Arial" w:cs="Arial"/>
          <w:b w:val="0"/>
          <w:color w:val="243A36"/>
          <w:sz w:val="19"/>
        </w:rPr>
        <w:t>The section numbers below refer to template edition 1.2 [2–4], not to every completed project document. Section 02 records the exact project versions and corresponding sections. Follow these references with the evidence and formula records; the crosswalk does not authorize an omitted requirement.</w:t>
      </w:r>
    </w:p>
    <w:tbl>
      <w:tblPr>
        <w:tblW w:type="auto" w:w="0"/>
        <w:jc w:val="center"/>
        <w:tblLayout w:type="fixed"/>
        <w:tblLook w:firstColumn="1" w:firstRow="1" w:lastColumn="0" w:lastRow="0" w:noHBand="0" w:noVBand="1" w:val="04A0"/>
      </w:tblPr>
      <w:tblGrid>
        <w:gridCol w:w="4876"/>
        <w:gridCol w:w="1701"/>
        <w:gridCol w:w="1587"/>
        <w:gridCol w:w="1576"/>
      </w:tblGrid>
      <w:tr>
        <w:trPr>
          <w:tblHeader/>
        </w:trPr>
        <w:tc>
          <w:tcPr>
            <w:tcW w:type="dxa" w:w="2436"/>
            <w:shd w:fill="F1F5F2"/>
          </w:tcPr>
          <w:p>
            <w:r>
              <w:rPr>
                <w:rFonts w:ascii="Arial" w:hAnsi="Arial" w:eastAsia="Arial" w:cs="Arial"/>
                <w:b/>
                <w:color w:val="215F52"/>
                <w:sz w:val="18"/>
              </w:rPr>
              <w:t>MR section</w:t>
            </w:r>
          </w:p>
        </w:tc>
        <w:tc>
          <w:tcPr>
            <w:tcW w:type="dxa" w:w="2436"/>
            <w:shd w:fill="F1F5F2"/>
          </w:tcPr>
          <w:p>
            <w:r>
              <w:rPr>
                <w:rFonts w:ascii="Arial" w:hAnsi="Arial" w:eastAsia="Arial" w:cs="Arial"/>
                <w:b/>
                <w:color w:val="215F52"/>
                <w:sz w:val="18"/>
              </w:rPr>
              <w:t>PD [2]</w:t>
            </w:r>
          </w:p>
        </w:tc>
        <w:tc>
          <w:tcPr>
            <w:tcW w:type="dxa" w:w="2436"/>
            <w:shd w:fill="F1F5F2"/>
          </w:tcPr>
          <w:p>
            <w:r>
              <w:rPr>
                <w:rFonts w:ascii="Arial" w:hAnsi="Arial" w:eastAsia="Arial" w:cs="Arial"/>
                <w:b/>
                <w:color w:val="215F52"/>
                <w:sz w:val="18"/>
              </w:rPr>
              <w:t>EA [3]</w:t>
            </w:r>
          </w:p>
        </w:tc>
        <w:tc>
          <w:tcPr>
            <w:tcW w:type="dxa" w:w="2436"/>
            <w:shd w:fill="F1F5F2"/>
          </w:tcPr>
          <w:p>
            <w:r>
              <w:rPr>
                <w:rFonts w:ascii="Arial" w:hAnsi="Arial" w:eastAsia="Arial" w:cs="Arial"/>
                <w:b/>
                <w:color w:val="215F52"/>
                <w:sz w:val="18"/>
              </w:rPr>
              <w:t>EP [4]</w:t>
            </w:r>
          </w:p>
        </w:tc>
      </w:tr>
      <w:tr>
        <w:tc>
          <w:tcPr>
            <w:tcW w:type="dxa" w:w="4876"/>
          </w:tcPr>
          <w:p>
            <w:pPr>
              <w:keepNext w:val="0"/>
              <w:spacing w:after="100"/>
            </w:pPr>
            <w:hyperlink w:anchor="MR_01">
              <w:r>
                <w:rPr>
                  <w:color w:val="215F52"/>
                  <w:sz w:val="18"/>
                </w:rPr>
                <w:t>01 Monitoring period and results overview</w:t>
              </w:r>
            </w:hyperlink>
          </w:p>
        </w:tc>
        <w:tc>
          <w:tcPr>
            <w:tcW w:type="dxa" w:w="1701"/>
          </w:tcPr>
          <w:p>
            <w:pPr>
              <w:keepNext w:val="0"/>
              <w:spacing w:after="100"/>
            </w:pPr>
            <w:r>
              <w:rPr>
                <w:rFonts w:ascii="Arial" w:hAnsi="Arial" w:eastAsia="Arial" w:cs="Arial"/>
                <w:b w:val="0"/>
                <w:color w:val="243A36"/>
                <w:sz w:val="17"/>
              </w:rPr>
              <w:t>01; 12</w:t>
            </w:r>
          </w:p>
        </w:tc>
        <w:tc>
          <w:tcPr>
            <w:tcW w:type="dxa" w:w="1587"/>
          </w:tcPr>
          <w:p>
            <w:pPr>
              <w:keepNext w:val="0"/>
              <w:spacing w:after="100"/>
            </w:pPr>
            <w:r>
              <w:rPr>
                <w:rFonts w:ascii="Arial" w:hAnsi="Arial" w:eastAsia="Arial" w:cs="Arial"/>
                <w:b w:val="0"/>
                <w:color w:val="243A36"/>
                <w:sz w:val="17"/>
              </w:rPr>
              <w:t>01; 07</w:t>
            </w:r>
          </w:p>
        </w:tc>
        <w:tc>
          <w:tcPr>
            <w:tcW w:type="dxa" w:w="1576"/>
          </w:tcPr>
          <w:p>
            <w:pPr>
              <w:keepNext w:val="0"/>
              <w:spacing w:after="100"/>
            </w:pPr>
            <w:r>
              <w:rPr>
                <w:rFonts w:ascii="Arial" w:hAnsi="Arial" w:eastAsia="Arial" w:cs="Arial"/>
                <w:b w:val="0"/>
                <w:color w:val="243A36"/>
                <w:sz w:val="17"/>
              </w:rPr>
              <w:t>01; 07; 08</w:t>
            </w:r>
          </w:p>
        </w:tc>
      </w:tr>
      <w:tr>
        <w:tc>
          <w:tcPr>
            <w:tcW w:type="dxa" w:w="4876"/>
          </w:tcPr>
          <w:p>
            <w:pPr>
              <w:keepNext w:val="0"/>
              <w:spacing w:after="100"/>
            </w:pPr>
            <w:hyperlink w:anchor="MR_02">
              <w:r>
                <w:rPr>
                  <w:color w:val="215F52"/>
                  <w:sz w:val="18"/>
                </w:rPr>
                <w:t>02 Controlled PD, forecast and outcome records</w:t>
              </w:r>
            </w:hyperlink>
          </w:p>
        </w:tc>
        <w:tc>
          <w:tcPr>
            <w:tcW w:type="dxa" w:w="1701"/>
          </w:tcPr>
          <w:p>
            <w:pPr>
              <w:keepNext w:val="0"/>
              <w:spacing w:after="100"/>
            </w:pPr>
            <w:r>
              <w:rPr>
                <w:rFonts w:ascii="Arial" w:hAnsi="Arial" w:eastAsia="Arial" w:cs="Arial"/>
                <w:b w:val="0"/>
                <w:color w:val="243A36"/>
                <w:sz w:val="17"/>
              </w:rPr>
              <w:t>01; 14; 15; 17; A</w:t>
            </w:r>
          </w:p>
        </w:tc>
        <w:tc>
          <w:tcPr>
            <w:tcW w:type="dxa" w:w="1587"/>
          </w:tcPr>
          <w:p>
            <w:pPr>
              <w:keepNext w:val="0"/>
              <w:spacing w:after="100"/>
            </w:pPr>
            <w:r>
              <w:rPr>
                <w:rFonts w:ascii="Arial" w:hAnsi="Arial" w:eastAsia="Arial" w:cs="Arial"/>
                <w:b w:val="0"/>
                <w:color w:val="243A36"/>
                <w:sz w:val="17"/>
              </w:rPr>
              <w:t>01; 11</w:t>
            </w:r>
          </w:p>
        </w:tc>
        <w:tc>
          <w:tcPr>
            <w:tcW w:type="dxa" w:w="1576"/>
          </w:tcPr>
          <w:p>
            <w:pPr>
              <w:keepNext w:val="0"/>
              <w:spacing w:after="100"/>
            </w:pPr>
            <w:r>
              <w:rPr>
                <w:rFonts w:ascii="Arial" w:hAnsi="Arial" w:eastAsia="Arial" w:cs="Arial"/>
                <w:b w:val="0"/>
                <w:color w:val="243A36"/>
                <w:sz w:val="17"/>
              </w:rPr>
              <w:t>01; 12</w:t>
            </w:r>
          </w:p>
        </w:tc>
      </w:tr>
      <w:tr>
        <w:tc>
          <w:tcPr>
            <w:tcW w:type="dxa" w:w="4876"/>
          </w:tcPr>
          <w:p>
            <w:pPr>
              <w:keepNext w:val="0"/>
              <w:spacing w:after="100"/>
            </w:pPr>
            <w:hyperlink w:anchor="MR_03">
              <w:r>
                <w:rPr>
                  <w:color w:val="215F52"/>
                  <w:sz w:val="18"/>
                </w:rPr>
                <w:t>03 Responsible parties, rights and access</w:t>
              </w:r>
            </w:hyperlink>
          </w:p>
        </w:tc>
        <w:tc>
          <w:tcPr>
            <w:tcW w:type="dxa" w:w="1701"/>
          </w:tcPr>
          <w:p>
            <w:pPr>
              <w:keepNext w:val="0"/>
              <w:spacing w:after="100"/>
            </w:pPr>
            <w:r>
              <w:rPr>
                <w:rFonts w:ascii="Arial" w:hAnsi="Arial" w:eastAsia="Arial" w:cs="Arial"/>
                <w:b w:val="0"/>
                <w:color w:val="243A36"/>
                <w:sz w:val="17"/>
              </w:rPr>
              <w:t>02</w:t>
            </w:r>
          </w:p>
        </w:tc>
        <w:tc>
          <w:tcPr>
            <w:tcW w:type="dxa" w:w="1587"/>
          </w:tcPr>
          <w:p>
            <w:pPr>
              <w:keepNext w:val="0"/>
              <w:spacing w:after="100"/>
            </w:pPr>
            <w:r>
              <w:rPr>
                <w:rFonts w:ascii="Arial" w:hAnsi="Arial" w:eastAsia="Arial" w:cs="Arial"/>
                <w:b w:val="0"/>
                <w:color w:val="243A36"/>
                <w:sz w:val="17"/>
              </w:rPr>
              <w:t>11</w:t>
            </w:r>
          </w:p>
        </w:tc>
        <w:tc>
          <w:tcPr>
            <w:tcW w:type="dxa" w:w="1576"/>
          </w:tcPr>
          <w:p>
            <w:pPr>
              <w:keepNext w:val="0"/>
              <w:spacing w:after="100"/>
            </w:pPr>
            <w:r>
              <w:rPr>
                <w:rFonts w:ascii="Arial" w:hAnsi="Arial" w:eastAsia="Arial" w:cs="Arial"/>
                <w:b w:val="0"/>
                <w:color w:val="243A36"/>
                <w:sz w:val="17"/>
              </w:rPr>
              <w:t>01; 10</w:t>
            </w:r>
          </w:p>
        </w:tc>
      </w:tr>
      <w:tr>
        <w:tc>
          <w:tcPr>
            <w:tcW w:type="dxa" w:w="4876"/>
          </w:tcPr>
          <w:p>
            <w:pPr>
              <w:keepNext w:val="0"/>
              <w:spacing w:after="100"/>
            </w:pPr>
            <w:hyperlink w:anchor="MR_04">
              <w:r>
                <w:rPr>
                  <w:color w:val="215F52"/>
                  <w:sz w:val="18"/>
                </w:rPr>
                <w:t>04 Implementation against the PD</w:t>
              </w:r>
            </w:hyperlink>
          </w:p>
        </w:tc>
        <w:tc>
          <w:tcPr>
            <w:tcW w:type="dxa" w:w="1701"/>
          </w:tcPr>
          <w:p>
            <w:pPr>
              <w:keepNext w:val="0"/>
              <w:spacing w:after="100"/>
            </w:pPr>
            <w:r>
              <w:rPr>
                <w:rFonts w:ascii="Arial" w:hAnsi="Arial" w:eastAsia="Arial" w:cs="Arial"/>
                <w:b w:val="0"/>
                <w:color w:val="243A36"/>
                <w:sz w:val="17"/>
              </w:rPr>
              <w:t>04; 13</w:t>
            </w:r>
          </w:p>
        </w:tc>
        <w:tc>
          <w:tcPr>
            <w:tcW w:type="dxa" w:w="1587"/>
          </w:tcPr>
          <w:p>
            <w:pPr>
              <w:keepNext w:val="0"/>
              <w:spacing w:after="100"/>
            </w:pPr>
            <w:r>
              <w:rPr>
                <w:rFonts w:ascii="Arial" w:hAnsi="Arial" w:eastAsia="Arial" w:cs="Arial"/>
                <w:b w:val="0"/>
                <w:color w:val="243A36"/>
                <w:sz w:val="17"/>
              </w:rPr>
              <w:t>04; 10</w:t>
            </w:r>
          </w:p>
        </w:tc>
        <w:tc>
          <w:tcPr>
            <w:tcW w:type="dxa" w:w="1576"/>
          </w:tcPr>
          <w:p>
            <w:pPr>
              <w:keepNext w:val="0"/>
              <w:spacing w:after="100"/>
            </w:pPr>
            <w:r>
              <w:rPr>
                <w:rFonts w:ascii="Arial" w:hAnsi="Arial" w:eastAsia="Arial" w:cs="Arial"/>
                <w:b w:val="0"/>
                <w:color w:val="243A36"/>
                <w:sz w:val="17"/>
              </w:rPr>
              <w:t>04; 10</w:t>
            </w:r>
          </w:p>
        </w:tc>
      </w:tr>
      <w:tr>
        <w:tc>
          <w:tcPr>
            <w:tcW w:type="dxa" w:w="4876"/>
          </w:tcPr>
          <w:p>
            <w:pPr>
              <w:keepNext w:val="0"/>
              <w:spacing w:after="100"/>
            </w:pPr>
            <w:hyperlink w:anchor="MR_05">
              <w:r>
                <w:rPr>
                  <w:color w:val="215F52"/>
                  <w:sz w:val="18"/>
                </w:rPr>
                <w:t>05 Monitoring plan: intended versus performed</w:t>
              </w:r>
            </w:hyperlink>
          </w:p>
        </w:tc>
        <w:tc>
          <w:tcPr>
            <w:tcW w:type="dxa" w:w="1701"/>
          </w:tcPr>
          <w:p>
            <w:pPr>
              <w:keepNext w:val="0"/>
              <w:spacing w:after="100"/>
            </w:pPr>
            <w:r>
              <w:rPr>
                <w:rFonts w:ascii="Arial" w:hAnsi="Arial" w:eastAsia="Arial" w:cs="Arial"/>
                <w:b w:val="0"/>
                <w:color w:val="243A36"/>
                <w:sz w:val="17"/>
              </w:rPr>
              <w:t>14; 15</w:t>
            </w:r>
          </w:p>
        </w:tc>
        <w:tc>
          <w:tcPr>
            <w:tcW w:type="dxa" w:w="1587"/>
          </w:tcPr>
          <w:p>
            <w:pPr>
              <w:keepNext w:val="0"/>
              <w:spacing w:after="100"/>
            </w:pPr>
            <w:r>
              <w:rPr>
                <w:rFonts w:ascii="Arial" w:hAnsi="Arial" w:eastAsia="Arial" w:cs="Arial"/>
                <w:b w:val="0"/>
                <w:color w:val="243A36"/>
                <w:sz w:val="17"/>
              </w:rPr>
              <w:t>02; 08</w:t>
            </w:r>
          </w:p>
        </w:tc>
        <w:tc>
          <w:tcPr>
            <w:tcW w:type="dxa" w:w="1576"/>
          </w:tcPr>
          <w:p>
            <w:pPr>
              <w:keepNext w:val="0"/>
              <w:spacing w:after="100"/>
            </w:pPr>
            <w:r>
              <w:rPr>
                <w:rFonts w:ascii="Arial" w:hAnsi="Arial" w:eastAsia="Arial" w:cs="Arial"/>
                <w:b w:val="0"/>
                <w:color w:val="243A36"/>
                <w:sz w:val="17"/>
              </w:rPr>
              <w:t>02</w:t>
            </w:r>
          </w:p>
        </w:tc>
      </w:tr>
      <w:tr>
        <w:tc>
          <w:tcPr>
            <w:tcW w:type="dxa" w:w="4876"/>
          </w:tcPr>
          <w:p>
            <w:pPr>
              <w:keepNext w:val="0"/>
              <w:spacing w:after="100"/>
            </w:pPr>
            <w:hyperlink w:anchor="MR_06">
              <w:r>
                <w:rPr>
                  <w:color w:val="215F52"/>
                  <w:sz w:val="18"/>
                </w:rPr>
                <w:t>06 Spatial scope and monitoring maps</w:t>
              </w:r>
            </w:hyperlink>
          </w:p>
        </w:tc>
        <w:tc>
          <w:tcPr>
            <w:tcW w:type="dxa" w:w="1701"/>
          </w:tcPr>
          <w:p>
            <w:pPr>
              <w:keepNext w:val="0"/>
              <w:spacing w:after="100"/>
            </w:pPr>
            <w:r>
              <w:rPr>
                <w:rFonts w:ascii="Arial" w:hAnsi="Arial" w:eastAsia="Arial" w:cs="Arial"/>
                <w:b w:val="0"/>
                <w:color w:val="243A36"/>
                <w:sz w:val="17"/>
              </w:rPr>
              <w:t>03; 08</w:t>
            </w:r>
          </w:p>
        </w:tc>
        <w:tc>
          <w:tcPr>
            <w:tcW w:type="dxa" w:w="1587"/>
          </w:tcPr>
          <w:p>
            <w:pPr>
              <w:keepNext w:val="0"/>
              <w:spacing w:after="100"/>
            </w:pPr>
            <w:r>
              <w:rPr>
                <w:rFonts w:ascii="Arial" w:hAnsi="Arial" w:eastAsia="Arial" w:cs="Arial"/>
                <w:b w:val="0"/>
                <w:color w:val="243A36"/>
                <w:sz w:val="17"/>
              </w:rPr>
              <w:t>02</w:t>
            </w:r>
          </w:p>
        </w:tc>
        <w:tc>
          <w:tcPr>
            <w:tcW w:type="dxa" w:w="1576"/>
          </w:tcPr>
          <w:p>
            <w:pPr>
              <w:keepNext w:val="0"/>
              <w:spacing w:after="100"/>
            </w:pPr>
            <w:r>
              <w:rPr>
                <w:rFonts w:ascii="Arial" w:hAnsi="Arial" w:eastAsia="Arial" w:cs="Arial"/>
                <w:b w:val="0"/>
                <w:color w:val="243A36"/>
                <w:sz w:val="17"/>
              </w:rPr>
              <w:t>02; 11</w:t>
            </w:r>
          </w:p>
        </w:tc>
      </w:tr>
      <w:tr>
        <w:tc>
          <w:tcPr>
            <w:tcW w:type="dxa" w:w="4876"/>
          </w:tcPr>
          <w:p>
            <w:pPr>
              <w:keepNext w:val="0"/>
              <w:spacing w:after="100"/>
            </w:pPr>
            <w:hyperlink w:anchor="MR_07">
              <w:r>
                <w:rPr>
                  <w:color w:val="215F52"/>
                  <w:sz w:val="18"/>
                </w:rPr>
                <w:t>07 NEB001: vegetation identity and change</w:t>
              </w:r>
            </w:hyperlink>
          </w:p>
        </w:tc>
        <w:tc>
          <w:tcPr>
            <w:tcW w:type="dxa" w:w="1701"/>
          </w:tcPr>
          <w:p>
            <w:pPr>
              <w:keepNext w:val="0"/>
              <w:spacing w:after="100"/>
            </w:pPr>
            <w:r>
              <w:rPr>
                <w:rFonts w:ascii="Arial" w:hAnsi="Arial" w:eastAsia="Arial" w:cs="Arial"/>
                <w:b w:val="0"/>
                <w:color w:val="243A36"/>
                <w:sz w:val="17"/>
              </w:rPr>
              <w:t>05; 14</w:t>
            </w:r>
          </w:p>
        </w:tc>
        <w:tc>
          <w:tcPr>
            <w:tcW w:type="dxa" w:w="1587"/>
          </w:tcPr>
          <w:p>
            <w:pPr>
              <w:keepNext w:val="0"/>
              <w:spacing w:after="100"/>
            </w:pPr>
            <w:r>
              <w:rPr>
                <w:rFonts w:ascii="Arial" w:hAnsi="Arial" w:eastAsia="Arial" w:cs="Arial"/>
                <w:b w:val="0"/>
                <w:color w:val="243A36"/>
                <w:sz w:val="17"/>
              </w:rPr>
              <w:t>02; 06</w:t>
            </w:r>
          </w:p>
        </w:tc>
        <w:tc>
          <w:tcPr>
            <w:tcW w:type="dxa" w:w="1576"/>
          </w:tcPr>
          <w:p>
            <w:pPr>
              <w:keepNext w:val="0"/>
              <w:spacing w:after="100"/>
            </w:pPr>
            <w:r>
              <w:rPr>
                <w:rFonts w:ascii="Arial" w:hAnsi="Arial" w:eastAsia="Arial" w:cs="Arial"/>
                <w:b w:val="0"/>
                <w:color w:val="243A36"/>
                <w:sz w:val="17"/>
              </w:rPr>
              <w:t>02</w:t>
            </w:r>
          </w:p>
        </w:tc>
      </w:tr>
      <w:tr>
        <w:tc>
          <w:tcPr>
            <w:tcW w:type="dxa" w:w="4876"/>
          </w:tcPr>
          <w:p>
            <w:pPr>
              <w:keepNext w:val="0"/>
              <w:spacing w:after="100"/>
            </w:pPr>
            <w:hyperlink w:anchor="MR_08">
              <w:r>
                <w:rPr>
                  <w:color w:val="215F52"/>
                  <w:sz w:val="18"/>
                </w:rPr>
                <w:t>08 NEB002: material, carbon and model evidence</w:t>
              </w:r>
            </w:hyperlink>
          </w:p>
        </w:tc>
        <w:tc>
          <w:tcPr>
            <w:tcW w:type="dxa" w:w="1701"/>
          </w:tcPr>
          <w:p>
            <w:pPr>
              <w:keepNext w:val="0"/>
              <w:spacing w:after="100"/>
            </w:pPr>
            <w:r>
              <w:rPr>
                <w:rFonts w:ascii="Arial" w:hAnsi="Arial" w:eastAsia="Arial" w:cs="Arial"/>
                <w:b w:val="0"/>
                <w:color w:val="243A36"/>
                <w:sz w:val="17"/>
              </w:rPr>
              <w:t>05; 09; 14</w:t>
            </w:r>
          </w:p>
        </w:tc>
        <w:tc>
          <w:tcPr>
            <w:tcW w:type="dxa" w:w="1587"/>
          </w:tcPr>
          <w:p>
            <w:pPr>
              <w:keepNext w:val="0"/>
              <w:spacing w:after="100"/>
            </w:pPr>
            <w:r>
              <w:rPr>
                <w:rFonts w:ascii="Arial" w:hAnsi="Arial" w:eastAsia="Arial" w:cs="Arial"/>
                <w:b w:val="0"/>
                <w:color w:val="243A36"/>
                <w:sz w:val="17"/>
              </w:rPr>
              <w:t>02; 06</w:t>
            </w:r>
          </w:p>
        </w:tc>
        <w:tc>
          <w:tcPr>
            <w:tcW w:type="dxa" w:w="1576"/>
          </w:tcPr>
          <w:p>
            <w:pPr>
              <w:keepNext w:val="0"/>
              <w:spacing w:after="100"/>
            </w:pPr>
            <w:r>
              <w:rPr>
                <w:rFonts w:ascii="Arial" w:hAnsi="Arial" w:eastAsia="Arial" w:cs="Arial"/>
                <w:b w:val="0"/>
                <w:color w:val="243A36"/>
                <w:sz w:val="17"/>
              </w:rPr>
              <w:t>02; 06</w:t>
            </w:r>
          </w:p>
        </w:tc>
      </w:tr>
      <w:tr>
        <w:tc>
          <w:tcPr>
            <w:tcW w:type="dxa" w:w="4876"/>
          </w:tcPr>
          <w:p>
            <w:pPr>
              <w:keepNext w:val="0"/>
              <w:spacing w:after="100"/>
            </w:pPr>
            <w:hyperlink w:anchor="MR_09">
              <w:r>
                <w:rPr>
                  <w:color w:val="215F52"/>
                  <w:sz w:val="18"/>
                </w:rPr>
                <w:t>09 Quality control, custody and missing observations</w:t>
              </w:r>
            </w:hyperlink>
          </w:p>
        </w:tc>
        <w:tc>
          <w:tcPr>
            <w:tcW w:type="dxa" w:w="1701"/>
          </w:tcPr>
          <w:p>
            <w:pPr>
              <w:keepNext w:val="0"/>
              <w:spacing w:after="100"/>
            </w:pPr>
            <w:r>
              <w:rPr>
                <w:rFonts w:ascii="Arial" w:hAnsi="Arial" w:eastAsia="Arial" w:cs="Arial"/>
                <w:b w:val="0"/>
                <w:color w:val="243A36"/>
                <w:sz w:val="17"/>
              </w:rPr>
              <w:t>05; 14; 17</w:t>
            </w:r>
          </w:p>
        </w:tc>
        <w:tc>
          <w:tcPr>
            <w:tcW w:type="dxa" w:w="1587"/>
          </w:tcPr>
          <w:p>
            <w:pPr>
              <w:keepNext w:val="0"/>
              <w:spacing w:after="100"/>
            </w:pPr>
            <w:r>
              <w:rPr>
                <w:rFonts w:ascii="Arial" w:hAnsi="Arial" w:eastAsia="Arial" w:cs="Arial"/>
                <w:b w:val="0"/>
                <w:color w:val="243A36"/>
                <w:sz w:val="17"/>
              </w:rPr>
              <w:t>02; 11</w:t>
            </w:r>
          </w:p>
        </w:tc>
        <w:tc>
          <w:tcPr>
            <w:tcW w:type="dxa" w:w="1576"/>
          </w:tcPr>
          <w:p>
            <w:pPr>
              <w:keepNext w:val="0"/>
              <w:spacing w:after="100"/>
            </w:pPr>
            <w:r>
              <w:rPr>
                <w:rFonts w:ascii="Arial" w:hAnsi="Arial" w:eastAsia="Arial" w:cs="Arial"/>
                <w:b w:val="0"/>
                <w:color w:val="243A36"/>
                <w:sz w:val="17"/>
              </w:rPr>
              <w:t>02; 12</w:t>
            </w:r>
          </w:p>
        </w:tc>
      </w:tr>
      <w:tr>
        <w:tc>
          <w:tcPr>
            <w:tcW w:type="dxa" w:w="4876"/>
          </w:tcPr>
          <w:p>
            <w:pPr>
              <w:keepNext w:val="0"/>
              <w:spacing w:after="100"/>
            </w:pPr>
            <w:hyperlink w:anchor="MR_10">
              <w:r>
                <w:rPr>
                  <w:color w:val="215F52"/>
                  <w:sz w:val="18"/>
                </w:rPr>
                <w:t>10 Deviations, corrections and parameter changes</w:t>
              </w:r>
            </w:hyperlink>
          </w:p>
        </w:tc>
        <w:tc>
          <w:tcPr>
            <w:tcW w:type="dxa" w:w="1701"/>
          </w:tcPr>
          <w:p>
            <w:pPr>
              <w:keepNext w:val="0"/>
              <w:spacing w:after="100"/>
            </w:pPr>
            <w:r>
              <w:rPr>
                <w:rFonts w:ascii="Arial" w:hAnsi="Arial" w:eastAsia="Arial" w:cs="Arial"/>
                <w:b w:val="0"/>
                <w:color w:val="243A36"/>
                <w:sz w:val="17"/>
              </w:rPr>
              <w:t>14; 15; 16</w:t>
            </w:r>
          </w:p>
        </w:tc>
        <w:tc>
          <w:tcPr>
            <w:tcW w:type="dxa" w:w="1587"/>
          </w:tcPr>
          <w:p>
            <w:pPr>
              <w:keepNext w:val="0"/>
              <w:spacing w:after="100"/>
            </w:pPr>
            <w:r>
              <w:rPr>
                <w:rFonts w:ascii="Arial" w:hAnsi="Arial" w:eastAsia="Arial" w:cs="Arial"/>
                <w:b w:val="0"/>
                <w:color w:val="243A36"/>
                <w:sz w:val="17"/>
              </w:rPr>
              <w:t>01; 08; 11</w:t>
            </w:r>
          </w:p>
        </w:tc>
        <w:tc>
          <w:tcPr>
            <w:tcW w:type="dxa" w:w="1576"/>
          </w:tcPr>
          <w:p>
            <w:pPr>
              <w:keepNext w:val="0"/>
              <w:spacing w:after="100"/>
            </w:pPr>
            <w:r>
              <w:rPr>
                <w:rFonts w:ascii="Arial" w:hAnsi="Arial" w:eastAsia="Arial" w:cs="Arial"/>
                <w:b w:val="0"/>
                <w:color w:val="243A36"/>
                <w:sz w:val="17"/>
              </w:rPr>
              <w:t>02; 03; 09; 12</w:t>
            </w:r>
          </w:p>
        </w:tc>
      </w:tr>
      <w:tr>
        <w:tc>
          <w:tcPr>
            <w:tcW w:type="dxa" w:w="4876"/>
          </w:tcPr>
          <w:p>
            <w:pPr>
              <w:keepNext w:val="0"/>
              <w:spacing w:after="100"/>
            </w:pPr>
            <w:hyperlink w:anchor="MR_11">
              <w:r>
                <w:rPr>
                  <w:color w:val="215F52"/>
                  <w:sz w:val="18"/>
                </w:rPr>
                <w:t>11 Counterfactual for the monitored interval</w:t>
              </w:r>
            </w:hyperlink>
          </w:p>
        </w:tc>
        <w:tc>
          <w:tcPr>
            <w:tcW w:type="dxa" w:w="1701"/>
          </w:tcPr>
          <w:p>
            <w:pPr>
              <w:keepNext w:val="0"/>
              <w:spacing w:after="100"/>
            </w:pPr>
            <w:r>
              <w:rPr>
                <w:rFonts w:ascii="Arial" w:hAnsi="Arial" w:eastAsia="Arial" w:cs="Arial"/>
                <w:b w:val="0"/>
                <w:color w:val="243A36"/>
                <w:sz w:val="17"/>
              </w:rPr>
              <w:t>06; 07</w:t>
            </w:r>
          </w:p>
        </w:tc>
        <w:tc>
          <w:tcPr>
            <w:tcW w:type="dxa" w:w="1587"/>
          </w:tcPr>
          <w:p>
            <w:pPr>
              <w:keepNext w:val="0"/>
              <w:spacing w:after="100"/>
            </w:pPr>
            <w:r>
              <w:rPr>
                <w:rFonts w:ascii="Arial" w:hAnsi="Arial" w:eastAsia="Arial" w:cs="Arial"/>
                <w:b w:val="0"/>
                <w:color w:val="243A36"/>
                <w:sz w:val="17"/>
              </w:rPr>
              <w:t>03</w:t>
            </w:r>
          </w:p>
        </w:tc>
        <w:tc>
          <w:tcPr>
            <w:tcW w:type="dxa" w:w="1576"/>
          </w:tcPr>
          <w:p>
            <w:pPr>
              <w:keepNext w:val="0"/>
              <w:spacing w:after="100"/>
            </w:pPr>
            <w:r>
              <w:rPr>
                <w:rFonts w:ascii="Arial" w:hAnsi="Arial" w:eastAsia="Arial" w:cs="Arial"/>
                <w:b w:val="0"/>
                <w:color w:val="243A36"/>
                <w:sz w:val="17"/>
              </w:rPr>
              <w:t>03</w:t>
            </w:r>
          </w:p>
        </w:tc>
      </w:tr>
      <w:tr>
        <w:tc>
          <w:tcPr>
            <w:tcW w:type="dxa" w:w="4876"/>
          </w:tcPr>
          <w:p>
            <w:pPr>
              <w:keepNext w:val="0"/>
              <w:spacing w:after="100"/>
            </w:pPr>
            <w:hyperlink w:anchor="MR_12">
              <w:r>
                <w:rPr>
                  <w:color w:val="215F52"/>
                  <w:sz w:val="18"/>
                </w:rPr>
                <w:t>12 Actual project emissions and removals</w:t>
              </w:r>
            </w:hyperlink>
          </w:p>
        </w:tc>
        <w:tc>
          <w:tcPr>
            <w:tcW w:type="dxa" w:w="1701"/>
          </w:tcPr>
          <w:p>
            <w:pPr>
              <w:keepNext w:val="0"/>
              <w:spacing w:after="100"/>
            </w:pPr>
            <w:r>
              <w:rPr>
                <w:rFonts w:ascii="Arial" w:hAnsi="Arial" w:eastAsia="Arial" w:cs="Arial"/>
                <w:b w:val="0"/>
                <w:color w:val="243A36"/>
                <w:sz w:val="17"/>
              </w:rPr>
              <w:t>09; 13; 14</w:t>
            </w:r>
          </w:p>
        </w:tc>
        <w:tc>
          <w:tcPr>
            <w:tcW w:type="dxa" w:w="1587"/>
          </w:tcPr>
          <w:p>
            <w:pPr>
              <w:keepNext w:val="0"/>
              <w:spacing w:after="100"/>
            </w:pPr>
            <w:r>
              <w:rPr>
                <w:rFonts w:ascii="Arial" w:hAnsi="Arial" w:eastAsia="Arial" w:cs="Arial"/>
                <w:b w:val="0"/>
                <w:color w:val="243A36"/>
                <w:sz w:val="17"/>
              </w:rPr>
              <w:t>04; 06</w:t>
            </w:r>
          </w:p>
        </w:tc>
        <w:tc>
          <w:tcPr>
            <w:tcW w:type="dxa" w:w="1576"/>
          </w:tcPr>
          <w:p>
            <w:pPr>
              <w:keepNext w:val="0"/>
              <w:spacing w:after="100"/>
            </w:pPr>
            <w:r>
              <w:rPr>
                <w:rFonts w:ascii="Arial" w:hAnsi="Arial" w:eastAsia="Arial" w:cs="Arial"/>
                <w:b w:val="0"/>
                <w:color w:val="243A36"/>
                <w:sz w:val="17"/>
              </w:rPr>
              <w:t>04; 06</w:t>
            </w:r>
          </w:p>
        </w:tc>
      </w:tr>
      <w:tr>
        <w:tc>
          <w:tcPr>
            <w:tcW w:type="dxa" w:w="4876"/>
          </w:tcPr>
          <w:p>
            <w:pPr>
              <w:keepNext w:val="0"/>
              <w:spacing w:after="100"/>
            </w:pPr>
            <w:hyperlink w:anchor="MR_13">
              <w:r>
                <w:rPr>
                  <w:color w:val="215F52"/>
                  <w:sz w:val="18"/>
                </w:rPr>
                <w:t>13 Offsite activity and attributable leakage</w:t>
              </w:r>
            </w:hyperlink>
          </w:p>
        </w:tc>
        <w:tc>
          <w:tcPr>
            <w:tcW w:type="dxa" w:w="1701"/>
          </w:tcPr>
          <w:p>
            <w:pPr>
              <w:keepNext w:val="0"/>
              <w:spacing w:after="100"/>
            </w:pPr>
            <w:r>
              <w:rPr>
                <w:rFonts w:ascii="Arial" w:hAnsi="Arial" w:eastAsia="Arial" w:cs="Arial"/>
                <w:b w:val="0"/>
                <w:color w:val="243A36"/>
                <w:sz w:val="17"/>
              </w:rPr>
              <w:t>06; 09; 14</w:t>
            </w:r>
          </w:p>
        </w:tc>
        <w:tc>
          <w:tcPr>
            <w:tcW w:type="dxa" w:w="1587"/>
          </w:tcPr>
          <w:p>
            <w:pPr>
              <w:keepNext w:val="0"/>
              <w:spacing w:after="100"/>
            </w:pPr>
            <w:r>
              <w:rPr>
                <w:rFonts w:ascii="Arial" w:hAnsi="Arial" w:eastAsia="Arial" w:cs="Arial"/>
                <w:b w:val="0"/>
                <w:color w:val="243A36"/>
                <w:sz w:val="17"/>
              </w:rPr>
              <w:t>05</w:t>
            </w:r>
          </w:p>
        </w:tc>
        <w:tc>
          <w:tcPr>
            <w:tcW w:type="dxa" w:w="1576"/>
          </w:tcPr>
          <w:p>
            <w:pPr>
              <w:keepNext w:val="0"/>
              <w:spacing w:after="100"/>
            </w:pPr>
            <w:r>
              <w:rPr>
                <w:rFonts w:ascii="Arial" w:hAnsi="Arial" w:eastAsia="Arial" w:cs="Arial"/>
                <w:b w:val="0"/>
                <w:color w:val="243A36"/>
                <w:sz w:val="17"/>
              </w:rPr>
              <w:t>05</w:t>
            </w:r>
          </w:p>
        </w:tc>
      </w:tr>
      <w:tr>
        <w:tc>
          <w:tcPr>
            <w:tcW w:type="dxa" w:w="4876"/>
          </w:tcPr>
          <w:p>
            <w:pPr>
              <w:keepNext w:val="0"/>
              <w:spacing w:after="100"/>
            </w:pPr>
            <w:hyperlink w:anchor="MR_14">
              <w:r>
                <w:rPr>
                  <w:color w:val="215F52"/>
                  <w:sz w:val="18"/>
                </w:rPr>
                <w:t>14 Stocks, delayed releases and cohort continuity</w:t>
              </w:r>
            </w:hyperlink>
          </w:p>
        </w:tc>
        <w:tc>
          <w:tcPr>
            <w:tcW w:type="dxa" w:w="1701"/>
          </w:tcPr>
          <w:p>
            <w:pPr>
              <w:keepNext w:val="0"/>
              <w:spacing w:after="100"/>
            </w:pPr>
            <w:r>
              <w:rPr>
                <w:rFonts w:ascii="Arial" w:hAnsi="Arial" w:eastAsia="Arial" w:cs="Arial"/>
                <w:b w:val="0"/>
                <w:color w:val="243A36"/>
                <w:sz w:val="17"/>
              </w:rPr>
              <w:t>09; 10</w:t>
            </w:r>
          </w:p>
        </w:tc>
        <w:tc>
          <w:tcPr>
            <w:tcW w:type="dxa" w:w="1587"/>
          </w:tcPr>
          <w:p>
            <w:pPr>
              <w:keepNext w:val="0"/>
              <w:spacing w:after="100"/>
            </w:pPr>
            <w:r>
              <w:rPr>
                <w:rFonts w:ascii="Arial" w:hAnsi="Arial" w:eastAsia="Arial" w:cs="Arial"/>
                <w:b w:val="0"/>
                <w:color w:val="243A36"/>
                <w:sz w:val="17"/>
              </w:rPr>
              <w:t>06</w:t>
            </w:r>
          </w:p>
        </w:tc>
        <w:tc>
          <w:tcPr>
            <w:tcW w:type="dxa" w:w="1576"/>
          </w:tcPr>
          <w:p>
            <w:pPr>
              <w:keepNext w:val="0"/>
              <w:spacing w:after="100"/>
            </w:pPr>
            <w:r>
              <w:rPr>
                <w:rFonts w:ascii="Arial" w:hAnsi="Arial" w:eastAsia="Arial" w:cs="Arial"/>
                <w:b w:val="0"/>
                <w:color w:val="243A36"/>
                <w:sz w:val="17"/>
              </w:rPr>
              <w:t>06</w:t>
            </w:r>
          </w:p>
        </w:tc>
      </w:tr>
      <w:tr>
        <w:tc>
          <w:tcPr>
            <w:tcW w:type="dxa" w:w="4876"/>
          </w:tcPr>
          <w:p>
            <w:pPr>
              <w:keepNext w:val="0"/>
              <w:spacing w:after="100"/>
            </w:pPr>
            <w:hyperlink w:anchor="MR_15">
              <w:r>
                <w:rPr>
                  <w:color w:val="215F52"/>
                  <w:sz w:val="18"/>
                </w:rPr>
                <w:t>15 Signed ex-post account and reporting totals</w:t>
              </w:r>
            </w:hyperlink>
          </w:p>
        </w:tc>
        <w:tc>
          <w:tcPr>
            <w:tcW w:type="dxa" w:w="1701"/>
          </w:tcPr>
          <w:p>
            <w:pPr>
              <w:keepNext w:val="0"/>
              <w:spacing w:after="100"/>
            </w:pPr>
            <w:r>
              <w:rPr>
                <w:rFonts w:ascii="Arial" w:hAnsi="Arial" w:eastAsia="Arial" w:cs="Arial"/>
                <w:b w:val="0"/>
                <w:color w:val="243A36"/>
                <w:sz w:val="17"/>
              </w:rPr>
              <w:t>09; A; CALC</w:t>
            </w:r>
          </w:p>
        </w:tc>
        <w:tc>
          <w:tcPr>
            <w:tcW w:type="dxa" w:w="1587"/>
          </w:tcPr>
          <w:p>
            <w:pPr>
              <w:keepNext w:val="0"/>
              <w:spacing w:after="100"/>
            </w:pPr>
            <w:r>
              <w:rPr>
                <w:rFonts w:ascii="Arial" w:hAnsi="Arial" w:eastAsia="Arial" w:cs="Arial"/>
                <w:b w:val="0"/>
                <w:color w:val="243A36"/>
                <w:sz w:val="17"/>
              </w:rPr>
              <w:t>07</w:t>
            </w:r>
          </w:p>
        </w:tc>
        <w:tc>
          <w:tcPr>
            <w:tcW w:type="dxa" w:w="1576"/>
          </w:tcPr>
          <w:p>
            <w:pPr>
              <w:keepNext w:val="0"/>
              <w:spacing w:after="100"/>
            </w:pPr>
            <w:r>
              <w:rPr>
                <w:rFonts w:ascii="Arial" w:hAnsi="Arial" w:eastAsia="Arial" w:cs="Arial"/>
                <w:b w:val="0"/>
                <w:color w:val="243A36"/>
                <w:sz w:val="17"/>
              </w:rPr>
              <w:t>07</w:t>
            </w:r>
          </w:p>
        </w:tc>
      </w:tr>
      <w:tr>
        <w:tc>
          <w:tcPr>
            <w:tcW w:type="dxa" w:w="4876"/>
          </w:tcPr>
          <w:p>
            <w:pPr>
              <w:keepNext w:val="0"/>
              <w:spacing w:after="100"/>
            </w:pPr>
            <w:hyperlink w:anchor="MR_16">
              <w:r>
                <w:rPr>
                  <w:color w:val="215F52"/>
                  <w:sz w:val="18"/>
                </w:rPr>
                <w:t>16 Uncertainty, conservativeness and materiality</w:t>
              </w:r>
            </w:hyperlink>
          </w:p>
        </w:tc>
        <w:tc>
          <w:tcPr>
            <w:tcW w:type="dxa" w:w="1701"/>
          </w:tcPr>
          <w:p>
            <w:pPr>
              <w:keepNext w:val="0"/>
              <w:spacing w:after="100"/>
            </w:pPr>
            <w:r>
              <w:rPr>
                <w:rFonts w:ascii="Arial" w:hAnsi="Arial" w:eastAsia="Arial" w:cs="Arial"/>
                <w:b w:val="0"/>
                <w:color w:val="243A36"/>
                <w:sz w:val="17"/>
              </w:rPr>
              <w:t>10; 15</w:t>
            </w:r>
          </w:p>
        </w:tc>
        <w:tc>
          <w:tcPr>
            <w:tcW w:type="dxa" w:w="1587"/>
          </w:tcPr>
          <w:p>
            <w:pPr>
              <w:keepNext w:val="0"/>
              <w:spacing w:after="100"/>
            </w:pPr>
            <w:r>
              <w:rPr>
                <w:rFonts w:ascii="Arial" w:hAnsi="Arial" w:eastAsia="Arial" w:cs="Arial"/>
                <w:b w:val="0"/>
                <w:color w:val="243A36"/>
                <w:sz w:val="17"/>
              </w:rPr>
              <w:t>08</w:t>
            </w:r>
          </w:p>
        </w:tc>
        <w:tc>
          <w:tcPr>
            <w:tcW w:type="dxa" w:w="1576"/>
          </w:tcPr>
          <w:p>
            <w:pPr>
              <w:keepNext w:val="0"/>
              <w:spacing w:after="100"/>
            </w:pPr>
            <w:r>
              <w:rPr>
                <w:rFonts w:ascii="Arial" w:hAnsi="Arial" w:eastAsia="Arial" w:cs="Arial"/>
                <w:b w:val="0"/>
                <w:color w:val="243A36"/>
                <w:sz w:val="17"/>
              </w:rPr>
              <w:t>07; CALC</w:t>
            </w:r>
          </w:p>
        </w:tc>
      </w:tr>
      <w:tr>
        <w:tc>
          <w:tcPr>
            <w:tcW w:type="dxa" w:w="4876"/>
          </w:tcPr>
          <w:p>
            <w:pPr>
              <w:keepNext w:val="0"/>
              <w:spacing w:after="100"/>
            </w:pPr>
            <w:hyperlink w:anchor="MR_17">
              <w:r>
                <w:rPr>
                  <w:color w:val="215F52"/>
                  <w:sz w:val="18"/>
                </w:rPr>
                <w:t>17 Risk, reserve and disturbance response</w:t>
              </w:r>
            </w:hyperlink>
          </w:p>
        </w:tc>
        <w:tc>
          <w:tcPr>
            <w:tcW w:type="dxa" w:w="1701"/>
          </w:tcPr>
          <w:p>
            <w:pPr>
              <w:keepNext w:val="0"/>
              <w:spacing w:after="100"/>
            </w:pPr>
            <w:r>
              <w:rPr>
                <w:rFonts w:ascii="Arial" w:hAnsi="Arial" w:eastAsia="Arial" w:cs="Arial"/>
                <w:b w:val="0"/>
                <w:color w:val="243A36"/>
                <w:sz w:val="17"/>
              </w:rPr>
              <w:t>10; 13</w:t>
            </w:r>
          </w:p>
        </w:tc>
        <w:tc>
          <w:tcPr>
            <w:tcW w:type="dxa" w:w="1587"/>
          </w:tcPr>
          <w:p>
            <w:pPr>
              <w:keepNext w:val="0"/>
              <w:spacing w:after="100"/>
            </w:pPr>
            <w:r>
              <w:rPr>
                <w:rFonts w:ascii="Arial" w:hAnsi="Arial" w:eastAsia="Arial" w:cs="Arial"/>
                <w:b w:val="0"/>
                <w:color w:val="243A36"/>
                <w:sz w:val="17"/>
              </w:rPr>
              <w:t>08</w:t>
            </w:r>
          </w:p>
        </w:tc>
        <w:tc>
          <w:tcPr>
            <w:tcW w:type="dxa" w:w="1576"/>
          </w:tcPr>
          <w:p>
            <w:pPr>
              <w:keepNext w:val="0"/>
              <w:spacing w:after="100"/>
            </w:pPr>
            <w:r>
              <w:rPr>
                <w:rFonts w:ascii="Arial" w:hAnsi="Arial" w:eastAsia="Arial" w:cs="Arial"/>
                <w:b w:val="0"/>
                <w:color w:val="243A36"/>
                <w:sz w:val="17"/>
              </w:rPr>
              <w:t>08</w:t>
            </w:r>
          </w:p>
        </w:tc>
      </w:tr>
      <w:tr>
        <w:tc>
          <w:tcPr>
            <w:tcW w:type="dxa" w:w="4876"/>
          </w:tcPr>
          <w:p>
            <w:pPr>
              <w:keepNext w:val="0"/>
              <w:spacing w:after="100"/>
            </w:pPr>
            <w:hyperlink w:anchor="MR_18">
              <w:r>
                <w:rPr>
                  <w:color w:val="215F52"/>
                  <w:sz w:val="18"/>
                </w:rPr>
                <w:t>18 Settlement, negative results and continuity</w:t>
              </w:r>
            </w:hyperlink>
          </w:p>
        </w:tc>
        <w:tc>
          <w:tcPr>
            <w:tcW w:type="dxa" w:w="1701"/>
          </w:tcPr>
          <w:p>
            <w:pPr>
              <w:keepNext w:val="0"/>
              <w:spacing w:after="100"/>
            </w:pPr>
            <w:r>
              <w:rPr>
                <w:rFonts w:ascii="Arial" w:hAnsi="Arial" w:eastAsia="Arial" w:cs="Arial"/>
                <w:b w:val="0"/>
                <w:color w:val="243A36"/>
                <w:sz w:val="17"/>
              </w:rPr>
              <w:t>10; 15</w:t>
            </w:r>
          </w:p>
        </w:tc>
        <w:tc>
          <w:tcPr>
            <w:tcW w:type="dxa" w:w="1587"/>
          </w:tcPr>
          <w:p>
            <w:pPr>
              <w:keepNext w:val="0"/>
              <w:spacing w:after="100"/>
            </w:pPr>
            <w:r>
              <w:rPr>
                <w:rFonts w:ascii="Arial" w:hAnsi="Arial" w:eastAsia="Arial" w:cs="Arial"/>
                <w:b w:val="0"/>
                <w:color w:val="243A36"/>
                <w:sz w:val="17"/>
              </w:rPr>
              <w:t>07; 08</w:t>
            </w:r>
          </w:p>
        </w:tc>
        <w:tc>
          <w:tcPr>
            <w:tcW w:type="dxa" w:w="1576"/>
          </w:tcPr>
          <w:p>
            <w:pPr>
              <w:keepNext w:val="0"/>
              <w:spacing w:after="100"/>
            </w:pPr>
            <w:r>
              <w:rPr>
                <w:rFonts w:ascii="Arial" w:hAnsi="Arial" w:eastAsia="Arial" w:cs="Arial"/>
                <w:b w:val="0"/>
                <w:color w:val="243A36"/>
                <w:sz w:val="17"/>
              </w:rPr>
              <w:t>08</w:t>
            </w:r>
          </w:p>
        </w:tc>
      </w:tr>
      <w:tr>
        <w:tc>
          <w:tcPr>
            <w:tcW w:type="dxa" w:w="4876"/>
          </w:tcPr>
          <w:p>
            <w:pPr>
              <w:keepNext w:val="0"/>
              <w:spacing w:after="100"/>
            </w:pPr>
            <w:hyperlink w:anchor="MR_19">
              <w:r>
                <w:rPr>
                  <w:color w:val="215F52"/>
                  <w:sz w:val="18"/>
                </w:rPr>
                <w:t>19 Comparison with the frozen ex-ante forecast</w:t>
              </w:r>
            </w:hyperlink>
          </w:p>
        </w:tc>
        <w:tc>
          <w:tcPr>
            <w:tcW w:type="dxa" w:w="1701"/>
          </w:tcPr>
          <w:p>
            <w:pPr>
              <w:keepNext w:val="0"/>
              <w:spacing w:after="100"/>
            </w:pPr>
            <w:r>
              <w:rPr>
                <w:rFonts w:ascii="Arial" w:hAnsi="Arial" w:eastAsia="Arial" w:cs="Arial"/>
                <w:b w:val="0"/>
                <w:color w:val="243A36"/>
                <w:sz w:val="17"/>
              </w:rPr>
              <w:t>09; 10; A</w:t>
            </w:r>
          </w:p>
        </w:tc>
        <w:tc>
          <w:tcPr>
            <w:tcW w:type="dxa" w:w="1587"/>
          </w:tcPr>
          <w:p>
            <w:pPr>
              <w:keepNext w:val="0"/>
              <w:spacing w:after="100"/>
            </w:pPr>
            <w:r>
              <w:rPr>
                <w:rFonts w:ascii="Arial" w:hAnsi="Arial" w:eastAsia="Arial" w:cs="Arial"/>
                <w:b w:val="0"/>
                <w:color w:val="243A36"/>
                <w:sz w:val="17"/>
              </w:rPr>
              <w:t>01; 07; 08</w:t>
            </w:r>
          </w:p>
        </w:tc>
        <w:tc>
          <w:tcPr>
            <w:tcW w:type="dxa" w:w="1576"/>
          </w:tcPr>
          <w:p>
            <w:pPr>
              <w:keepNext w:val="0"/>
              <w:spacing w:after="100"/>
            </w:pPr>
            <w:r>
              <w:rPr>
                <w:rFonts w:ascii="Arial" w:hAnsi="Arial" w:eastAsia="Arial" w:cs="Arial"/>
                <w:b w:val="0"/>
                <w:color w:val="243A36"/>
                <w:sz w:val="17"/>
              </w:rPr>
              <w:t>09</w:t>
            </w:r>
          </w:p>
        </w:tc>
      </w:tr>
      <w:tr>
        <w:tc>
          <w:tcPr>
            <w:tcW w:type="dxa" w:w="4876"/>
          </w:tcPr>
          <w:p>
            <w:pPr>
              <w:keepNext w:val="0"/>
              <w:spacing w:after="100"/>
            </w:pPr>
            <w:hyperlink w:anchor="MR_20">
              <w:r>
                <w:rPr>
                  <w:color w:val="215F52"/>
                  <w:sz w:val="18"/>
                </w:rPr>
                <w:t>20 Continuing additionality and overlapping initiatives</w:t>
              </w:r>
            </w:hyperlink>
          </w:p>
        </w:tc>
        <w:tc>
          <w:tcPr>
            <w:tcW w:type="dxa" w:w="1701"/>
          </w:tcPr>
          <w:p>
            <w:pPr>
              <w:keepNext w:val="0"/>
              <w:spacing w:after="100"/>
            </w:pPr>
            <w:r>
              <w:rPr>
                <w:rFonts w:ascii="Arial" w:hAnsi="Arial" w:eastAsia="Arial" w:cs="Arial"/>
                <w:b w:val="0"/>
                <w:color w:val="243A36"/>
                <w:sz w:val="17"/>
              </w:rPr>
              <w:t>07; 08</w:t>
            </w:r>
          </w:p>
        </w:tc>
        <w:tc>
          <w:tcPr>
            <w:tcW w:type="dxa" w:w="1587"/>
          </w:tcPr>
          <w:p>
            <w:pPr>
              <w:keepNext w:val="0"/>
              <w:spacing w:after="100"/>
            </w:pPr>
            <w:r>
              <w:rPr>
                <w:rFonts w:ascii="Arial" w:hAnsi="Arial" w:eastAsia="Arial" w:cs="Arial"/>
                <w:b w:val="0"/>
                <w:color w:val="243A36"/>
                <w:sz w:val="17"/>
              </w:rPr>
              <w:t>10</w:t>
            </w:r>
          </w:p>
        </w:tc>
        <w:tc>
          <w:tcPr>
            <w:tcW w:type="dxa" w:w="1576"/>
          </w:tcPr>
          <w:p>
            <w:pPr>
              <w:keepNext w:val="0"/>
              <w:spacing w:after="100"/>
            </w:pPr>
            <w:r>
              <w:rPr>
                <w:rFonts w:ascii="Arial" w:hAnsi="Arial" w:eastAsia="Arial" w:cs="Arial"/>
                <w:b w:val="0"/>
                <w:color w:val="243A36"/>
                <w:sz w:val="17"/>
              </w:rPr>
              <w:t>10; 11</w:t>
            </w:r>
          </w:p>
        </w:tc>
      </w:tr>
      <w:tr>
        <w:tc>
          <w:tcPr>
            <w:tcW w:type="dxa" w:w="4876"/>
          </w:tcPr>
          <w:p>
            <w:pPr>
              <w:keepNext w:val="0"/>
              <w:spacing w:after="100"/>
            </w:pPr>
            <w:hyperlink w:anchor="MR_21">
              <w:r>
                <w:rPr>
                  <w:color w:val="215F52"/>
                  <w:sz w:val="18"/>
                </w:rPr>
                <w:t>21 Participation, safeguards and benefit-sharing</w:t>
              </w:r>
            </w:hyperlink>
          </w:p>
        </w:tc>
        <w:tc>
          <w:tcPr>
            <w:tcW w:type="dxa" w:w="1701"/>
          </w:tcPr>
          <w:p>
            <w:pPr>
              <w:keepNext w:val="0"/>
              <w:spacing w:after="100"/>
            </w:pPr>
            <w:r>
              <w:rPr>
                <w:rFonts w:ascii="Arial" w:hAnsi="Arial" w:eastAsia="Arial" w:cs="Arial"/>
                <w:b w:val="0"/>
                <w:color w:val="243A36"/>
                <w:sz w:val="17"/>
              </w:rPr>
              <w:t>11; 13</w:t>
            </w:r>
          </w:p>
        </w:tc>
        <w:tc>
          <w:tcPr>
            <w:tcW w:type="dxa" w:w="1587"/>
          </w:tcPr>
          <w:p>
            <w:pPr>
              <w:keepNext w:val="0"/>
              <w:spacing w:after="100"/>
            </w:pPr>
            <w:r>
              <w:rPr>
                <w:rFonts w:ascii="Arial" w:hAnsi="Arial" w:eastAsia="Arial" w:cs="Arial"/>
                <w:b w:val="0"/>
                <w:color w:val="243A36"/>
                <w:sz w:val="17"/>
              </w:rPr>
              <w:t>10</w:t>
            </w:r>
          </w:p>
        </w:tc>
        <w:tc>
          <w:tcPr>
            <w:tcW w:type="dxa" w:w="1576"/>
          </w:tcPr>
          <w:p>
            <w:pPr>
              <w:keepNext w:val="0"/>
              <w:spacing w:after="100"/>
            </w:pPr>
            <w:r>
              <w:rPr>
                <w:rFonts w:ascii="Arial" w:hAnsi="Arial" w:eastAsia="Arial" w:cs="Arial"/>
                <w:b w:val="0"/>
                <w:color w:val="243A36"/>
                <w:sz w:val="17"/>
              </w:rPr>
              <w:t>10</w:t>
            </w:r>
          </w:p>
        </w:tc>
      </w:tr>
      <w:tr>
        <w:tc>
          <w:tcPr>
            <w:tcW w:type="dxa" w:w="4876"/>
          </w:tcPr>
          <w:p>
            <w:pPr>
              <w:keepNext w:val="0"/>
              <w:spacing w:after="100"/>
            </w:pPr>
            <w:hyperlink w:anchor="MR_22">
              <w:r>
                <w:rPr>
                  <w:color w:val="215F52"/>
                  <w:sz w:val="18"/>
                </w:rPr>
                <w:t>22 Ecosystem, biodiversity and social outcomes</w:t>
              </w:r>
            </w:hyperlink>
          </w:p>
        </w:tc>
        <w:tc>
          <w:tcPr>
            <w:tcW w:type="dxa" w:w="1701"/>
          </w:tcPr>
          <w:p>
            <w:pPr>
              <w:keepNext w:val="0"/>
              <w:spacing w:after="100"/>
            </w:pPr>
            <w:r>
              <w:rPr>
                <w:rFonts w:ascii="Arial" w:hAnsi="Arial" w:eastAsia="Arial" w:cs="Arial"/>
                <w:b w:val="0"/>
                <w:color w:val="243A36"/>
                <w:sz w:val="17"/>
              </w:rPr>
              <w:t>04; 11; 12; 14</w:t>
            </w:r>
          </w:p>
        </w:tc>
        <w:tc>
          <w:tcPr>
            <w:tcW w:type="dxa" w:w="1587"/>
          </w:tcPr>
          <w:p>
            <w:pPr>
              <w:keepNext w:val="0"/>
              <w:spacing w:after="100"/>
            </w:pPr>
            <w:r>
              <w:rPr>
                <w:rFonts w:ascii="Arial" w:hAnsi="Arial" w:eastAsia="Arial" w:cs="Arial"/>
                <w:b w:val="0"/>
                <w:color w:val="243A36"/>
                <w:sz w:val="17"/>
              </w:rPr>
              <w:t>10</w:t>
            </w:r>
          </w:p>
        </w:tc>
        <w:tc>
          <w:tcPr>
            <w:tcW w:type="dxa" w:w="1576"/>
          </w:tcPr>
          <w:p>
            <w:pPr>
              <w:keepNext w:val="0"/>
              <w:spacing w:after="100"/>
            </w:pPr>
            <w:r>
              <w:rPr>
                <w:rFonts w:ascii="Arial" w:hAnsi="Arial" w:eastAsia="Arial" w:cs="Arial"/>
                <w:b w:val="0"/>
                <w:color w:val="243A36"/>
                <w:sz w:val="17"/>
              </w:rPr>
              <w:t>10</w:t>
            </w:r>
          </w:p>
        </w:tc>
      </w:tr>
      <w:tr>
        <w:tc>
          <w:tcPr>
            <w:tcW w:type="dxa" w:w="4876"/>
          </w:tcPr>
          <w:p>
            <w:pPr>
              <w:keepNext w:val="0"/>
              <w:spacing w:after="100"/>
            </w:pPr>
            <w:hyperlink w:anchor="MR_23">
              <w:r>
                <w:rPr>
                  <w:color w:val="215F52"/>
                  <w:sz w:val="18"/>
                </w:rPr>
                <w:t>23 Migration and prior claim continuity</w:t>
              </w:r>
            </w:hyperlink>
          </w:p>
        </w:tc>
        <w:tc>
          <w:tcPr>
            <w:tcW w:type="dxa" w:w="1701"/>
          </w:tcPr>
          <w:p>
            <w:pPr>
              <w:keepNext w:val="0"/>
              <w:spacing w:after="100"/>
            </w:pPr>
            <w:r>
              <w:rPr>
                <w:rFonts w:ascii="Arial" w:hAnsi="Arial" w:eastAsia="Arial" w:cs="Arial"/>
                <w:b w:val="0"/>
                <w:color w:val="243A36"/>
                <w:sz w:val="17"/>
              </w:rPr>
              <w:t>08; A</w:t>
            </w:r>
          </w:p>
        </w:tc>
        <w:tc>
          <w:tcPr>
            <w:tcW w:type="dxa" w:w="1587"/>
          </w:tcPr>
          <w:p>
            <w:pPr>
              <w:keepNext w:val="0"/>
              <w:spacing w:after="100"/>
            </w:pPr>
            <w:r>
              <w:rPr>
                <w:rFonts w:ascii="Arial" w:hAnsi="Arial" w:eastAsia="Arial" w:cs="Arial"/>
                <w:b w:val="0"/>
                <w:color w:val="243A36"/>
                <w:sz w:val="17"/>
              </w:rPr>
              <w:t>09</w:t>
            </w:r>
          </w:p>
        </w:tc>
        <w:tc>
          <w:tcPr>
            <w:tcW w:type="dxa" w:w="1576"/>
          </w:tcPr>
          <w:p>
            <w:pPr>
              <w:keepNext w:val="0"/>
              <w:spacing w:after="100"/>
            </w:pPr>
            <w:r>
              <w:rPr>
                <w:rFonts w:ascii="Arial" w:hAnsi="Arial" w:eastAsia="Arial" w:cs="Arial"/>
                <w:b w:val="0"/>
                <w:color w:val="243A36"/>
                <w:sz w:val="17"/>
              </w:rPr>
              <w:t>11</w:t>
            </w:r>
          </w:p>
        </w:tc>
      </w:tr>
      <w:tr>
        <w:tc>
          <w:tcPr>
            <w:tcW w:type="dxa" w:w="4876"/>
          </w:tcPr>
          <w:p>
            <w:pPr>
              <w:keepNext w:val="0"/>
              <w:spacing w:after="100"/>
            </w:pPr>
            <w:hyperlink w:anchor="MR_24">
              <w:r>
                <w:rPr>
                  <w:color w:val="215F52"/>
                  <w:sz w:val="18"/>
                </w:rPr>
                <w:t>24 NVEU request and claim boundaries</w:t>
              </w:r>
            </w:hyperlink>
          </w:p>
        </w:tc>
        <w:tc>
          <w:tcPr>
            <w:tcW w:type="dxa" w:w="1701"/>
          </w:tcPr>
          <w:p>
            <w:pPr>
              <w:keepNext w:val="0"/>
              <w:spacing w:after="100"/>
            </w:pPr>
            <w:r>
              <w:rPr>
                <w:rFonts w:ascii="Arial" w:hAnsi="Arial" w:eastAsia="Arial" w:cs="Arial"/>
                <w:b w:val="0"/>
                <w:color w:val="243A36"/>
                <w:sz w:val="17"/>
              </w:rPr>
              <w:t>12; 15; 18</w:t>
            </w:r>
          </w:p>
        </w:tc>
        <w:tc>
          <w:tcPr>
            <w:tcW w:type="dxa" w:w="1587"/>
          </w:tcPr>
          <w:p>
            <w:pPr>
              <w:keepNext w:val="0"/>
              <w:spacing w:after="100"/>
            </w:pPr>
            <w:r>
              <w:rPr>
                <w:rFonts w:ascii="Arial" w:hAnsi="Arial" w:eastAsia="Arial" w:cs="Arial"/>
                <w:b w:val="0"/>
                <w:color w:val="243A36"/>
                <w:sz w:val="17"/>
              </w:rPr>
              <w:t>07; 10</w:t>
            </w:r>
          </w:p>
        </w:tc>
        <w:tc>
          <w:tcPr>
            <w:tcW w:type="dxa" w:w="1576"/>
          </w:tcPr>
          <w:p>
            <w:pPr>
              <w:keepNext w:val="0"/>
              <w:spacing w:after="100"/>
            </w:pPr>
            <w:r>
              <w:rPr>
                <w:rFonts w:ascii="Arial" w:hAnsi="Arial" w:eastAsia="Arial" w:cs="Arial"/>
                <w:b w:val="0"/>
                <w:color w:val="243A36"/>
                <w:sz w:val="17"/>
              </w:rPr>
              <w:t>08; 12</w:t>
            </w:r>
          </w:p>
        </w:tc>
      </w:tr>
      <w:tr>
        <w:tc>
          <w:tcPr>
            <w:tcW w:type="dxa" w:w="4876"/>
          </w:tcPr>
          <w:p>
            <w:pPr>
              <w:keepNext w:val="0"/>
              <w:spacing w:after="100"/>
            </w:pPr>
            <w:hyperlink w:anchor="MR_25">
              <w:r>
                <w:rPr>
                  <w:color w:val="215F52"/>
                  <w:sz w:val="18"/>
                </w:rPr>
                <w:t>25 Findings, submission and separate decisions</w:t>
              </w:r>
            </w:hyperlink>
          </w:p>
        </w:tc>
        <w:tc>
          <w:tcPr>
            <w:tcW w:type="dxa" w:w="1701"/>
          </w:tcPr>
          <w:p>
            <w:pPr>
              <w:keepNext w:val="0"/>
              <w:spacing w:after="100"/>
            </w:pPr>
            <w:r>
              <w:rPr>
                <w:rFonts w:ascii="Arial" w:hAnsi="Arial" w:eastAsia="Arial" w:cs="Arial"/>
                <w:b w:val="0"/>
                <w:color w:val="243A36"/>
                <w:sz w:val="17"/>
              </w:rPr>
              <w:t>16; 18</w:t>
            </w:r>
          </w:p>
        </w:tc>
        <w:tc>
          <w:tcPr>
            <w:tcW w:type="dxa" w:w="1587"/>
          </w:tcPr>
          <w:p>
            <w:pPr>
              <w:keepNext w:val="0"/>
              <w:spacing w:after="100"/>
            </w:pPr>
            <w:r>
              <w:rPr>
                <w:rFonts w:ascii="Arial" w:hAnsi="Arial" w:eastAsia="Arial" w:cs="Arial"/>
                <w:b w:val="0"/>
                <w:color w:val="243A36"/>
                <w:sz w:val="17"/>
              </w:rPr>
              <w:t>11</w:t>
            </w:r>
          </w:p>
        </w:tc>
        <w:tc>
          <w:tcPr>
            <w:tcW w:type="dxa" w:w="1576"/>
          </w:tcPr>
          <w:p>
            <w:pPr>
              <w:keepNext w:val="0"/>
              <w:spacing w:after="100"/>
            </w:pPr>
            <w:r>
              <w:rPr>
                <w:rFonts w:ascii="Arial" w:hAnsi="Arial" w:eastAsia="Arial" w:cs="Arial"/>
                <w:b w:val="0"/>
                <w:color w:val="243A36"/>
                <w:sz w:val="17"/>
              </w:rPr>
              <w:t>12</w:t>
            </w:r>
          </w:p>
        </w:tc>
      </w:tr>
      <w:tr>
        <w:tc>
          <w:tcPr>
            <w:tcW w:type="dxa" w:w="4876"/>
          </w:tcPr>
          <w:p>
            <w:pPr>
              <w:keepNext w:val="0"/>
              <w:spacing w:after="100"/>
            </w:pPr>
            <w:hyperlink w:anchor="MR_26">
              <w:r>
                <w:rPr>
                  <w:color w:val="215F52"/>
                  <w:sz w:val="18"/>
                </w:rPr>
                <w:t>26 Evidence handover and next-period actions</w:t>
              </w:r>
            </w:hyperlink>
          </w:p>
        </w:tc>
        <w:tc>
          <w:tcPr>
            <w:tcW w:type="dxa" w:w="1701"/>
          </w:tcPr>
          <w:p>
            <w:pPr>
              <w:keepNext w:val="0"/>
              <w:spacing w:after="100"/>
            </w:pPr>
            <w:r>
              <w:rPr>
                <w:rFonts w:ascii="Arial" w:hAnsi="Arial" w:eastAsia="Arial" w:cs="Arial"/>
                <w:b w:val="0"/>
                <w:color w:val="243A36"/>
                <w:sz w:val="17"/>
              </w:rPr>
              <w:t>14; 17; 18</w:t>
            </w:r>
          </w:p>
        </w:tc>
        <w:tc>
          <w:tcPr>
            <w:tcW w:type="dxa" w:w="1587"/>
          </w:tcPr>
          <w:p>
            <w:pPr>
              <w:keepNext w:val="0"/>
              <w:spacing w:after="100"/>
            </w:pPr>
            <w:r>
              <w:rPr>
                <w:rFonts w:ascii="Arial" w:hAnsi="Arial" w:eastAsia="Arial" w:cs="Arial"/>
                <w:b w:val="0"/>
                <w:color w:val="243A36"/>
                <w:sz w:val="17"/>
              </w:rPr>
              <w:t>11</w:t>
            </w:r>
          </w:p>
        </w:tc>
        <w:tc>
          <w:tcPr>
            <w:tcW w:type="dxa" w:w="1576"/>
          </w:tcPr>
          <w:p>
            <w:pPr>
              <w:keepNext w:val="0"/>
              <w:spacing w:after="100"/>
            </w:pPr>
            <w:r>
              <w:rPr>
                <w:rFonts w:ascii="Arial" w:hAnsi="Arial" w:eastAsia="Arial" w:cs="Arial"/>
                <w:b w:val="0"/>
                <w:color w:val="243A36"/>
                <w:sz w:val="17"/>
              </w:rPr>
              <w:t>12</w:t>
            </w:r>
          </w:p>
        </w:tc>
      </w:tr>
    </w:tbl>
    <w:p>
      <w:bookmarkStart w:id="603" w:name="MR_REF"/>
      <w:pPr>
        <w:pStyle w:val="Heading1"/>
        <w:keepNext/>
        <w:pageBreakBefore/>
      </w:pPr>
      <w:r>
        <w:rPr>
          <w:rFonts w:ascii="Arial" w:hAnsi="Arial" w:eastAsia="Arial" w:cs="Arial"/>
          <w:b w:val="0"/>
          <w:color w:val="215F52"/>
          <w:sz w:val="38"/>
        </w:rPr>
        <w:t>REF  References and completion boundary</w:t>
      </w:r>
      <w:bookmarkEnd w:id="603"/>
    </w:p>
    <w:p>
      <w:pPr>
        <w:keepNext/>
        <w:spacing w:after="100"/>
      </w:pPr>
      <w:r>
        <w:rPr>
          <w:rFonts w:ascii="Arial" w:hAnsi="Arial" w:eastAsia="Arial" w:cs="Arial"/>
          <w:b w:val="0"/>
          <w:color w:val="62716E"/>
          <w:sz w:val="16"/>
        </w:rPr>
        <w:t>[1] NEBIOT Standard 0.8.2</w:t>
      </w:r>
    </w:p>
    <w:p>
      <w:pPr>
        <w:spacing w:after="100"/>
      </w:pPr>
      <w:r>
        <w:rPr>
          <w:rFonts w:ascii="Arial" w:hAnsi="Arial" w:eastAsia="Arial" w:cs="Arial"/>
          <w:b w:val="0"/>
          <w:color w:val="243A36"/>
          <w:sz w:val="19"/>
        </w:rPr>
        <w:t>[1] NEBIOT. NEBIOT Standard, controlled version 0.8.2. Integrated edition NEB-DOC-000. Applicable core requirements and Annex A; methods NEB-MTH-001/002; project cycle NEB-CYC-001; assurance NEB-PRO-001; NVEU NEB-UNT-001; migration NEB-MIG-001; assessment NEB-AUD-001; controlled forms NEB-FRM-001.</w:t>
      </w:r>
    </w:p>
    <w:p>
      <w:pPr>
        <w:spacing w:after="100"/>
      </w:pPr>
      <w:r>
        <w:rPr>
          <w:rFonts w:ascii="Arial" w:hAnsi="Arial" w:eastAsia="Arial" w:cs="Arial"/>
          <w:b w:val="0"/>
          <w:color w:val="243A36"/>
          <w:sz w:val="19"/>
        </w:rPr>
        <w:t>[2] NEBIOT. Project Description template. Edition 1.2. Sections 01–18, account-attachment appendix A and CALC appendix. The actual project PD and its authorized changes are identified in Section 02 of this report.</w:t>
      </w:r>
    </w:p>
    <w:p>
      <w:pPr>
        <w:spacing w:after="100"/>
      </w:pPr>
      <w:r>
        <w:rPr>
          <w:rFonts w:ascii="Arial" w:hAnsi="Arial" w:eastAsia="Arial" w:cs="Arial"/>
          <w:b w:val="0"/>
          <w:color w:val="243A36"/>
          <w:sz w:val="19"/>
        </w:rPr>
        <w:t>[3] NEBIOT. Ex-Ante Estimate template. Edition 1.2. Sections 01–11 and CALC appendix. Retain the dated project forecast used for comparison.</w:t>
      </w:r>
    </w:p>
    <w:p>
      <w:pPr>
        <w:spacing w:after="100"/>
      </w:pPr>
      <w:r>
        <w:rPr>
          <w:rFonts w:ascii="Arial" w:hAnsi="Arial" w:eastAsia="Arial" w:cs="Arial"/>
          <w:b w:val="0"/>
          <w:color w:val="243A36"/>
          <w:sz w:val="19"/>
        </w:rPr>
        <w:t>[4] NEBIOT. Ex-Post Outcome Report template. Edition 1.2. Sections 01–12 and CALC appendix. Attach or embed the controlled quantitative report for the same interval and scope.</w:t>
      </w:r>
    </w:p>
    <w:p>
      <w:pPr>
        <w:spacing w:after="100"/>
      </w:pPr>
      <w:r>
        <w:rPr>
          <w:rFonts w:ascii="Arial" w:hAnsi="Arial" w:eastAsia="Arial" w:cs="Arial"/>
          <w:b w:val="0"/>
          <w:color w:val="243A36"/>
          <w:sz w:val="19"/>
        </w:rPr>
        <w:t>[5] NEBIOT. Environmental Accounts workbook and mathematical-notation catalog. Edition 1.2. Record the actual file version and fingerprint. Worksheet and column references in this report identify the unchanged edition 1.2 layout; fill the exact row and cell used.</w:t>
      </w:r>
    </w:p>
    <w:p>
      <w:pPr>
        <w:spacing w:after="100"/>
      </w:pPr>
      <w:r>
        <w:rPr>
          <w:rFonts w:ascii="Arial" w:hAnsi="Arial" w:eastAsia="Arial" w:cs="Arial"/>
          <w:b w:val="0"/>
          <w:color w:val="243A36"/>
          <w:sz w:val="19"/>
        </w:rPr>
        <w:t>[6] NEBIOT. Migration Reconciliation template. Edition 1.2. Apply to affected historical and current accounts only when migration or prior claims are relevant.</w:t>
      </w:r>
    </w:p>
    <w:p>
      <w:pPr>
        <w:spacing w:after="100"/>
      </w:pPr>
      <w:r>
        <w:rPr>
          <w:rFonts w:ascii="Arial" w:hAnsi="Arial" w:eastAsia="Arial" w:cs="Arial"/>
          <w:b/>
          <w:color w:val="215F52"/>
          <w:sz w:val="21"/>
        </w:rPr>
        <w:t>Completion checks before submission</w:t>
      </w:r>
    </w:p>
    <w:p>
      <w:pPr>
        <w:spacing w:after="100"/>
      </w:pPr>
      <w:r>
        <w:rPr>
          <w:rFonts w:ascii="Arial" w:hAnsi="Arial" w:eastAsia="Arial" w:cs="Arial"/>
          <w:b w:val="0"/>
          <w:color w:val="243A36"/>
          <w:sz w:val="19"/>
        </w:rPr>
        <w:t>Confirm that Section 01 reproduces the same authoritative period account as Sections 15–19 and the attached Ex-Post report; verify units and unrounded totals before formatting.</w:t>
      </w:r>
    </w:p>
    <w:p>
      <w:pPr>
        <w:spacing w:after="100"/>
      </w:pPr>
      <w:r>
        <w:rPr>
          <w:rFonts w:ascii="Arial" w:hAnsi="Arial" w:eastAsia="Arial" w:cs="Arial"/>
          <w:b w:val="0"/>
          <w:color w:val="243A36"/>
          <w:sz w:val="19"/>
        </w:rPr>
        <w:t>Confirm that each applicable PD monitoring obligation has an actual observation, a justified non-applicability decision, or a clearly identified unresolved gap. Confirm public and controlled evidence references are accessible to their authorized recipients.</w:t>
      </w:r>
    </w:p>
    <w:p>
      <w:pPr>
        <w:spacing w:after="100"/>
      </w:pPr>
      <w:r>
        <w:rPr>
          <w:rFonts w:ascii="Arial" w:hAnsi="Arial" w:eastAsia="Arial" w:cs="Arial"/>
          <w:b w:val="0"/>
          <w:color w:val="243A36"/>
          <w:sz w:val="19"/>
        </w:rPr>
        <w:t>Confirm prior periods, reserve cancellation, liabilities and continuing cohorts are reconciled once. Leave pending OVV opinions and program decisions pending rather than supplying a prefilled conclusion.</w:t>
      </w:r>
    </w:p>
    <w:p>
      <w:pPr>
        <w:spacing w:after="100"/>
      </w:pPr>
      <w:r>
        <w:rPr>
          <w:rFonts w:ascii="Arial" w:hAnsi="Arial" w:eastAsia="Arial" w:cs="Arial"/>
          <w:b w:val="0"/>
          <w:color w:val="243A36"/>
          <w:sz w:val="19"/>
        </w:rPr>
        <w:t>Tables are editable records, not automatic calculators. Word, LaTeX and Excel do not synchronize values automatically. Preserve the exact report-to-workbook references and inspect the completed document after tables or fields expand.</w:t>
      </w:r>
    </w:p>
    <w:sectPr w:rsidR="00FC693F" w:rsidRPr="0006063C" w:rsidSect="00034616">
      <w:headerReference w:type="default" r:id="rId9"/>
      <w:footerReference w:type="default" r:id="rId10"/>
      <w:headerReference w:type="first" r:id="rId12"/>
      <w:footerReference w:type="first" r:id="rId13"/>
      <w:pgSz w:w="11906" w:h="16838"/>
      <w:pgMar w:top="936" w:right="1080" w:bottom="950" w:left="1080"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9" w:val="right"/>
      </w:tabs>
      <w:spacing w:before="60"/>
      <w:pBdr>
        <w:top w:val="single" w:sz="4" w:color="C9D5CE" w:space="5"/>
      </w:pBdr>
    </w:pPr>
    <w:r>
      <w:rPr>
        <w:rFonts w:ascii="Arial" w:hAnsi="Arial"/>
        <w:b w:val="0"/>
        <w:i w:val="0"/>
        <w:color w:val="62716E"/>
        <w:sz w:val="14"/>
      </w:rPr>
      <w:t>TEMPLATE 1.3  / MONITORING /  NEBIOT 0.8.2</w:t>
    </w:r>
    <w:r>
      <w:tab/>
    </w:r>
    <w:r>
      <w:rPr>
        <w:rFonts w:ascii="Arial" w:hAnsi="Arial"/>
        <w:b w:val="0"/>
        <w:i w:val="0"/>
        <w:color w:val="62716E"/>
        <w:sz w:val="14"/>
      </w:rPr>
      <w:t xml:space="preserve">Page </w:t>
    </w:r>
    <w:fldSimple w:instr="PAGE">
      <w:r>
        <w:t>1</w:t>
      </w:r>
    </w:fldSimple>
    <w:r>
      <w:t xml:space="preserve"> / </w:t>
    </w:r>
    <w:fldSimple w:instr="NUMPAGES">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49" w:val="right"/>
      </w:tabs>
      <w:spacing w:after="60"/>
      <w:pBdr>
        <w:bottom w:val="single" w:sz="4" w:color="C9D5CE" w:space="5"/>
      </w:pBdr>
    </w:pPr>
    <w:r>
      <w:rPr>
        <w:rFonts w:ascii="Arial" w:hAnsi="Arial"/>
        <w:b/>
        <w:i w:val="0"/>
        <w:color w:val="215F52"/>
        <w:sz w:val="16"/>
      </w:rPr>
      <w:t>NEBIOT   /   MONITORING REPORT</w:t>
    </w:r>
    <w:r>
      <w:tab/>
    </w:r>
    <w:r>
      <w:rPr>
        <w:rFonts w:ascii="Arial" w:hAnsi="Arial"/>
        <w:b w:val="0"/>
        <w:i w:val="0"/>
        <w:color w:val="62716E"/>
        <w:sz w:val="16"/>
      </w:rPr>
      <w:t>EN   |   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sz w:val="19"/>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Georgia" w:hAnsi="Georgia"/>
      <w:b/>
      <w:bCs/>
      <w:color w:val="215F52"/>
      <w:sz w:val="38"/>
      <w:szCs w:val="28"/>
      <w:lang w:val="en-US"/>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rial" w:hAnsi="Arial"/>
      <w:b/>
      <w:bCs/>
      <w:color w:val="215F52"/>
      <w:sz w:val="21"/>
      <w:szCs w:val="26"/>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US"/>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40"/>
      <w:contextualSpacing/>
    </w:pPr>
    <w:rPr>
      <w:rFonts w:asciiTheme="majorHAnsi" w:eastAsiaTheme="majorEastAsia" w:hAnsiTheme="majorHAnsi" w:cstheme="majorBidi" w:ascii="Georgia" w:hAnsi="Georgia"/>
      <w:color w:val="215F52"/>
      <w:spacing w:val="5"/>
      <w:kern w:val="28"/>
      <w:sz w:val="6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US"/>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lang w:val="en-US"/>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lang w:val="en-US"/>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lang w:val="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US"/>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lang w:val="en-US"/>
    </w:rPr>
  </w:style>
  <w:style w:type="character" w:styleId="Emphasis">
    <w:name w:val="Emphasis"/>
    <w:basedOn w:val="DefaultParagraphFont"/>
    <w:uiPriority w:val="20"/>
    <w:qFormat/>
    <w:rsid w:val="00FC693F"/>
    <w:rPr>
      <w:i/>
      <w:iCs/>
      <w:lang w:val="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lang w:val="en-US"/>
    </w:rPr>
  </w:style>
  <w:style w:type="character" w:styleId="SubtleEmphasis">
    <w:name w:val="Subtle Emphasis"/>
    <w:basedOn w:val="DefaultParagraphFont"/>
    <w:uiPriority w:val="19"/>
    <w:qFormat/>
    <w:rsid w:val="00FC693F"/>
    <w:rPr>
      <w:i/>
      <w:iCs/>
      <w:color w:val="808080" w:themeColor="text1" w:themeTint="7F"/>
      <w:lang w:val="en-US"/>
    </w:rPr>
  </w:style>
  <w:style w:type="character" w:styleId="IntenseEmphasis">
    <w:name w:val="Intense Emphasis"/>
    <w:basedOn w:val="DefaultParagraphFont"/>
    <w:uiPriority w:val="21"/>
    <w:qFormat/>
    <w:rsid w:val="00FC693F"/>
    <w:rPr>
      <w:b/>
      <w:bCs/>
      <w:i/>
      <w:iCs/>
      <w:color w:val="4F81BD" w:themeColor="accent1"/>
      <w:lang w:val="en-US"/>
    </w:rPr>
  </w:style>
  <w:style w:type="character" w:styleId="SubtleReference">
    <w:name w:val="Subtle Reference"/>
    <w:basedOn w:val="DefaultParagraphFont"/>
    <w:uiPriority w:val="31"/>
    <w:qFormat/>
    <w:rsid w:val="00FC693F"/>
    <w:rPr>
      <w:smallCaps/>
      <w:color w:val="C0504D" w:themeColor="accent2"/>
      <w:u w:val="single"/>
      <w:lang w:val="en-US"/>
    </w:rPr>
  </w:style>
  <w:style w:type="character" w:styleId="IntenseReference">
    <w:name w:val="Intense Reference"/>
    <w:basedOn w:val="DefaultParagraphFont"/>
    <w:uiPriority w:val="32"/>
    <w:qFormat/>
    <w:rsid w:val="00FC693F"/>
    <w:rPr>
      <w:b/>
      <w:bCs/>
      <w:smallCaps/>
      <w:color w:val="C0504D" w:themeColor="accent2"/>
      <w:spacing w:val="5"/>
      <w:u w:val="single"/>
      <w:lang w:val="en-US"/>
    </w:rPr>
  </w:style>
  <w:style w:type="character" w:styleId="BookTitle">
    <w:name w:val="Book Title"/>
    <w:basedOn w:val="DefaultParagraphFont"/>
    <w:uiPriority w:val="33"/>
    <w:qFormat/>
    <w:rsid w:val="00FC693F"/>
    <w:rPr>
      <w:b/>
      <w:bCs/>
      <w:smallCaps/>
      <w:spacing w:val="5"/>
      <w:lang w:val="en-U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lang w:val="en-U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lang w:val="en-U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lang w:val="en-US"/>
      </w:rPr>
    </w:tblStylePr>
    <w:tblStylePr w:type="lastCol">
      <w:rPr>
        <w:b/>
        <w:bCs/>
        <w:lang w:val="en-U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lang w:val="en-U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lang w:val="en-U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lang w:val="en-US"/>
      </w:rPr>
    </w:tblStylePr>
    <w:tblStylePr w:type="lastCol">
      <w:rPr>
        <w:b/>
        <w:bCs/>
        <w:lang w:val="en-U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lang w:val="en-U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lang w:val="en-U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lang w:val="en-US"/>
      </w:rPr>
    </w:tblStylePr>
    <w:tblStylePr w:type="lastCol">
      <w:rPr>
        <w:b/>
        <w:bCs/>
        <w:lang w:val="en-U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lang w:val="en-U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lang w:val="en-U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lang w:val="en-US"/>
      </w:rPr>
    </w:tblStylePr>
    <w:tblStylePr w:type="lastCol">
      <w:rPr>
        <w:b/>
        <w:bCs/>
        <w:lang w:val="en-U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lang w:val="en-U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lang w:val="en-U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lang w:val="en-US"/>
      </w:rPr>
    </w:tblStylePr>
    <w:tblStylePr w:type="lastCol">
      <w:rPr>
        <w:b/>
        <w:bCs/>
        <w:lang w:val="en-U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lang w:val="en-U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lang w:val="en-U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lang w:val="en-US"/>
      </w:rPr>
    </w:tblStylePr>
    <w:tblStylePr w:type="lastCol">
      <w:rPr>
        <w:b/>
        <w:bCs/>
        <w:lang w:val="en-U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lang w:val="en-U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lang w:val="en-U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lang w:val="en-US"/>
      </w:rPr>
    </w:tblStylePr>
    <w:tblStylePr w:type="lastCol">
      <w:rPr>
        <w:b/>
        <w:bCs/>
        <w:lang w:val="en-U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shd w:val="clear" w:color="auto" w:fill="000000" w:themeFill="text1"/>
      </w:tcPr>
    </w:tblStylePr>
    <w:tblStylePr w:type="lastRow">
      <w:pPr>
        <w:spacing w:before="0" w:after="0" w:line="240" w:lineRule="auto"/>
      </w:pPr>
      <w:rPr>
        <w:b/>
        <w:bCs/>
        <w:lang w:val="en-U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lang w:val="en-US"/>
      </w:rPr>
    </w:tblStylePr>
    <w:tblStylePr w:type="lastCol">
      <w:rPr>
        <w:b/>
        <w:bCs/>
        <w:lang w:val="en-U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shd w:val="clear" w:color="auto" w:fill="4F81BD" w:themeFill="accent1"/>
      </w:tcPr>
    </w:tblStylePr>
    <w:tblStylePr w:type="lastRow">
      <w:pPr>
        <w:spacing w:before="0" w:after="0" w:line="240" w:lineRule="auto"/>
      </w:pPr>
      <w:rPr>
        <w:b/>
        <w:bCs/>
        <w:lang w:val="en-U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lang w:val="en-US"/>
      </w:rPr>
    </w:tblStylePr>
    <w:tblStylePr w:type="lastCol">
      <w:rPr>
        <w:b/>
        <w:bCs/>
        <w:lang w:val="en-U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shd w:val="clear" w:color="auto" w:fill="C0504D" w:themeFill="accent2"/>
      </w:tcPr>
    </w:tblStylePr>
    <w:tblStylePr w:type="lastRow">
      <w:pPr>
        <w:spacing w:before="0" w:after="0" w:line="240" w:lineRule="auto"/>
      </w:pPr>
      <w:rPr>
        <w:b/>
        <w:bCs/>
        <w:lang w:val="en-U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lang w:val="en-US"/>
      </w:rPr>
    </w:tblStylePr>
    <w:tblStylePr w:type="lastCol">
      <w:rPr>
        <w:b/>
        <w:bCs/>
        <w:lang w:val="en-U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shd w:val="clear" w:color="auto" w:fill="9BBB59" w:themeFill="accent3"/>
      </w:tcPr>
    </w:tblStylePr>
    <w:tblStylePr w:type="lastRow">
      <w:pPr>
        <w:spacing w:before="0" w:after="0" w:line="240" w:lineRule="auto"/>
      </w:pPr>
      <w:rPr>
        <w:b/>
        <w:bCs/>
        <w:lang w:val="en-U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lang w:val="en-US"/>
      </w:rPr>
    </w:tblStylePr>
    <w:tblStylePr w:type="lastCol">
      <w:rPr>
        <w:b/>
        <w:bCs/>
        <w:lang w:val="en-U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shd w:val="clear" w:color="auto" w:fill="8064A2" w:themeFill="accent4"/>
      </w:tcPr>
    </w:tblStylePr>
    <w:tblStylePr w:type="lastRow">
      <w:pPr>
        <w:spacing w:before="0" w:after="0" w:line="240" w:lineRule="auto"/>
      </w:pPr>
      <w:rPr>
        <w:b/>
        <w:bCs/>
        <w:lang w:val="en-U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lang w:val="en-US"/>
      </w:rPr>
    </w:tblStylePr>
    <w:tblStylePr w:type="lastCol">
      <w:rPr>
        <w:b/>
        <w:bCs/>
        <w:lang w:val="en-U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shd w:val="clear" w:color="auto" w:fill="4BACC6" w:themeFill="accent5"/>
      </w:tcPr>
    </w:tblStylePr>
    <w:tblStylePr w:type="lastRow">
      <w:pPr>
        <w:spacing w:before="0" w:after="0" w:line="240" w:lineRule="auto"/>
      </w:pPr>
      <w:rPr>
        <w:b/>
        <w:bCs/>
        <w:lang w:val="en-U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lang w:val="en-US"/>
      </w:rPr>
    </w:tblStylePr>
    <w:tblStylePr w:type="lastCol">
      <w:rPr>
        <w:b/>
        <w:bCs/>
        <w:lang w:val="en-U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shd w:val="clear" w:color="auto" w:fill="F79646" w:themeFill="accent6"/>
      </w:tcPr>
    </w:tblStylePr>
    <w:tblStylePr w:type="lastRow">
      <w:pPr>
        <w:spacing w:before="0" w:after="0" w:line="240" w:lineRule="auto"/>
      </w:pPr>
      <w:rPr>
        <w:b/>
        <w:bCs/>
        <w:lang w:val="en-U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lang w:val="en-US"/>
      </w:rPr>
    </w:tblStylePr>
    <w:tblStylePr w:type="lastCol">
      <w:rPr>
        <w:b/>
        <w:bCs/>
        <w:lang w:val="en-U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U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lang w:val="en-U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lang w:val="en-US"/>
      </w:rPr>
    </w:tblStylePr>
    <w:tblStylePr w:type="lastCol">
      <w:rPr>
        <w:rFonts w:asciiTheme="majorHAnsi" w:eastAsiaTheme="majorEastAsia" w:hAnsiTheme="majorHAnsi" w:cstheme="majorBidi"/>
        <w:b/>
        <w:bCs/>
        <w:lang w:val="en-U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U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lang w:val="en-U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lang w:val="en-US"/>
      </w:rPr>
    </w:tblStylePr>
    <w:tblStylePr w:type="lastCol">
      <w:rPr>
        <w:rFonts w:asciiTheme="majorHAnsi" w:eastAsiaTheme="majorEastAsia" w:hAnsiTheme="majorHAnsi" w:cstheme="majorBidi"/>
        <w:b/>
        <w:bCs/>
        <w:lang w:val="en-U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U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lang w:val="en-U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lang w:val="en-US"/>
      </w:rPr>
    </w:tblStylePr>
    <w:tblStylePr w:type="lastCol">
      <w:rPr>
        <w:rFonts w:asciiTheme="majorHAnsi" w:eastAsiaTheme="majorEastAsia" w:hAnsiTheme="majorHAnsi" w:cstheme="majorBidi"/>
        <w:b/>
        <w:bCs/>
        <w:lang w:val="en-U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U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lang w:val="en-U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lang w:val="en-US"/>
      </w:rPr>
    </w:tblStylePr>
    <w:tblStylePr w:type="lastCol">
      <w:rPr>
        <w:rFonts w:asciiTheme="majorHAnsi" w:eastAsiaTheme="majorEastAsia" w:hAnsiTheme="majorHAnsi" w:cstheme="majorBidi"/>
        <w:b/>
        <w:bCs/>
        <w:lang w:val="en-U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U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lang w:val="en-U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lang w:val="en-US"/>
      </w:rPr>
    </w:tblStylePr>
    <w:tblStylePr w:type="lastCol">
      <w:rPr>
        <w:rFonts w:asciiTheme="majorHAnsi" w:eastAsiaTheme="majorEastAsia" w:hAnsiTheme="majorHAnsi" w:cstheme="majorBidi"/>
        <w:b/>
        <w:bCs/>
        <w:lang w:val="en-U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U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lang w:val="en-U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lang w:val="en-US"/>
      </w:rPr>
    </w:tblStylePr>
    <w:tblStylePr w:type="lastCol">
      <w:rPr>
        <w:rFonts w:asciiTheme="majorHAnsi" w:eastAsiaTheme="majorEastAsia" w:hAnsiTheme="majorHAnsi" w:cstheme="majorBidi"/>
        <w:b/>
        <w:bCs/>
        <w:lang w:val="en-U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U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lang w:val="en-U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lang w:val="en-US"/>
      </w:rPr>
    </w:tblStylePr>
    <w:tblStylePr w:type="lastCol">
      <w:rPr>
        <w:rFonts w:asciiTheme="majorHAnsi" w:eastAsiaTheme="majorEastAsia" w:hAnsiTheme="majorHAnsi" w:cstheme="majorBidi"/>
        <w:b/>
        <w:bCs/>
        <w:lang w:val="en-U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lang w:val="en-U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lang w:val="en-US"/>
      </w:rPr>
    </w:tblStylePr>
    <w:tblStylePr w:type="lastCol">
      <w:rPr>
        <w:b/>
        <w:bCs/>
        <w:lang w:val="en-U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lang w:val="en-U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lang w:val="en-US"/>
      </w:rPr>
    </w:tblStylePr>
    <w:tblStylePr w:type="lastCol">
      <w:rPr>
        <w:b/>
        <w:bCs/>
        <w:lang w:val="en-U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lang w:val="en-U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lang w:val="en-US"/>
      </w:rPr>
    </w:tblStylePr>
    <w:tblStylePr w:type="lastCol">
      <w:rPr>
        <w:b/>
        <w:bCs/>
        <w:lang w:val="en-U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lang w:val="en-U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lang w:val="en-US"/>
      </w:rPr>
    </w:tblStylePr>
    <w:tblStylePr w:type="lastCol">
      <w:rPr>
        <w:b/>
        <w:bCs/>
        <w:lang w:val="en-U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lang w:val="en-U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lang w:val="en-US"/>
      </w:rPr>
    </w:tblStylePr>
    <w:tblStylePr w:type="lastCol">
      <w:rPr>
        <w:b/>
        <w:bCs/>
        <w:lang w:val="en-U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lang w:val="en-U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lang w:val="en-US"/>
      </w:rPr>
    </w:tblStylePr>
    <w:tblStylePr w:type="lastCol">
      <w:rPr>
        <w:b/>
        <w:bCs/>
        <w:lang w:val="en-U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lang w:val="en-U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lang w:val="en-US"/>
      </w:rPr>
    </w:tblStylePr>
    <w:tblStylePr w:type="lastCol">
      <w:rPr>
        <w:b/>
        <w:bCs/>
        <w:lang w:val="en-U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lang w:val="en-US"/>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US"/>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lang w:val="en-U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US"/>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lang w:val="en-US"/>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US"/>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lang w:val="en-US"/>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US"/>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lang w:val="en-US"/>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US"/>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lang w:val="en-US"/>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US"/>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lang w:val="en-US"/>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US"/>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lang w:val="en-US"/>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US"/>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lang w:val="en-US"/>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US"/>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lang w:val="en-US"/>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US"/>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lang w:val="en-US"/>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US"/>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lang w:val="en-US"/>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US"/>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lang w:val="en-US"/>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US"/>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lang w:val="en-US"/>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US"/>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lang w:val="en-US"/>
      </w:rPr>
      <w:tblPr/>
      <w:tcPr>
        <w:tcBorders>
          <w:top w:val="nil"/>
          <w:bottom w:val="single" w:sz="8" w:space="0" w:color="000000" w:themeColor="text1"/>
        </w:tcBorders>
      </w:tcPr>
    </w:tblStylePr>
    <w:tblStylePr w:type="lastRow">
      <w:rPr>
        <w:b/>
        <w:bCs/>
        <w:color w:val="1F497D" w:themeColor="text2"/>
        <w:lang w:val="en-US"/>
      </w:rPr>
      <w:tblPr/>
      <w:tcPr>
        <w:tcBorders>
          <w:top w:val="single" w:sz="8" w:space="0" w:color="000000" w:themeColor="text1"/>
          <w:bottom w:val="single" w:sz="8" w:space="0" w:color="000000" w:themeColor="text1"/>
        </w:tcBorders>
      </w:tcPr>
    </w:tblStylePr>
    <w:tblStylePr w:type="firstCol">
      <w:rPr>
        <w:b/>
        <w:bCs/>
        <w:lang w:val="en-US"/>
      </w:rPr>
    </w:tblStylePr>
    <w:tblStylePr w:type="lastCol">
      <w:rPr>
        <w:b/>
        <w:bCs/>
        <w:lang w:val="en-U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lang w:val="en-US"/>
      </w:rPr>
      <w:tblPr/>
      <w:tcPr>
        <w:tcBorders>
          <w:top w:val="nil"/>
          <w:bottom w:val="single" w:sz="8" w:space="0" w:color="4F81BD" w:themeColor="accent1"/>
        </w:tcBorders>
      </w:tcPr>
    </w:tblStylePr>
    <w:tblStylePr w:type="lastRow">
      <w:rPr>
        <w:b/>
        <w:bCs/>
        <w:color w:val="1F497D" w:themeColor="text2"/>
        <w:lang w:val="en-US"/>
      </w:rPr>
      <w:tblPr/>
      <w:tcPr>
        <w:tcBorders>
          <w:top w:val="single" w:sz="8" w:space="0" w:color="4F81BD" w:themeColor="accent1"/>
          <w:bottom w:val="single" w:sz="8" w:space="0" w:color="4F81BD" w:themeColor="accent1"/>
        </w:tcBorders>
      </w:tcPr>
    </w:tblStylePr>
    <w:tblStylePr w:type="firstCol">
      <w:rPr>
        <w:b/>
        <w:bCs/>
        <w:lang w:val="en-US"/>
      </w:rPr>
    </w:tblStylePr>
    <w:tblStylePr w:type="lastCol">
      <w:rPr>
        <w:b/>
        <w:bCs/>
        <w:lang w:val="en-U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lang w:val="en-US"/>
      </w:rPr>
      <w:tblPr/>
      <w:tcPr>
        <w:tcBorders>
          <w:top w:val="nil"/>
          <w:bottom w:val="single" w:sz="8" w:space="0" w:color="C0504D" w:themeColor="accent2"/>
        </w:tcBorders>
      </w:tcPr>
    </w:tblStylePr>
    <w:tblStylePr w:type="lastRow">
      <w:rPr>
        <w:b/>
        <w:bCs/>
        <w:color w:val="1F497D" w:themeColor="text2"/>
        <w:lang w:val="en-US"/>
      </w:rPr>
      <w:tblPr/>
      <w:tcPr>
        <w:tcBorders>
          <w:top w:val="single" w:sz="8" w:space="0" w:color="C0504D" w:themeColor="accent2"/>
          <w:bottom w:val="single" w:sz="8" w:space="0" w:color="C0504D" w:themeColor="accent2"/>
        </w:tcBorders>
      </w:tcPr>
    </w:tblStylePr>
    <w:tblStylePr w:type="firstCol">
      <w:rPr>
        <w:b/>
        <w:bCs/>
        <w:lang w:val="en-US"/>
      </w:rPr>
    </w:tblStylePr>
    <w:tblStylePr w:type="lastCol">
      <w:rPr>
        <w:b/>
        <w:bCs/>
        <w:lang w:val="en-U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lang w:val="en-US"/>
      </w:rPr>
      <w:tblPr/>
      <w:tcPr>
        <w:tcBorders>
          <w:top w:val="nil"/>
          <w:bottom w:val="single" w:sz="8" w:space="0" w:color="9BBB59" w:themeColor="accent3"/>
        </w:tcBorders>
      </w:tcPr>
    </w:tblStylePr>
    <w:tblStylePr w:type="lastRow">
      <w:rPr>
        <w:b/>
        <w:bCs/>
        <w:color w:val="1F497D" w:themeColor="text2"/>
        <w:lang w:val="en-US"/>
      </w:rPr>
      <w:tblPr/>
      <w:tcPr>
        <w:tcBorders>
          <w:top w:val="single" w:sz="8" w:space="0" w:color="9BBB59" w:themeColor="accent3"/>
          <w:bottom w:val="single" w:sz="8" w:space="0" w:color="9BBB59" w:themeColor="accent3"/>
        </w:tcBorders>
      </w:tcPr>
    </w:tblStylePr>
    <w:tblStylePr w:type="firstCol">
      <w:rPr>
        <w:b/>
        <w:bCs/>
        <w:lang w:val="en-US"/>
      </w:rPr>
    </w:tblStylePr>
    <w:tblStylePr w:type="lastCol">
      <w:rPr>
        <w:b/>
        <w:bCs/>
        <w:lang w:val="en-U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lang w:val="en-US"/>
      </w:rPr>
      <w:tblPr/>
      <w:tcPr>
        <w:tcBorders>
          <w:top w:val="nil"/>
          <w:bottom w:val="single" w:sz="8" w:space="0" w:color="8064A2" w:themeColor="accent4"/>
        </w:tcBorders>
      </w:tcPr>
    </w:tblStylePr>
    <w:tblStylePr w:type="lastRow">
      <w:rPr>
        <w:b/>
        <w:bCs/>
        <w:color w:val="1F497D" w:themeColor="text2"/>
        <w:lang w:val="en-US"/>
      </w:rPr>
      <w:tblPr/>
      <w:tcPr>
        <w:tcBorders>
          <w:top w:val="single" w:sz="8" w:space="0" w:color="8064A2" w:themeColor="accent4"/>
          <w:bottom w:val="single" w:sz="8" w:space="0" w:color="8064A2" w:themeColor="accent4"/>
        </w:tcBorders>
      </w:tcPr>
    </w:tblStylePr>
    <w:tblStylePr w:type="firstCol">
      <w:rPr>
        <w:b/>
        <w:bCs/>
        <w:lang w:val="en-US"/>
      </w:rPr>
    </w:tblStylePr>
    <w:tblStylePr w:type="lastCol">
      <w:rPr>
        <w:b/>
        <w:bCs/>
        <w:lang w:val="en-U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lang w:val="en-US"/>
      </w:rPr>
      <w:tblPr/>
      <w:tcPr>
        <w:tcBorders>
          <w:top w:val="nil"/>
          <w:bottom w:val="single" w:sz="8" w:space="0" w:color="4BACC6" w:themeColor="accent5"/>
        </w:tcBorders>
      </w:tcPr>
    </w:tblStylePr>
    <w:tblStylePr w:type="lastRow">
      <w:rPr>
        <w:b/>
        <w:bCs/>
        <w:color w:val="1F497D" w:themeColor="text2"/>
        <w:lang w:val="en-US"/>
      </w:rPr>
      <w:tblPr/>
      <w:tcPr>
        <w:tcBorders>
          <w:top w:val="single" w:sz="8" w:space="0" w:color="4BACC6" w:themeColor="accent5"/>
          <w:bottom w:val="single" w:sz="8" w:space="0" w:color="4BACC6" w:themeColor="accent5"/>
        </w:tcBorders>
      </w:tcPr>
    </w:tblStylePr>
    <w:tblStylePr w:type="firstCol">
      <w:rPr>
        <w:b/>
        <w:bCs/>
        <w:lang w:val="en-US"/>
      </w:rPr>
    </w:tblStylePr>
    <w:tblStylePr w:type="lastCol">
      <w:rPr>
        <w:b/>
        <w:bCs/>
        <w:lang w:val="en-U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lang w:val="en-US"/>
      </w:rPr>
      <w:tblPr/>
      <w:tcPr>
        <w:tcBorders>
          <w:top w:val="nil"/>
          <w:bottom w:val="single" w:sz="8" w:space="0" w:color="F79646" w:themeColor="accent6"/>
        </w:tcBorders>
      </w:tcPr>
    </w:tblStylePr>
    <w:tblStylePr w:type="lastRow">
      <w:rPr>
        <w:b/>
        <w:bCs/>
        <w:color w:val="1F497D" w:themeColor="text2"/>
        <w:lang w:val="en-US"/>
      </w:rPr>
      <w:tblPr/>
      <w:tcPr>
        <w:tcBorders>
          <w:top w:val="single" w:sz="8" w:space="0" w:color="F79646" w:themeColor="accent6"/>
          <w:bottom w:val="single" w:sz="8" w:space="0" w:color="F79646" w:themeColor="accent6"/>
        </w:tcBorders>
      </w:tcPr>
    </w:tblStylePr>
    <w:tblStylePr w:type="firstCol">
      <w:rPr>
        <w:b/>
        <w:bCs/>
        <w:lang w:val="en-US"/>
      </w:rPr>
    </w:tblStylePr>
    <w:tblStylePr w:type="lastCol">
      <w:rPr>
        <w:b/>
        <w:bCs/>
        <w:lang w:val="en-U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lang w:val="en-US"/>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lang w:val="en-US"/>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lang w:val="en-U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lang w:val="en-U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lang w:val="en-U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lang w:val="en-U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lang w:val="en-U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lang w:val="en-US"/>
      </w:rPr>
    </w:tblStylePr>
    <w:tblStylePr w:type="lastRow">
      <w:rPr>
        <w:b/>
        <w:bCs/>
        <w:lang w:val="en-US"/>
      </w:rPr>
      <w:tblPr/>
      <w:tcPr>
        <w:tcBorders>
          <w:top w:val="single" w:sz="18" w:space="0" w:color="404040" w:themeColor="text1" w:themeTint="BF"/>
        </w:tcBorders>
      </w:tcPr>
    </w:tblStylePr>
    <w:tblStylePr w:type="firstCol">
      <w:rPr>
        <w:b/>
        <w:bCs/>
        <w:lang w:val="en-US"/>
      </w:rPr>
    </w:tblStylePr>
    <w:tblStylePr w:type="lastCol">
      <w:rPr>
        <w:b/>
        <w:bCs/>
        <w:lang w:val="en-U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lang w:val="en-US"/>
      </w:rPr>
    </w:tblStylePr>
    <w:tblStylePr w:type="lastRow">
      <w:rPr>
        <w:b/>
        <w:bCs/>
        <w:lang w:val="en-US"/>
      </w:rPr>
      <w:tblPr/>
      <w:tcPr>
        <w:tcBorders>
          <w:top w:val="single" w:sz="18" w:space="0" w:color="7BA0CD" w:themeColor="accent1" w:themeTint="BF"/>
        </w:tcBorders>
      </w:tcPr>
    </w:tblStylePr>
    <w:tblStylePr w:type="firstCol">
      <w:rPr>
        <w:b/>
        <w:bCs/>
        <w:lang w:val="en-US"/>
      </w:rPr>
    </w:tblStylePr>
    <w:tblStylePr w:type="lastCol">
      <w:rPr>
        <w:b/>
        <w:bCs/>
        <w:lang w:val="en-U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lang w:val="en-US"/>
      </w:rPr>
    </w:tblStylePr>
    <w:tblStylePr w:type="lastRow">
      <w:rPr>
        <w:b/>
        <w:bCs/>
        <w:lang w:val="en-US"/>
      </w:rPr>
      <w:tblPr/>
      <w:tcPr>
        <w:tcBorders>
          <w:top w:val="single" w:sz="18" w:space="0" w:color="CF7B79" w:themeColor="accent2" w:themeTint="BF"/>
        </w:tcBorders>
      </w:tcPr>
    </w:tblStylePr>
    <w:tblStylePr w:type="firstCol">
      <w:rPr>
        <w:b/>
        <w:bCs/>
        <w:lang w:val="en-US"/>
      </w:rPr>
    </w:tblStylePr>
    <w:tblStylePr w:type="lastCol">
      <w:rPr>
        <w:b/>
        <w:bCs/>
        <w:lang w:val="en-U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lang w:val="en-US"/>
      </w:rPr>
    </w:tblStylePr>
    <w:tblStylePr w:type="lastRow">
      <w:rPr>
        <w:b/>
        <w:bCs/>
        <w:lang w:val="en-US"/>
      </w:rPr>
      <w:tblPr/>
      <w:tcPr>
        <w:tcBorders>
          <w:top w:val="single" w:sz="18" w:space="0" w:color="B3CC82" w:themeColor="accent3" w:themeTint="BF"/>
        </w:tcBorders>
      </w:tcPr>
    </w:tblStylePr>
    <w:tblStylePr w:type="firstCol">
      <w:rPr>
        <w:b/>
        <w:bCs/>
        <w:lang w:val="en-US"/>
      </w:rPr>
    </w:tblStylePr>
    <w:tblStylePr w:type="lastCol">
      <w:rPr>
        <w:b/>
        <w:bCs/>
        <w:lang w:val="en-U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lang w:val="en-US"/>
      </w:rPr>
    </w:tblStylePr>
    <w:tblStylePr w:type="lastRow">
      <w:rPr>
        <w:b/>
        <w:bCs/>
        <w:lang w:val="en-US"/>
      </w:rPr>
      <w:tblPr/>
      <w:tcPr>
        <w:tcBorders>
          <w:top w:val="single" w:sz="18" w:space="0" w:color="9F8AB9" w:themeColor="accent4" w:themeTint="BF"/>
        </w:tcBorders>
      </w:tcPr>
    </w:tblStylePr>
    <w:tblStylePr w:type="firstCol">
      <w:rPr>
        <w:b/>
        <w:bCs/>
        <w:lang w:val="en-US"/>
      </w:rPr>
    </w:tblStylePr>
    <w:tblStylePr w:type="lastCol">
      <w:rPr>
        <w:b/>
        <w:bCs/>
        <w:lang w:val="en-U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lang w:val="en-US"/>
      </w:rPr>
    </w:tblStylePr>
    <w:tblStylePr w:type="lastRow">
      <w:rPr>
        <w:b/>
        <w:bCs/>
        <w:lang w:val="en-US"/>
      </w:rPr>
      <w:tblPr/>
      <w:tcPr>
        <w:tcBorders>
          <w:top w:val="single" w:sz="18" w:space="0" w:color="78C0D4" w:themeColor="accent5" w:themeTint="BF"/>
        </w:tcBorders>
      </w:tcPr>
    </w:tblStylePr>
    <w:tblStylePr w:type="firstCol">
      <w:rPr>
        <w:b/>
        <w:bCs/>
        <w:lang w:val="en-US"/>
      </w:rPr>
    </w:tblStylePr>
    <w:tblStylePr w:type="lastCol">
      <w:rPr>
        <w:b/>
        <w:bCs/>
        <w:lang w:val="en-U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lang w:val="en-US"/>
      </w:rPr>
    </w:tblStylePr>
    <w:tblStylePr w:type="lastRow">
      <w:rPr>
        <w:b/>
        <w:bCs/>
        <w:lang w:val="en-US"/>
      </w:rPr>
      <w:tblPr/>
      <w:tcPr>
        <w:tcBorders>
          <w:top w:val="single" w:sz="18" w:space="0" w:color="F9B074" w:themeColor="accent6" w:themeTint="BF"/>
        </w:tcBorders>
      </w:tcPr>
    </w:tblStylePr>
    <w:tblStylePr w:type="firstCol">
      <w:rPr>
        <w:b/>
        <w:bCs/>
        <w:lang w:val="en-US"/>
      </w:rPr>
    </w:tblStylePr>
    <w:tblStylePr w:type="lastCol">
      <w:rPr>
        <w:b/>
        <w:bCs/>
        <w:lang w:val="en-U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lang w:val="en-US"/>
      </w:rPr>
      <w:tblPr/>
      <w:tcPr>
        <w:shd w:val="clear" w:color="auto" w:fill="E6E6E6" w:themeFill="text1" w:themeFillTint="19"/>
      </w:tcPr>
    </w:tblStylePr>
    <w:tblStylePr w:type="lastRow">
      <w:rPr>
        <w:b/>
        <w:bCs/>
        <w:color w:val="000000" w:themeColor="text1"/>
        <w:lang w:val="en-U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US"/>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US"/>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lang w:val="en-US"/>
      </w:rPr>
      <w:tblPr/>
      <w:tcPr>
        <w:shd w:val="clear" w:color="auto" w:fill="EDF2F8" w:themeFill="accent1" w:themeFillTint="19"/>
      </w:tcPr>
    </w:tblStylePr>
    <w:tblStylePr w:type="lastRow">
      <w:rPr>
        <w:b/>
        <w:bCs/>
        <w:color w:val="000000" w:themeColor="text1"/>
        <w:lang w:val="en-U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US"/>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US"/>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lang w:val="en-US"/>
      </w:rPr>
      <w:tblPr/>
      <w:tcPr>
        <w:shd w:val="clear" w:color="auto" w:fill="F8EDED" w:themeFill="accent2" w:themeFillTint="19"/>
      </w:tcPr>
    </w:tblStylePr>
    <w:tblStylePr w:type="lastRow">
      <w:rPr>
        <w:b/>
        <w:bCs/>
        <w:color w:val="000000" w:themeColor="text1"/>
        <w:lang w:val="en-U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US"/>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US"/>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lang w:val="en-US"/>
      </w:rPr>
      <w:tblPr/>
      <w:tcPr>
        <w:shd w:val="clear" w:color="auto" w:fill="F5F8EE" w:themeFill="accent3" w:themeFillTint="19"/>
      </w:tcPr>
    </w:tblStylePr>
    <w:tblStylePr w:type="lastRow">
      <w:rPr>
        <w:b/>
        <w:bCs/>
        <w:color w:val="000000" w:themeColor="text1"/>
        <w:lang w:val="en-U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US"/>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US"/>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lang w:val="en-US"/>
      </w:rPr>
      <w:tblPr/>
      <w:tcPr>
        <w:shd w:val="clear" w:color="auto" w:fill="F2EFF6" w:themeFill="accent4" w:themeFillTint="19"/>
      </w:tcPr>
    </w:tblStylePr>
    <w:tblStylePr w:type="lastRow">
      <w:rPr>
        <w:b/>
        <w:bCs/>
        <w:color w:val="000000" w:themeColor="text1"/>
        <w:lang w:val="en-U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US"/>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US"/>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lang w:val="en-US"/>
      </w:rPr>
      <w:tblPr/>
      <w:tcPr>
        <w:shd w:val="clear" w:color="auto" w:fill="EDF6F9" w:themeFill="accent5" w:themeFillTint="19"/>
      </w:tcPr>
    </w:tblStylePr>
    <w:tblStylePr w:type="lastRow">
      <w:rPr>
        <w:b/>
        <w:bCs/>
        <w:color w:val="000000" w:themeColor="text1"/>
        <w:lang w:val="en-U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US"/>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US"/>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lang w:val="en-US"/>
      </w:rPr>
      <w:tblPr/>
      <w:tcPr>
        <w:shd w:val="clear" w:color="auto" w:fill="FEF4EC" w:themeFill="accent6" w:themeFillTint="19"/>
      </w:tcPr>
    </w:tblStylePr>
    <w:tblStylePr w:type="lastRow">
      <w:rPr>
        <w:b/>
        <w:bCs/>
        <w:color w:val="000000" w:themeColor="text1"/>
        <w:lang w:val="en-U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US"/>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US"/>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lang w:val="en-US"/>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lang w:val="en-US"/>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lang w:val="en-US"/>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lang w:val="en-US"/>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lang w:val="en-US"/>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lang w:val="en-US"/>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lang w:val="en-US"/>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lang w:val="en-US"/>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lang w:val="en-US"/>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lang w:val="en-US"/>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lang w:val="en-US"/>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lang w:val="en-US"/>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lang w:val="en-US"/>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lang w:val="en-US"/>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lang w:val="en-US"/>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lang w:val="en-US"/>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lang w:val="en-US"/>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lang w:val="en-US"/>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lang w:val="en-US"/>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lang w:val="en-US"/>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lang w:val="en-US"/>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lang w:val="en-US"/>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lang w:val="en-US"/>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lang w:val="en-US"/>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lang w:val="en-US"/>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lang w:val="en-US"/>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lang w:val="en-US"/>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lang w:val="en-US"/>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lang w:val="en-U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lang w:val="en-U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lang w:val="en-U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lang w:val="en-U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lang w:val="en-U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lang w:val="en-U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lang w:val="en-U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lang w:val="en-U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en-US"/>
      </w:rPr>
      <w:tblPr/>
      <w:tcPr>
        <w:tcBorders>
          <w:top w:val="single" w:sz="6" w:space="0" w:color="FFFFFF" w:themeColor="background1"/>
        </w:tcBorders>
        <w:shd w:val="clear" w:color="auto" w:fill="000000" w:themeFill="text1" w:themeFillShade="99"/>
      </w:tcPr>
    </w:tblStylePr>
    <w:tblStylePr w:type="firstCol">
      <w:rPr>
        <w:color w:val="FFFFFF" w:themeColor="background1"/>
        <w:lang w:val="en-US"/>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lang w:val="en-US"/>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lang w:val="en-US"/>
      </w:rPr>
    </w:tblStylePr>
    <w:tblStylePr w:type="nwCell">
      <w:rPr>
        <w:color w:val="000000" w:themeColor="text1"/>
        <w:lang w:val="en-US"/>
      </w:rPr>
    </w:tblStylePr>
  </w:style>
  <w:style w:type="table" w:styleId="ColorfulShading-Accent1">
    <w:name w:val="Colorful Shading Accent 1"/>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lang w:val="en-U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en-US"/>
      </w:rPr>
      <w:tblPr/>
      <w:tcPr>
        <w:tcBorders>
          <w:top w:val="single" w:sz="6" w:space="0" w:color="FFFFFF" w:themeColor="background1"/>
        </w:tcBorders>
        <w:shd w:val="clear" w:color="auto" w:fill="2C4C74" w:themeFill="accent1" w:themeFillShade="99"/>
      </w:tcPr>
    </w:tblStylePr>
    <w:tblStylePr w:type="firstCol">
      <w:rPr>
        <w:color w:val="FFFFFF" w:themeColor="background1"/>
        <w:lang w:val="en-US"/>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lang w:val="en-US"/>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lang w:val="en-US"/>
      </w:rPr>
    </w:tblStylePr>
    <w:tblStylePr w:type="nwCell">
      <w:rPr>
        <w:color w:val="000000" w:themeColor="text1"/>
        <w:lang w:val="en-US"/>
      </w:rPr>
    </w:tblStylePr>
  </w:style>
  <w:style w:type="table" w:styleId="ColorfulShading-Accent2">
    <w:name w:val="Colorful Shading Accent 2"/>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lang w:val="en-U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en-US"/>
      </w:rPr>
      <w:tblPr/>
      <w:tcPr>
        <w:tcBorders>
          <w:top w:val="single" w:sz="6" w:space="0" w:color="FFFFFF" w:themeColor="background1"/>
        </w:tcBorders>
        <w:shd w:val="clear" w:color="auto" w:fill="772C2A" w:themeFill="accent2" w:themeFillShade="99"/>
      </w:tcPr>
    </w:tblStylePr>
    <w:tblStylePr w:type="firstCol">
      <w:rPr>
        <w:color w:val="FFFFFF" w:themeColor="background1"/>
        <w:lang w:val="en-US"/>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lang w:val="en-US"/>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lang w:val="en-US"/>
      </w:rPr>
    </w:tblStylePr>
    <w:tblStylePr w:type="nwCell">
      <w:rPr>
        <w:color w:val="000000" w:themeColor="text1"/>
        <w:lang w:val="en-US"/>
      </w:rPr>
    </w:tblStylePr>
  </w:style>
  <w:style w:type="table" w:styleId="ColorfulShading-Accent3">
    <w:name w:val="Colorful Shading Accent 3"/>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lang w:val="en-U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lang w:val="en-US"/>
      </w:rPr>
      <w:tblPr/>
      <w:tcPr>
        <w:tcBorders>
          <w:top w:val="single" w:sz="6" w:space="0" w:color="FFFFFF" w:themeColor="background1"/>
        </w:tcBorders>
        <w:shd w:val="clear" w:color="auto" w:fill="5E7530" w:themeFill="accent3" w:themeFillShade="99"/>
      </w:tcPr>
    </w:tblStylePr>
    <w:tblStylePr w:type="firstCol">
      <w:rPr>
        <w:color w:val="FFFFFF" w:themeColor="background1"/>
        <w:lang w:val="en-US"/>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lang w:val="en-US"/>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lang w:val="en-U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lang w:val="en-US"/>
      </w:rPr>
      <w:tblPr/>
      <w:tcPr>
        <w:tcBorders>
          <w:top w:val="single" w:sz="6" w:space="0" w:color="FFFFFF" w:themeColor="background1"/>
        </w:tcBorders>
        <w:shd w:val="clear" w:color="auto" w:fill="4C3B62" w:themeFill="accent4" w:themeFillShade="99"/>
      </w:tcPr>
    </w:tblStylePr>
    <w:tblStylePr w:type="firstCol">
      <w:rPr>
        <w:color w:val="FFFFFF" w:themeColor="background1"/>
        <w:lang w:val="en-US"/>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lang w:val="en-US"/>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lang w:val="en-US"/>
      </w:rPr>
    </w:tblStylePr>
    <w:tblStylePr w:type="nwCell">
      <w:rPr>
        <w:color w:val="000000" w:themeColor="text1"/>
        <w:lang w:val="en-US"/>
      </w:rPr>
    </w:tblStylePr>
  </w:style>
  <w:style w:type="table" w:styleId="ColorfulShading-Accent5">
    <w:name w:val="Colorful Shading Accent 5"/>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lang w:val="en-U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lang w:val="en-US"/>
      </w:rPr>
      <w:tblPr/>
      <w:tcPr>
        <w:tcBorders>
          <w:top w:val="single" w:sz="6" w:space="0" w:color="FFFFFF" w:themeColor="background1"/>
        </w:tcBorders>
        <w:shd w:val="clear" w:color="auto" w:fill="276A7C" w:themeFill="accent5" w:themeFillShade="99"/>
      </w:tcPr>
    </w:tblStylePr>
    <w:tblStylePr w:type="firstCol">
      <w:rPr>
        <w:color w:val="FFFFFF" w:themeColor="background1"/>
        <w:lang w:val="en-US"/>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lang w:val="en-US"/>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lang w:val="en-US"/>
      </w:rPr>
    </w:tblStylePr>
    <w:tblStylePr w:type="nwCell">
      <w:rPr>
        <w:color w:val="000000" w:themeColor="text1"/>
        <w:lang w:val="en-US"/>
      </w:rPr>
    </w:tblStylePr>
  </w:style>
  <w:style w:type="table" w:styleId="ColorfulShading-Accent6">
    <w:name w:val="Colorful Shading Accent 6"/>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lang w:val="en-U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lang w:val="en-US"/>
      </w:rPr>
      <w:tblPr/>
      <w:tcPr>
        <w:tcBorders>
          <w:top w:val="single" w:sz="6" w:space="0" w:color="FFFFFF" w:themeColor="background1"/>
        </w:tcBorders>
        <w:shd w:val="clear" w:color="auto" w:fill="B65608" w:themeFill="accent6" w:themeFillShade="99"/>
      </w:tcPr>
    </w:tblStylePr>
    <w:tblStylePr w:type="firstCol">
      <w:rPr>
        <w:color w:val="FFFFFF" w:themeColor="background1"/>
        <w:lang w:val="en-US"/>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lang w:val="en-US"/>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lang w:val="en-US"/>
      </w:rPr>
    </w:tblStylePr>
    <w:tblStylePr w:type="nwCell">
      <w:rPr>
        <w:color w:val="000000" w:themeColor="text1"/>
        <w:lang w:val="en-US"/>
      </w:rPr>
    </w:tblStylePr>
  </w:style>
  <w:style w:type="table" w:styleId="ColorfulList">
    <w:name w:val="Colorful List"/>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lang w:val="en-US"/>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en-US"/>
      </w:rPr>
      <w:tblPr/>
      <w:tcPr>
        <w:tcBorders>
          <w:top w:val="single" w:sz="12" w:space="0" w:color="000000" w:themeColor="text1"/>
        </w:tcBorders>
        <w:shd w:val="clear" w:color="auto" w:fill="FFFFFF" w:themeFill="background1"/>
      </w:tcPr>
    </w:tblStylePr>
    <w:tblStylePr w:type="firstCol">
      <w:rPr>
        <w:b/>
        <w:bCs/>
        <w:lang w:val="en-US"/>
      </w:rPr>
    </w:tblStylePr>
    <w:tblStylePr w:type="lastCol">
      <w:rPr>
        <w:b/>
        <w:bCs/>
        <w:lang w:val="en-U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lang w:val="en-US"/>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en-US"/>
      </w:rPr>
      <w:tblPr/>
      <w:tcPr>
        <w:tcBorders>
          <w:top w:val="single" w:sz="12" w:space="0" w:color="000000" w:themeColor="text1"/>
        </w:tcBorders>
        <w:shd w:val="clear" w:color="auto" w:fill="FFFFFF" w:themeFill="background1"/>
      </w:tcPr>
    </w:tblStylePr>
    <w:tblStylePr w:type="firstCol">
      <w:rPr>
        <w:b/>
        <w:bCs/>
        <w:lang w:val="en-US"/>
      </w:rPr>
    </w:tblStylePr>
    <w:tblStylePr w:type="lastCol">
      <w:rPr>
        <w:b/>
        <w:bCs/>
        <w:lang w:val="en-U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lang w:val="en-US"/>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en-US"/>
      </w:rPr>
      <w:tblPr/>
      <w:tcPr>
        <w:tcBorders>
          <w:top w:val="single" w:sz="12" w:space="0" w:color="000000" w:themeColor="text1"/>
        </w:tcBorders>
        <w:shd w:val="clear" w:color="auto" w:fill="FFFFFF" w:themeFill="background1"/>
      </w:tcPr>
    </w:tblStylePr>
    <w:tblStylePr w:type="firstCol">
      <w:rPr>
        <w:b/>
        <w:bCs/>
        <w:lang w:val="en-US"/>
      </w:rPr>
    </w:tblStylePr>
    <w:tblStylePr w:type="lastCol">
      <w:rPr>
        <w:b/>
        <w:bCs/>
        <w:lang w:val="en-U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lang w:val="en-US"/>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lang w:val="en-US"/>
      </w:rPr>
      <w:tblPr/>
      <w:tcPr>
        <w:tcBorders>
          <w:top w:val="single" w:sz="12" w:space="0" w:color="000000" w:themeColor="text1"/>
        </w:tcBorders>
        <w:shd w:val="clear" w:color="auto" w:fill="FFFFFF" w:themeFill="background1"/>
      </w:tcPr>
    </w:tblStylePr>
    <w:tblStylePr w:type="firstCol">
      <w:rPr>
        <w:b/>
        <w:bCs/>
        <w:lang w:val="en-US"/>
      </w:rPr>
    </w:tblStylePr>
    <w:tblStylePr w:type="lastCol">
      <w:rPr>
        <w:b/>
        <w:bCs/>
        <w:lang w:val="en-U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lang w:val="en-US"/>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lang w:val="en-US"/>
      </w:rPr>
      <w:tblPr/>
      <w:tcPr>
        <w:tcBorders>
          <w:top w:val="single" w:sz="12" w:space="0" w:color="000000" w:themeColor="text1"/>
        </w:tcBorders>
        <w:shd w:val="clear" w:color="auto" w:fill="FFFFFF" w:themeFill="background1"/>
      </w:tcPr>
    </w:tblStylePr>
    <w:tblStylePr w:type="firstCol">
      <w:rPr>
        <w:b/>
        <w:bCs/>
        <w:lang w:val="en-US"/>
      </w:rPr>
    </w:tblStylePr>
    <w:tblStylePr w:type="lastCol">
      <w:rPr>
        <w:b/>
        <w:bCs/>
        <w:lang w:val="en-U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lang w:val="en-US"/>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lang w:val="en-US"/>
      </w:rPr>
      <w:tblPr/>
      <w:tcPr>
        <w:tcBorders>
          <w:top w:val="single" w:sz="12" w:space="0" w:color="000000" w:themeColor="text1"/>
        </w:tcBorders>
        <w:shd w:val="clear" w:color="auto" w:fill="FFFFFF" w:themeFill="background1"/>
      </w:tcPr>
    </w:tblStylePr>
    <w:tblStylePr w:type="firstCol">
      <w:rPr>
        <w:b/>
        <w:bCs/>
        <w:lang w:val="en-US"/>
      </w:rPr>
    </w:tblStylePr>
    <w:tblStylePr w:type="lastCol">
      <w:rPr>
        <w:b/>
        <w:bCs/>
        <w:lang w:val="en-U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lang w:val="en-US"/>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lang w:val="en-US"/>
      </w:rPr>
      <w:tblPr/>
      <w:tcPr>
        <w:tcBorders>
          <w:top w:val="single" w:sz="12" w:space="0" w:color="000000" w:themeColor="text1"/>
        </w:tcBorders>
        <w:shd w:val="clear" w:color="auto" w:fill="FFFFFF" w:themeFill="background1"/>
      </w:tcPr>
    </w:tblStylePr>
    <w:tblStylePr w:type="firstCol">
      <w:rPr>
        <w:b/>
        <w:bCs/>
        <w:lang w:val="en-US"/>
      </w:rPr>
    </w:tblStylePr>
    <w:tblStylePr w:type="lastCol">
      <w:rPr>
        <w:b/>
        <w:bCs/>
        <w:lang w:val="en-U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lang w:val="en-US"/>
      </w:rPr>
      <w:tblPr/>
      <w:tcPr>
        <w:shd w:val="clear" w:color="auto" w:fill="999999" w:themeFill="text1" w:themeFillTint="66"/>
      </w:tcPr>
    </w:tblStylePr>
    <w:tblStylePr w:type="lastRow">
      <w:rPr>
        <w:b/>
        <w:bCs/>
        <w:color w:val="000000" w:themeColor="text1"/>
        <w:lang w:val="en-US"/>
      </w:rPr>
      <w:tblPr/>
      <w:tcPr>
        <w:shd w:val="clear" w:color="auto" w:fill="999999" w:themeFill="text1" w:themeFillTint="66"/>
      </w:tcPr>
    </w:tblStylePr>
    <w:tblStylePr w:type="firstCol">
      <w:rPr>
        <w:color w:val="FFFFFF" w:themeColor="background1"/>
        <w:lang w:val="en-US"/>
      </w:rPr>
      <w:tblPr/>
      <w:tcPr>
        <w:shd w:val="clear" w:color="auto" w:fill="000000" w:themeFill="text1" w:themeFillShade="BF"/>
      </w:tcPr>
    </w:tblStylePr>
    <w:tblStylePr w:type="lastCol">
      <w:rPr>
        <w:color w:val="FFFFFF" w:themeColor="background1"/>
        <w:lang w:val="en-US"/>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lang w:val="en-US"/>
      </w:rPr>
      <w:tblPr/>
      <w:tcPr>
        <w:shd w:val="clear" w:color="auto" w:fill="B8CCE4" w:themeFill="accent1" w:themeFillTint="66"/>
      </w:tcPr>
    </w:tblStylePr>
    <w:tblStylePr w:type="lastRow">
      <w:rPr>
        <w:b/>
        <w:bCs/>
        <w:color w:val="000000" w:themeColor="text1"/>
        <w:lang w:val="en-US"/>
      </w:rPr>
      <w:tblPr/>
      <w:tcPr>
        <w:shd w:val="clear" w:color="auto" w:fill="B8CCE4" w:themeFill="accent1" w:themeFillTint="66"/>
      </w:tcPr>
    </w:tblStylePr>
    <w:tblStylePr w:type="firstCol">
      <w:rPr>
        <w:color w:val="FFFFFF" w:themeColor="background1"/>
        <w:lang w:val="en-US"/>
      </w:rPr>
      <w:tblPr/>
      <w:tcPr>
        <w:shd w:val="clear" w:color="auto" w:fill="365F91" w:themeFill="accent1" w:themeFillShade="BF"/>
      </w:tcPr>
    </w:tblStylePr>
    <w:tblStylePr w:type="lastCol">
      <w:rPr>
        <w:color w:val="FFFFFF" w:themeColor="background1"/>
        <w:lang w:val="en-US"/>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lang w:val="en-US"/>
      </w:rPr>
      <w:tblPr/>
      <w:tcPr>
        <w:shd w:val="clear" w:color="auto" w:fill="E5B8B7" w:themeFill="accent2" w:themeFillTint="66"/>
      </w:tcPr>
    </w:tblStylePr>
    <w:tblStylePr w:type="lastRow">
      <w:rPr>
        <w:b/>
        <w:bCs/>
        <w:color w:val="000000" w:themeColor="text1"/>
        <w:lang w:val="en-US"/>
      </w:rPr>
      <w:tblPr/>
      <w:tcPr>
        <w:shd w:val="clear" w:color="auto" w:fill="E5B8B7" w:themeFill="accent2" w:themeFillTint="66"/>
      </w:tcPr>
    </w:tblStylePr>
    <w:tblStylePr w:type="firstCol">
      <w:rPr>
        <w:color w:val="FFFFFF" w:themeColor="background1"/>
        <w:lang w:val="en-US"/>
      </w:rPr>
      <w:tblPr/>
      <w:tcPr>
        <w:shd w:val="clear" w:color="auto" w:fill="943634" w:themeFill="accent2" w:themeFillShade="BF"/>
      </w:tcPr>
    </w:tblStylePr>
    <w:tblStylePr w:type="lastCol">
      <w:rPr>
        <w:color w:val="FFFFFF" w:themeColor="background1"/>
        <w:lang w:val="en-US"/>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lang w:val="en-US"/>
      </w:rPr>
      <w:tblPr/>
      <w:tcPr>
        <w:shd w:val="clear" w:color="auto" w:fill="D6E3BC" w:themeFill="accent3" w:themeFillTint="66"/>
      </w:tcPr>
    </w:tblStylePr>
    <w:tblStylePr w:type="lastRow">
      <w:rPr>
        <w:b/>
        <w:bCs/>
        <w:color w:val="000000" w:themeColor="text1"/>
        <w:lang w:val="en-US"/>
      </w:rPr>
      <w:tblPr/>
      <w:tcPr>
        <w:shd w:val="clear" w:color="auto" w:fill="D6E3BC" w:themeFill="accent3" w:themeFillTint="66"/>
      </w:tcPr>
    </w:tblStylePr>
    <w:tblStylePr w:type="firstCol">
      <w:rPr>
        <w:color w:val="FFFFFF" w:themeColor="background1"/>
        <w:lang w:val="en-US"/>
      </w:rPr>
      <w:tblPr/>
      <w:tcPr>
        <w:shd w:val="clear" w:color="auto" w:fill="76923C" w:themeFill="accent3" w:themeFillShade="BF"/>
      </w:tcPr>
    </w:tblStylePr>
    <w:tblStylePr w:type="lastCol">
      <w:rPr>
        <w:color w:val="FFFFFF" w:themeColor="background1"/>
        <w:lang w:val="en-US"/>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lang w:val="en-US"/>
      </w:rPr>
      <w:tblPr/>
      <w:tcPr>
        <w:shd w:val="clear" w:color="auto" w:fill="CCC0D9" w:themeFill="accent4" w:themeFillTint="66"/>
      </w:tcPr>
    </w:tblStylePr>
    <w:tblStylePr w:type="lastRow">
      <w:rPr>
        <w:b/>
        <w:bCs/>
        <w:color w:val="000000" w:themeColor="text1"/>
        <w:lang w:val="en-US"/>
      </w:rPr>
      <w:tblPr/>
      <w:tcPr>
        <w:shd w:val="clear" w:color="auto" w:fill="CCC0D9" w:themeFill="accent4" w:themeFillTint="66"/>
      </w:tcPr>
    </w:tblStylePr>
    <w:tblStylePr w:type="firstCol">
      <w:rPr>
        <w:color w:val="FFFFFF" w:themeColor="background1"/>
        <w:lang w:val="en-US"/>
      </w:rPr>
      <w:tblPr/>
      <w:tcPr>
        <w:shd w:val="clear" w:color="auto" w:fill="5F497A" w:themeFill="accent4" w:themeFillShade="BF"/>
      </w:tcPr>
    </w:tblStylePr>
    <w:tblStylePr w:type="lastCol">
      <w:rPr>
        <w:color w:val="FFFFFF" w:themeColor="background1"/>
        <w:lang w:val="en-US"/>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lang w:val="en-US"/>
      </w:rPr>
      <w:tblPr/>
      <w:tcPr>
        <w:shd w:val="clear" w:color="auto" w:fill="B6DDE8" w:themeFill="accent5" w:themeFillTint="66"/>
      </w:tcPr>
    </w:tblStylePr>
    <w:tblStylePr w:type="lastRow">
      <w:rPr>
        <w:b/>
        <w:bCs/>
        <w:color w:val="000000" w:themeColor="text1"/>
        <w:lang w:val="en-US"/>
      </w:rPr>
      <w:tblPr/>
      <w:tcPr>
        <w:shd w:val="clear" w:color="auto" w:fill="B6DDE8" w:themeFill="accent5" w:themeFillTint="66"/>
      </w:tcPr>
    </w:tblStylePr>
    <w:tblStylePr w:type="firstCol">
      <w:rPr>
        <w:color w:val="FFFFFF" w:themeColor="background1"/>
        <w:lang w:val="en-US"/>
      </w:rPr>
      <w:tblPr/>
      <w:tcPr>
        <w:shd w:val="clear" w:color="auto" w:fill="31849B" w:themeFill="accent5" w:themeFillShade="BF"/>
      </w:tcPr>
    </w:tblStylePr>
    <w:tblStylePr w:type="lastCol">
      <w:rPr>
        <w:color w:val="FFFFFF" w:themeColor="background1"/>
        <w:lang w:val="en-US"/>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lang w:val="en-US"/>
      </w:rPr>
      <w:tblPr/>
      <w:tcPr>
        <w:shd w:val="clear" w:color="auto" w:fill="FBD4B4" w:themeFill="accent6" w:themeFillTint="66"/>
      </w:tcPr>
    </w:tblStylePr>
    <w:tblStylePr w:type="lastRow">
      <w:rPr>
        <w:b/>
        <w:bCs/>
        <w:color w:val="000000" w:themeColor="text1"/>
        <w:lang w:val="en-US"/>
      </w:rPr>
      <w:tblPr/>
      <w:tcPr>
        <w:shd w:val="clear" w:color="auto" w:fill="FBD4B4" w:themeFill="accent6" w:themeFillTint="66"/>
      </w:tcPr>
    </w:tblStylePr>
    <w:tblStylePr w:type="firstCol">
      <w:rPr>
        <w:color w:val="FFFFFF" w:themeColor="background1"/>
        <w:lang w:val="en-US"/>
      </w:rPr>
      <w:tblPr/>
      <w:tcPr>
        <w:shd w:val="clear" w:color="auto" w:fill="E36C0A" w:themeFill="accent6" w:themeFillShade="BF"/>
      </w:tcPr>
    </w:tblStylePr>
    <w:tblStylePr w:type="lastCol">
      <w:rPr>
        <w:color w:val="FFFFFF" w:themeColor="background1"/>
        <w:lang w:val="en-US"/>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 Report | NEBIOT</dc:title>
  <dc:subject>NEBIOT Standard 0.8.2 | Monitoring template 1.3</dc:subject>
  <dc:creator>Henry Arellano-Peña</dc:creator>
  <cp:keywords>NEBIOT; monitoring; NVEU</cp:keywords>
  <dc:description/>
  <cp:lastModifiedBy>NEBIOT</cp:lastModifiedBy>
  <cp:revision>1</cp:revision>
  <dcterms:created xsi:type="dcterms:W3CDTF">2026-09-25T00:00:00Z</dcterms:created>
  <dcterms:modified xsi:type="dcterms:W3CDTF">2026-09-25T00:00:00Z</dcterms:modified>
  <cp:category>Project documentation template</cp:category>
  <cp:version>1.2</cp:version>
</cp:coreProperties>
</file>