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DOCUMENTACIÓN DEL PROYECTO</w:t>
      </w:r>
    </w:p>
    <w:p>
      <w:pPr>
        <w:jc w:val="center"/>
      </w:pPr>
      <w:r>
        <w:drawing>
          <wp:inline xmlns:a="http://schemas.openxmlformats.org/drawingml/2006/main" xmlns:pic="http://schemas.openxmlformats.org/drawingml/2006/picture">
            <wp:extent cx="5760720" cy="1918365"/>
            <wp:docPr id="1" name="Picture 1" descr="Logotipo NEBIOT en español"/>
            <wp:cNvGraphicFramePr>
              <a:graphicFrameLocks noChangeAspect="1"/>
            </wp:cNvGraphicFramePr>
            <a:graphic>
              <a:graphicData uri="http://schemas.openxmlformats.org/drawingml/2006/picture">
                <pic:pic>
                  <pic:nvPicPr>
                    <pic:cNvPr id="0" name="NEBIOT-Span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Autoridad del programa: Nuevo Estándar Biotropical — NEBIOT S.A.S.</w:t>
      </w:r>
    </w:p>
    <w:p>
      <w:pPr>
        <w:pStyle w:val="Title"/>
        <w:spacing w:after="160"/>
        <w:pBdr>
          <w:bottom w:val="single" w:sz="8" w:color="A6813D" w:space="5"/>
        </w:pBdr>
      </w:pPr>
      <w:r>
        <w:t>Informe de monitoreo</w:t>
      </w:r>
    </w:p>
    <w:p>
      <w:pPr>
        <w:keepNext w:val="0"/>
        <w:spacing w:after="180" w:line="259" w:lineRule="auto"/>
      </w:pPr>
      <w:r>
        <w:rPr>
          <w:rFonts w:ascii="Arial" w:hAnsi="Arial"/>
          <w:b w:val="0"/>
          <w:i/>
          <w:color w:val="215F52"/>
          <w:sz w:val="21"/>
        </w:rPr>
        <w:t>Implementación, evidencia y cuentas ambientales del período</w:t>
      </w:r>
    </w:p>
    <w:p>
      <w:pPr>
        <w:keepNext w:val="0"/>
        <w:spacing w:after="260" w:line="259" w:lineRule="auto"/>
      </w:pPr>
      <w:r>
        <w:rPr>
          <w:rFonts w:ascii="Arial" w:hAnsi="Arial"/>
          <w:b w:val="0"/>
          <w:i w:val="0"/>
          <w:color w:val="62716E"/>
          <w:sz w:val="17"/>
        </w:rPr>
        <w:t>Estándar de referencia: NEBIOT 0.8.2   |   Edición de plantilla 1.3</w:t>
      </w:r>
    </w:p>
    <w:p>
      <w:pPr>
        <w:keepNext w:val="0"/>
        <w:spacing w:after="200" w:line="259" w:lineRule="auto"/>
      </w:pPr>
      <w:r>
        <w:rPr>
          <w:rFonts w:ascii="Arial" w:hAnsi="Arial"/>
          <w:b w:val="0"/>
          <w:i/>
          <w:color w:val="215F52"/>
          <w:sz w:val="32"/>
        </w:rPr>
        <w:t>[NOMBRE DEL PROYECTO]</w:t>
      </w:r>
    </w:p>
    <w:p>
      <w:pPr>
        <w:spacing w:after="80"/>
      </w:pPr>
      <w:r>
        <w:rPr>
          <w:rFonts w:ascii="Arial" w:hAnsi="Arial"/>
          <w:b/>
          <w:i w:val="0"/>
          <w:color w:val="243A36"/>
          <w:sz w:val="18"/>
        </w:rPr>
        <w:t xml:space="preserve">ID del proyecto: </w:t>
      </w:r>
      <w:r>
        <w:rPr>
          <w:rFonts w:ascii="Arial" w:hAnsi="Arial"/>
          <w:b w:val="0"/>
          <w:i/>
          <w:color w:val="62716E"/>
          <w:sz w:val="18"/>
        </w:rPr>
        <w:t>[Completar]</w:t>
      </w:r>
    </w:p>
    <w:p>
      <w:pPr>
        <w:spacing w:after="80"/>
      </w:pPr>
      <w:r>
        <w:rPr>
          <w:rFonts w:ascii="Arial" w:hAnsi="Arial"/>
          <w:b/>
          <w:i w:val="0"/>
          <w:color w:val="243A36"/>
          <w:sz w:val="18"/>
        </w:rPr>
        <w:t xml:space="preserve">País / jurisdicción: </w:t>
      </w:r>
      <w:r>
        <w:rPr>
          <w:rFonts w:ascii="Arial" w:hAnsi="Arial"/>
          <w:b w:val="0"/>
          <w:i/>
          <w:color w:val="62716E"/>
          <w:sz w:val="18"/>
        </w:rPr>
        <w:t>[Completar]</w:t>
      </w:r>
    </w:p>
    <w:p>
      <w:pPr>
        <w:spacing w:after="80"/>
      </w:pPr>
      <w:r>
        <w:rPr>
          <w:rFonts w:ascii="Arial" w:hAnsi="Arial"/>
          <w:b/>
          <w:i w:val="0"/>
          <w:color w:val="243A36"/>
          <w:sz w:val="18"/>
        </w:rPr>
        <w:t xml:space="preserve">Versión del documento del proyecto: </w:t>
      </w:r>
      <w:r>
        <w:rPr>
          <w:rFonts w:ascii="Arial" w:hAnsi="Arial"/>
          <w:b w:val="0"/>
          <w:i/>
          <w:color w:val="62716E"/>
          <w:sz w:val="18"/>
        </w:rPr>
        <w:t>[Completar]</w:t>
      </w:r>
    </w:p>
    <w:p>
      <w:pPr>
        <w:spacing w:after="80"/>
      </w:pPr>
      <w:r>
        <w:rPr>
          <w:rFonts w:ascii="Arial" w:hAnsi="Arial"/>
          <w:b/>
          <w:i w:val="0"/>
          <w:color w:val="243A36"/>
          <w:sz w:val="18"/>
        </w:rPr>
        <w:t xml:space="preserve">Fecha de emisión (AAAA-MM-DD): </w:t>
      </w:r>
      <w:r>
        <w:rPr>
          <w:rFonts w:ascii="Arial" w:hAnsi="Arial"/>
          <w:b w:val="0"/>
          <w:i/>
          <w:color w:val="62716E"/>
          <w:sz w:val="18"/>
        </w:rPr>
        <w:t>[Completar]</w:t>
      </w:r>
    </w:p>
    <w:p>
      <w:pPr>
        <w:spacing w:after="40"/>
      </w:pPr>
      <w:r>
        <w:rPr>
          <w:rFonts w:ascii="Arial" w:hAnsi="Arial" w:eastAsia="Arial" w:cs="Arial"/>
          <w:b/>
          <w:color w:val="243A36"/>
          <w:sz w:val="18"/>
        </w:rPr>
        <w:t xml:space="preserve">Intervalo de monitoreo: </w:t>
      </w:r>
      <w:sdt>
        <w:sdtPr>
          <w:id w:val="1484"/>
          <w:alias w:val="MR-interval"/>
          <w:tag w:val="MR-interval"/>
          <w:text w:multiLine="1"/>
        </w:sdtPr>
        <w:sdtContent>
          <w:r>
            <w:rPr>
              <w:rFonts w:ascii="Arial" w:hAnsi="Arial"/>
              <w:color w:val="62716E"/>
              <w:sz w:val="18"/>
            </w:rPr>
            <w:t>[Inicio — fin; convención del intervalo]</w:t>
          </w:r>
        </w:sdtContent>
      </w:sdt>
    </w:p>
    <w:p>
      <w:pPr>
        <w:spacing w:after="40"/>
      </w:pPr>
      <w:r>
        <w:rPr>
          <w:rFonts w:ascii="Arial" w:hAnsi="Arial" w:eastAsia="Arial" w:cs="Arial"/>
          <w:b/>
          <w:color w:val="243A36"/>
          <w:sz w:val="18"/>
        </w:rPr>
        <w:t xml:space="preserve">Número de informe: </w:t>
      </w:r>
      <w:sdt>
        <w:sdtPr>
          <w:id w:val="1483"/>
          <w:alias w:val="MR-number"/>
          <w:tag w:val="MR-number"/>
          <w:text w:multiLine="1"/>
        </w:sdtPr>
        <w:sdtContent>
          <w:r>
            <w:rPr>
              <w:rFonts w:ascii="Arial" w:hAnsi="Arial"/>
              <w:color w:val="62716E"/>
              <w:sz w:val="18"/>
            </w:rPr>
            <w:t>[Completar]</w:t>
          </w:r>
        </w:sdtContent>
      </w:sdt>
    </w:p>
    <w:p>
      <w:pPr>
        <w:keepNext w:val="0"/>
        <w:spacing w:after="100" w:line="259" w:lineRule="auto"/>
      </w:pPr>
      <w:r>
        <w:rPr>
          <w:rFonts w:ascii="Arial" w:hAnsi="Arial"/>
          <w:b w:val="0"/>
          <w:i w:val="0"/>
          <w:color w:val="215F52"/>
          <w:sz w:val="21"/>
        </w:rPr>
        <w:t>Organizaciones ejecutoras y partes interesadas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ENTIDAD EJECUTORA</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PROPONENTE DEL PROYECTO</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TITULARES / PARTES INTERESADAS</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r>
    </w:tbl>
    <w:p>
      <w:pPr>
        <w:keepNext w:val="0"/>
        <w:spacing w:after="160" w:line="259" w:lineRule="auto"/>
      </w:pPr>
      <w:r>
        <w:rPr>
          <w:rFonts w:ascii="Arial" w:hAnsi="Arial"/>
          <w:b w:val="0"/>
          <w:i w:val="0"/>
          <w:color w:val="62716E"/>
          <w:sz w:val="16"/>
        </w:rPr>
        <w:t>Use logotipos autorizados e identifique la función real de cada organización. Exhibir un logotipo no establece consentimiento, propiedad, respaldo, validación ni admisión. Retire espacios sin usar de la presentación final.</w:t>
      </w:r>
    </w:p>
    <w:p>
      <w:pPr>
        <w:keepNext w:val="0"/>
        <w:spacing w:after="100" w:line="259" w:lineRule="auto"/>
      </w:pPr>
      <w:r>
        <w:rPr>
          <w:rFonts w:ascii="Arial" w:hAnsi="Arial"/>
          <w:b w:val="0"/>
          <w:i w:val="0"/>
          <w:color w:val="62716E"/>
          <w:sz w:val="15"/>
        </w:rPr>
        <w:t>Se conserva la grafía SAS del logotipo; S.A.S. es la convención de puntuación utilizada en el texto.</w:t>
      </w:r>
    </w:p>
    <w:p>
      <w:r>
        <w:br w:type="page"/>
      </w:r>
    </w:p>
    <w:p>
      <w:pPr>
        <w:keepNext/>
        <w:spacing w:after="100"/>
      </w:pPr>
      <w:r>
        <w:rPr>
          <w:rFonts w:ascii="Arial" w:hAnsi="Arial" w:eastAsia="Arial" w:cs="Arial"/>
          <w:b w:val="0"/>
          <w:color w:val="215F52"/>
          <w:sz w:val="46"/>
        </w:rPr>
        <w:t>Licencia y uso de esta plantilla</w:t>
      </w:r>
    </w:p>
    <w:p>
      <w:pPr>
        <w:spacing w:after="100"/>
      </w:pPr>
      <w:r>
        <w:rPr>
          <w:rFonts w:ascii="Arial" w:hAnsi="Arial" w:eastAsia="Arial" w:cs="Arial"/>
          <w:b w:val="0"/>
          <w:color w:val="243A36"/>
          <w:sz w:val="19"/>
        </w:rPr>
        <w:t>Este documento es publicado por Nuevo Estándar Biotropical—NEBIOT S.A.S. Henry Arellano-Peña es el autor metodológico de NEB001 y NEB002. Los derechos sobre los materiales protegidos de NEBIOT permanecen en sus respectivos titulares. El uso comercial, la reproducción, la adaptación, la redistribución y el sublicenciamiento de material protegido están sujetos a la licencia aplicable o al permiso escrito específico del titular facultado para autorizarlo; los permisos de uso dentro del programa NEBIOT deberán registrarse en FRM-07 conforme a S-21. El acceso a este documento no otorga por sí mismo una licencia comercial, no transfiere titularidad, no autoriza el sublicenciamiento, no confiere admisión al programa ni autoriza la certificación o emisión de unidades ambientales. Las publicaciones de respaldo y los datos, programas informáticos e imágenes de terceros conservan sus respectivas licencias y obligaciones de atribución; no se afectan los permisos lícitos existentes ni los usos permitidos por la legislación aplicable. Los revisores independientes autorizados deberán disponer del acceso necesario para inspección, recálculo e informe conforme a S-22, sujeto a los permisos aplicables y las salvaguardas de confidencialidad.</w:t>
      </w:r>
    </w:p>
    <w:p>
      <w:pPr>
        <w:spacing w:after="100"/>
      </w:pPr>
      <w:r>
        <w:rPr>
          <w:rFonts w:ascii="Arial" w:hAnsi="Arial" w:eastAsia="Arial" w:cs="Arial"/>
          <w:b/>
          <w:color w:val="215F52"/>
          <w:sz w:val="21"/>
        </w:rPr>
        <w:t>Instrucciones de diligenciamiento</w:t>
      </w:r>
    </w:p>
    <w:p>
      <w:pPr>
        <w:spacing w:after="100"/>
      </w:pPr>
      <w:r>
        <w:rPr>
          <w:rFonts w:ascii="Arial" w:hAnsi="Arial" w:eastAsia="Arial" w:cs="Arial"/>
          <w:b w:val="0"/>
          <w:color w:val="243A36"/>
          <w:sz w:val="19"/>
        </w:rPr>
        <w:t>Completar campos entre corchetes y ampliar tablas según necesidad. Identificar datos faltantes en vez de usar cero; justificar no aplicabilidad. Indicar si cada valor es observado, modelado, supuesto, proyectado, verificado o autorizado. Conservar resultados adversos y hallazgos pendientes. Registrar versiones exactas de PD, ex ante, ex post y libro. Las referencias no sustituyen evidencia de ejecución del intervalo.</w:t>
      </w:r>
    </w:p>
    <w:p>
      <w:pPr>
        <w:spacing w:after="100"/>
      </w:pPr>
      <w:r>
        <w:rPr>
          <w:rFonts w:ascii="Arial" w:hAnsi="Arial" w:eastAsia="Arial" w:cs="Arial"/>
          <w:b/>
          <w:color w:val="215F52"/>
          <w:sz w:val="21"/>
        </w:rPr>
        <w:t>Referencia y alcance</w:t>
      </w:r>
    </w:p>
    <w:p>
      <w:pPr>
        <w:spacing w:after="100"/>
      </w:pPr>
      <w:r>
        <w:rPr>
          <w:rFonts w:ascii="Arial" w:hAnsi="Arial" w:eastAsia="Arial" w:cs="Arial"/>
          <w:b w:val="0"/>
          <w:color w:val="243A36"/>
          <w:sz w:val="18"/>
        </w:rPr>
        <w:t>Base rectora: NEBIOT Standard 0.8.2 [1]. Plantillas PD [2], ex ante [3], ex post [4] y Cuentas Ambientales [5] conservan edición 1.2. Identificadores de cláusulas, ecuaciones, AP y FRM remiten a [1]; identificadores de tablas son navegación, no requisitos nuevos. Usar versiones y perfil aprobados del proyecto. Las referencias completas figuran después de la correspondencia.</w:t>
      </w:r>
    </w:p>
    <w:p>
      <w:pPr>
        <w:spacing w:after="100"/>
      </w:pPr>
      <w:r>
        <w:rPr>
          <w:rFonts w:ascii="Arial" w:hAnsi="Arial" w:eastAsia="Arial" w:cs="Arial"/>
          <w:b w:val="0"/>
          <w:color w:val="243A36"/>
          <w:sz w:val="18"/>
        </w:rPr>
        <w:t>PD significa Descripción del Proyecto; EA identifica la Estimación ex ante fechada; EP identifica el Informe de resultados ex post; MR identifica este Informe de monitoreo. Usar ex post como anexo cuantitativo adjunto o integrado, no como cantidad adicional. NEBIOT presta servicios técnicos contratados; proponente y ejecutor conservan deberes S-25. El OVV controla la evaluación independiente. S-26 rige intereses excepcionales NEBIOT.</w:t>
      </w:r>
    </w:p>
    <w:p>
      <w:pPr>
        <w:keepNext/>
        <w:pageBreakBefore/>
        <w:spacing w:after="100"/>
      </w:pPr>
      <w:r>
        <w:rPr>
          <w:rFonts w:ascii="Arial" w:hAnsi="Arial" w:eastAsia="Arial" w:cs="Arial"/>
          <w:b w:val="0"/>
          <w:color w:val="215F52"/>
          <w:sz w:val="46"/>
        </w:rPr>
        <w:t>Control documental</w:t>
      </w:r>
    </w:p>
    <w:p>
      <w:pPr>
        <w:spacing w:after="100"/>
      </w:pPr>
      <w:r>
        <w:rPr>
          <w:rFonts w:ascii="Arial" w:hAnsi="Arial" w:eastAsia="Arial" w:cs="Arial"/>
          <w:b w:val="0"/>
          <w:color w:val="215F52"/>
          <w:sz w:val="18"/>
        </w:rPr>
        <w:t>Completar un informe para el intervalo indicado. Conservar el PD rector, el pronóstico fijado y la cuenta reportada como registros identificados por separado. Este informe sustenta la presentación del monitoreo; no es un dictamen independiente de verificación ni una decisión de emisión.</w:t>
      </w:r>
    </w:p>
    <w:p>
      <w:pPr>
        <w:keepNext/>
        <w:spacing w:after="100"/>
      </w:pPr>
      <w:r>
        <w:rPr>
          <w:rFonts w:ascii="Arial" w:hAnsi="Arial" w:eastAsia="Arial" w:cs="Arial"/>
          <w:b/>
          <w:color w:val="215F52"/>
          <w:sz w:val="20"/>
        </w:rPr>
        <w:t>MR-CTRL / Registro del informe</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3515"/>
        <w:gridCol w:w="6225"/>
      </w:tblGrid>
      <w:tr>
        <w:trPr>
          <w:tblHeader/>
        </w:trPr>
        <w:tc>
          <w:tcPr>
            <w:tcW w:type="dxa" w:w="3515"/>
            <w:vAlign w:val="center"/>
            <w:shd w:fill="F1F5F2"/>
          </w:tcPr>
          <w:p>
            <w:pPr>
              <w:keepNext/>
              <w:spacing w:after="20"/>
            </w:pPr>
            <w:r>
              <w:rPr>
                <w:rFonts w:ascii="Arial" w:hAnsi="Arial" w:eastAsia="Arial" w:cs="Arial"/>
                <w:b/>
                <w:color w:val="215F52"/>
                <w:sz w:val="17"/>
              </w:rPr>
              <w:t>Campo</w:t>
            </w:r>
          </w:p>
        </w:tc>
        <w:tc>
          <w:tcPr>
            <w:tcW w:type="dxa" w:w="6225"/>
            <w:vAlign w:val="center"/>
            <w:shd w:fill="F1F5F2"/>
          </w:tcPr>
          <w:p>
            <w:pPr>
              <w:keepNext/>
              <w:spacing w:after="20"/>
            </w:pPr>
            <w:r>
              <w:rPr>
                <w:rFonts w:ascii="Arial" w:hAnsi="Arial" w:eastAsia="Arial" w:cs="Arial"/>
                <w:b/>
                <w:color w:val="215F52"/>
                <w:sz w:val="17"/>
              </w:rPr>
              <w:t>Registro</w:t>
            </w:r>
          </w:p>
        </w:tc>
      </w:tr>
      <w:tr>
        <w:trPr>
          <w:trHeight w:val="442" w:hRule="atLeast"/>
        </w:trPr>
        <w:tc>
          <w:tcPr>
            <w:tcW w:type="dxa" w:w="3515"/>
            <w:vAlign w:val="top"/>
          </w:tcPr>
          <w:p>
            <w:pPr>
              <w:keepNext w:val="0"/>
              <w:spacing w:after="20"/>
            </w:pPr>
            <w:r>
              <w:rPr>
                <w:rFonts w:ascii="Arial" w:hAnsi="Arial" w:eastAsia="Arial" w:cs="Arial"/>
                <w:b w:val="0"/>
                <w:color w:val="243A36"/>
                <w:sz w:val="17"/>
              </w:rPr>
              <w:t>Plantilla / estándar rector</w:t>
            </w:r>
          </w:p>
        </w:tc>
        <w:tc>
          <w:tcPr>
            <w:tcW w:type="dxa" w:w="6225"/>
            <w:vAlign w:val="top"/>
          </w:tcPr>
          <w:p>
            <w:pPr>
              <w:keepNext w:val="0"/>
              <w:spacing w:after="20"/>
            </w:pPr>
            <w:r>
              <w:rPr>
                <w:rFonts w:ascii="Arial" w:hAnsi="Arial" w:eastAsia="Arial" w:cs="Arial"/>
                <w:b w:val="0"/>
                <w:color w:val="243A36"/>
                <w:sz w:val="17"/>
              </w:rPr>
              <w:t>MONITORING / 1.3 / ES; NEBIOT 0.8.2</w:t>
            </w:r>
          </w:p>
        </w:tc>
      </w:tr>
      <w:tr>
        <w:trPr>
          <w:trHeight w:val="442" w:hRule="atLeast"/>
        </w:trPr>
        <w:tc>
          <w:tcPr>
            <w:tcW w:type="dxa" w:w="3515"/>
            <w:vAlign w:val="top"/>
          </w:tcPr>
          <w:p>
            <w:pPr>
              <w:keepNext w:val="0"/>
              <w:spacing w:after="20"/>
            </w:pPr>
            <w:r>
              <w:rPr>
                <w:rFonts w:ascii="Arial" w:hAnsi="Arial" w:eastAsia="Arial" w:cs="Arial"/>
                <w:b w:val="0"/>
                <w:color w:val="243A36"/>
                <w:sz w:val="17"/>
              </w:rPr>
              <w:t>Nombre e identificador del proyecto</w:t>
            </w:r>
          </w:p>
        </w:tc>
        <w:tc>
          <w:tcPr>
            <w:tcW w:type="dxa" w:w="6225"/>
            <w:vAlign w:val="top"/>
          </w:tcPr>
          <w:p>
            <w:pPr>
              <w:keepNext w:val="0"/>
              <w:spacing w:after="20"/>
            </w:pPr>
            <w:sdt>
              <w:sdtPr>
                <w:id w:val="1485"/>
                <w:alias w:val="MR-CTRL-R2-C2"/>
                <w:tag w:val="MR-CTRL-R2-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Número del informe y revisión del proyecto</w:t>
            </w:r>
          </w:p>
        </w:tc>
        <w:tc>
          <w:tcPr>
            <w:tcW w:type="dxa" w:w="6225"/>
            <w:vAlign w:val="top"/>
          </w:tcPr>
          <w:p>
            <w:pPr>
              <w:keepNext w:val="0"/>
              <w:spacing w:after="20"/>
            </w:pPr>
            <w:sdt>
              <w:sdtPr>
                <w:id w:val="1486"/>
                <w:alias w:val="MR-CTRL-R3-C2"/>
                <w:tag w:val="MR-CTRL-R3-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Inicio y fin del monitoreo / convención</w:t>
            </w:r>
          </w:p>
        </w:tc>
        <w:tc>
          <w:tcPr>
            <w:tcW w:type="dxa" w:w="6225"/>
            <w:vAlign w:val="top"/>
          </w:tcPr>
          <w:p>
            <w:pPr>
              <w:keepNext w:val="0"/>
              <w:spacing w:after="20"/>
            </w:pPr>
            <w:sdt>
              <w:sdtPr>
                <w:id w:val="1487"/>
                <w:alias w:val="MR-CTRL-R4-C2"/>
                <w:tag w:val="MR-CTRL-R4-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Corte de evidencia / fecha de presentación</w:t>
            </w:r>
          </w:p>
        </w:tc>
        <w:tc>
          <w:tcPr>
            <w:tcW w:type="dxa" w:w="6225"/>
            <w:vAlign w:val="top"/>
          </w:tcPr>
          <w:p>
            <w:pPr>
              <w:keepNext w:val="0"/>
              <w:spacing w:after="20"/>
            </w:pPr>
            <w:sdt>
              <w:sdtPr>
                <w:id w:val="1488"/>
                <w:alias w:val="MR-CTRL-R5-C2"/>
                <w:tag w:val="MR-CTRL-R5-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Versiones PD / EA / EP / libro</w:t>
            </w:r>
          </w:p>
        </w:tc>
        <w:tc>
          <w:tcPr>
            <w:tcW w:type="dxa" w:w="6225"/>
            <w:vAlign w:val="top"/>
          </w:tcPr>
          <w:p>
            <w:pPr>
              <w:keepNext w:val="0"/>
              <w:spacing w:after="20"/>
            </w:pPr>
            <w:sdt>
              <w:sdtPr>
                <w:id w:val="1489"/>
                <w:alias w:val="MR-CTRL-R6-C2"/>
                <w:tag w:val="MR-CTRL-R6-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Elaboró / revisó / presentó</w:t>
            </w:r>
          </w:p>
        </w:tc>
        <w:tc>
          <w:tcPr>
            <w:tcW w:type="dxa" w:w="6225"/>
            <w:vAlign w:val="top"/>
          </w:tcPr>
          <w:p>
            <w:pPr>
              <w:keepNext w:val="0"/>
              <w:spacing w:after="20"/>
            </w:pPr>
            <w:sdt>
              <w:sdtPr>
                <w:id w:val="1490"/>
                <w:alias w:val="MR-CTRL-R7-C2"/>
                <w:tag w:val="MR-CTRL-R7-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Distribución, acceso y restricciones</w:t>
            </w:r>
          </w:p>
        </w:tc>
        <w:tc>
          <w:tcPr>
            <w:tcW w:type="dxa" w:w="6225"/>
            <w:vAlign w:val="top"/>
          </w:tcPr>
          <w:p>
            <w:pPr>
              <w:keepNext w:val="0"/>
              <w:spacing w:after="20"/>
            </w:pPr>
            <w:sdt>
              <w:sdtPr>
                <w:id w:val="1491"/>
                <w:alias w:val="MR-CTRL-R8-C2"/>
                <w:tag w:val="MR-CTRL-R8-C2"/>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MR-REV / Historial de revisión del informe</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Versión / fecha</w:t>
            </w:r>
          </w:p>
        </w:tc>
        <w:tc>
          <w:tcPr>
            <w:tcW w:type="dxa" w:w="3572"/>
            <w:vAlign w:val="center"/>
            <w:shd w:fill="F1F5F2"/>
          </w:tcPr>
          <w:p>
            <w:pPr>
              <w:keepNext/>
              <w:spacing w:after="20"/>
            </w:pPr>
            <w:r>
              <w:rPr>
                <w:rFonts w:ascii="Arial" w:hAnsi="Arial" w:eastAsia="Arial" w:cs="Arial"/>
                <w:b/>
                <w:color w:val="215F52"/>
                <w:sz w:val="17"/>
              </w:rPr>
              <w:t>Cambio y alcance afectado</w:t>
            </w:r>
          </w:p>
        </w:tc>
        <w:tc>
          <w:tcPr>
            <w:tcW w:type="dxa" w:w="3390"/>
            <w:vAlign w:val="center"/>
            <w:shd w:fill="F1F5F2"/>
          </w:tcPr>
          <w:p>
            <w:pPr>
              <w:keepNext/>
              <w:spacing w:after="20"/>
            </w:pPr>
            <w:r>
              <w:rPr>
                <w:rFonts w:ascii="Arial" w:hAnsi="Arial" w:eastAsia="Arial" w:cs="Arial"/>
                <w:b/>
                <w:color w:val="215F52"/>
                <w:sz w:val="17"/>
              </w:rPr>
              <w:t>Autoridad / estado / registro previo</w:t>
            </w:r>
          </w:p>
        </w:tc>
      </w:tr>
      <w:tr>
        <w:trPr>
          <w:trHeight w:val="442" w:hRule="atLeast"/>
        </w:trPr>
        <w:tc>
          <w:tcPr>
            <w:tcW w:type="dxa" w:w="2778"/>
            <w:vAlign w:val="top"/>
          </w:tcPr>
          <w:p>
            <w:pPr>
              <w:keepNext w:val="0"/>
              <w:spacing w:after="20"/>
            </w:pPr>
            <w:sdt>
              <w:sdtPr>
                <w:id w:val="1492"/>
                <w:alias w:val="MR-REV-R1-C1"/>
                <w:tag w:val="MR-REV-R1-C1"/>
                <w:text w:multiLine="1"/>
              </w:sdtPr>
              <w:sdtContent>
                <w:r>
                  <w:rPr>
                    <w:rFonts w:ascii="Arial" w:hAnsi="Arial"/>
                    <w:color w:val="62716E"/>
                    <w:sz w:val="18"/>
                  </w:rPr>
                  <w:t>[Completar]</w:t>
                </w:r>
              </w:sdtContent>
            </w:sdt>
          </w:p>
        </w:tc>
        <w:tc>
          <w:tcPr>
            <w:tcW w:type="dxa" w:w="3572"/>
            <w:vAlign w:val="top"/>
          </w:tcPr>
          <w:p>
            <w:pPr>
              <w:keepNext w:val="0"/>
              <w:spacing w:after="20"/>
            </w:pPr>
            <w:sdt>
              <w:sdtPr>
                <w:id w:val="1493"/>
                <w:alias w:val="MR-REV-R1-C2"/>
                <w:tag w:val="MR-REV-R1-C2"/>
                <w:text w:multiLine="1"/>
              </w:sdtPr>
              <w:sdtContent>
                <w:r>
                  <w:rPr>
                    <w:rFonts w:ascii="Arial" w:hAnsi="Arial"/>
                    <w:color w:val="62716E"/>
                    <w:sz w:val="18"/>
                  </w:rPr>
                  <w:t>[Completar]</w:t>
                </w:r>
              </w:sdtContent>
            </w:sdt>
          </w:p>
        </w:tc>
        <w:tc>
          <w:tcPr>
            <w:tcW w:type="dxa" w:w="3390"/>
            <w:vAlign w:val="top"/>
          </w:tcPr>
          <w:p>
            <w:pPr>
              <w:keepNext w:val="0"/>
              <w:spacing w:after="20"/>
            </w:pPr>
            <w:sdt>
              <w:sdtPr>
                <w:id w:val="1494"/>
                <w:alias w:val="MR-REV-R1-C3"/>
                <w:tag w:val="MR-REV-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495"/>
                <w:alias w:val="MR-REV-R2-C1"/>
                <w:tag w:val="MR-REV-R2-C1"/>
                <w:text w:multiLine="1"/>
              </w:sdtPr>
              <w:sdtContent>
                <w:r>
                  <w:rPr>
                    <w:rFonts w:ascii="Arial" w:hAnsi="Arial"/>
                    <w:color w:val="62716E"/>
                    <w:sz w:val="18"/>
                  </w:rPr>
                  <w:t>[Completar]</w:t>
                </w:r>
              </w:sdtContent>
            </w:sdt>
          </w:p>
        </w:tc>
        <w:tc>
          <w:tcPr>
            <w:tcW w:type="dxa" w:w="3572"/>
            <w:vAlign w:val="top"/>
          </w:tcPr>
          <w:p>
            <w:pPr>
              <w:keepNext w:val="0"/>
              <w:spacing w:after="20"/>
            </w:pPr>
            <w:sdt>
              <w:sdtPr>
                <w:id w:val="1496"/>
                <w:alias w:val="MR-REV-R2-C2"/>
                <w:tag w:val="MR-REV-R2-C2"/>
                <w:text w:multiLine="1"/>
              </w:sdtPr>
              <w:sdtContent>
                <w:r>
                  <w:rPr>
                    <w:rFonts w:ascii="Arial" w:hAnsi="Arial"/>
                    <w:color w:val="62716E"/>
                    <w:sz w:val="18"/>
                  </w:rPr>
                  <w:t>[Completar]</w:t>
                </w:r>
              </w:sdtContent>
            </w:sdt>
          </w:p>
        </w:tc>
        <w:tc>
          <w:tcPr>
            <w:tcW w:type="dxa" w:w="3390"/>
            <w:vAlign w:val="top"/>
          </w:tcPr>
          <w:p>
            <w:pPr>
              <w:keepNext w:val="0"/>
              <w:spacing w:after="20"/>
            </w:pPr>
            <w:sdt>
              <w:sdtPr>
                <w:id w:val="1497"/>
                <w:alias w:val="MR-REV-R2-C3"/>
                <w:tag w:val="MR-REV-R2-C3"/>
                <w:text w:multiLine="1"/>
              </w:sdtPr>
              <w:sdtContent>
                <w:r>
                  <w:rPr>
                    <w:rFonts w:ascii="Arial" w:hAnsi="Arial"/>
                    <w:color w:val="62716E"/>
                    <w:sz w:val="18"/>
                  </w:rPr>
                  <w:t>[Completar]</w:t>
                </w:r>
              </w:sdtContent>
            </w:sdt>
          </w:p>
        </w:tc>
      </w:tr>
    </w:tbl>
    <w:p>
      <w:pPr>
        <w:spacing w:after="20" w:before="0" w:line="40" w:lineRule="exact"/>
      </w:pPr>
      <w:r>
        <w:rPr>
          <w:sz w:val="4"/>
        </w:rPr>
      </w:r>
    </w:p>
    <w:p>
      <w:pPr>
        <w:keepNext/>
        <w:pageBreakBefore/>
        <w:spacing w:after="100"/>
      </w:pPr>
      <w:r>
        <w:rPr>
          <w:rFonts w:ascii="Arial" w:hAnsi="Arial" w:eastAsia="Arial" w:cs="Arial"/>
          <w:b w:val="0"/>
          <w:color w:val="215F52"/>
          <w:sz w:val="46"/>
        </w:rPr>
        <w:t>Contenido — secciones enlazadas</w:t>
      </w:r>
    </w:p>
    <w:p>
      <w:pPr>
        <w:keepNext w:val="0"/>
        <w:spacing w:after="60"/>
      </w:pPr>
      <w:hyperlink w:anchor="MR_01">
        <w:r>
          <w:rPr>
            <w:color w:val="215F52"/>
            <w:sz w:val="18"/>
          </w:rPr>
          <w:t>01  Período de monitoreo y resumen de resultados</w:t>
        </w:r>
      </w:hyperlink>
    </w:p>
    <w:p>
      <w:pPr>
        <w:keepNext w:val="0"/>
        <w:spacing w:after="60"/>
      </w:pPr>
      <w:hyperlink w:anchor="MR_02">
        <w:r>
          <w:rPr>
            <w:color w:val="215F52"/>
            <w:sz w:val="18"/>
          </w:rPr>
          <w:t>02  Registros controlados del PD, pronóstico y resultados</w:t>
        </w:r>
      </w:hyperlink>
    </w:p>
    <w:p>
      <w:pPr>
        <w:keepNext w:val="0"/>
        <w:spacing w:after="60"/>
      </w:pPr>
      <w:hyperlink w:anchor="MR_03">
        <w:r>
          <w:rPr>
            <w:color w:val="215F52"/>
            <w:sz w:val="18"/>
          </w:rPr>
          <w:t>03  Responsables, derechos y acceso</w:t>
        </w:r>
      </w:hyperlink>
    </w:p>
    <w:p>
      <w:pPr>
        <w:keepNext w:val="0"/>
        <w:spacing w:after="60"/>
      </w:pPr>
      <w:hyperlink w:anchor="MR_04">
        <w:r>
          <w:rPr>
            <w:color w:val="215F52"/>
            <w:sz w:val="18"/>
          </w:rPr>
          <w:t>04  Implementación frente al PD</w:t>
        </w:r>
      </w:hyperlink>
    </w:p>
    <w:p>
      <w:pPr>
        <w:keepNext w:val="0"/>
        <w:spacing w:after="60"/>
      </w:pPr>
      <w:hyperlink w:anchor="MR_05">
        <w:r>
          <w:rPr>
            <w:color w:val="215F52"/>
            <w:sz w:val="18"/>
          </w:rPr>
          <w:t>05  Plan de monitoreo: previsto frente a ejecutado</w:t>
        </w:r>
      </w:hyperlink>
    </w:p>
    <w:p>
      <w:pPr>
        <w:keepNext w:val="0"/>
        <w:spacing w:after="60"/>
      </w:pPr>
      <w:hyperlink w:anchor="MR_06">
        <w:r>
          <w:rPr>
            <w:color w:val="215F52"/>
            <w:sz w:val="18"/>
          </w:rPr>
          <w:t>06  Alcance espacial y mapas de monitoreo</w:t>
        </w:r>
      </w:hyperlink>
    </w:p>
    <w:p>
      <w:pPr>
        <w:keepNext w:val="0"/>
        <w:spacing w:after="60"/>
      </w:pPr>
      <w:hyperlink w:anchor="MR_07">
        <w:r>
          <w:rPr>
            <w:color w:val="215F52"/>
            <w:sz w:val="18"/>
          </w:rPr>
          <w:t>07  NEB001: identidad y cambio de vegetación</w:t>
        </w:r>
      </w:hyperlink>
    </w:p>
    <w:p>
      <w:pPr>
        <w:keepNext w:val="0"/>
        <w:spacing w:after="60"/>
      </w:pPr>
      <w:hyperlink w:anchor="MR_08">
        <w:r>
          <w:rPr>
            <w:color w:val="215F52"/>
            <w:sz w:val="18"/>
          </w:rPr>
          <w:t>08  NEB002: evidencia material, carbono y modelos</w:t>
        </w:r>
      </w:hyperlink>
    </w:p>
    <w:p>
      <w:pPr>
        <w:keepNext w:val="0"/>
        <w:spacing w:after="60"/>
      </w:pPr>
      <w:hyperlink w:anchor="MR_09">
        <w:r>
          <w:rPr>
            <w:color w:val="215F52"/>
            <w:sz w:val="18"/>
          </w:rPr>
          <w:t>09  Control de calidad, custodia y observaciones faltantes</w:t>
        </w:r>
      </w:hyperlink>
    </w:p>
    <w:p>
      <w:pPr>
        <w:keepNext w:val="0"/>
        <w:spacing w:after="60"/>
      </w:pPr>
      <w:hyperlink w:anchor="MR_10">
        <w:r>
          <w:rPr>
            <w:color w:val="215F52"/>
            <w:sz w:val="18"/>
          </w:rPr>
          <w:t>10  Desviaciones, correcciones y cambios de parámetros</w:t>
        </w:r>
      </w:hyperlink>
    </w:p>
    <w:p>
      <w:pPr>
        <w:keepNext w:val="0"/>
        <w:spacing w:after="60"/>
      </w:pPr>
      <w:hyperlink w:anchor="MR_11">
        <w:r>
          <w:rPr>
            <w:color w:val="215F52"/>
            <w:sz w:val="18"/>
          </w:rPr>
          <w:t>11  Contrafactual del intervalo monitoreado</w:t>
        </w:r>
      </w:hyperlink>
    </w:p>
    <w:p>
      <w:pPr>
        <w:keepNext w:val="0"/>
        <w:spacing w:after="60"/>
      </w:pPr>
      <w:hyperlink w:anchor="MR_12">
        <w:r>
          <w:rPr>
            <w:color w:val="215F52"/>
            <w:sz w:val="18"/>
          </w:rPr>
          <w:t>12  Emisiones y remociones reales del proyecto</w:t>
        </w:r>
      </w:hyperlink>
    </w:p>
    <w:p>
      <w:pPr>
        <w:keepNext w:val="0"/>
        <w:spacing w:after="60"/>
      </w:pPr>
      <w:hyperlink w:anchor="MR_13">
        <w:r>
          <w:rPr>
            <w:color w:val="215F52"/>
            <w:sz w:val="18"/>
          </w:rPr>
          <w:t>13  Actividad externa y fugas atribuibles</w:t>
        </w:r>
      </w:hyperlink>
    </w:p>
    <w:p>
      <w:pPr>
        <w:keepNext w:val="0"/>
        <w:spacing w:after="60"/>
      </w:pPr>
      <w:hyperlink w:anchor="MR_14">
        <w:r>
          <w:rPr>
            <w:color w:val="215F52"/>
            <w:sz w:val="18"/>
          </w:rPr>
          <w:t>14  Existencias, liberaciones diferidas y continuidad de cohortes</w:t>
        </w:r>
      </w:hyperlink>
    </w:p>
    <w:p>
      <w:pPr>
        <w:keepNext w:val="0"/>
        <w:spacing w:after="60"/>
      </w:pPr>
      <w:hyperlink w:anchor="MR_15">
        <w:r>
          <w:rPr>
            <w:color w:val="215F52"/>
            <w:sz w:val="18"/>
          </w:rPr>
          <w:t>15  Cuenta ex post con signo y totales reportados</w:t>
        </w:r>
      </w:hyperlink>
    </w:p>
    <w:p>
      <w:pPr>
        <w:keepNext w:val="0"/>
        <w:spacing w:after="60"/>
      </w:pPr>
      <w:hyperlink w:anchor="MR_16">
        <w:r>
          <w:rPr>
            <w:color w:val="215F52"/>
            <w:sz w:val="18"/>
          </w:rPr>
          <w:t>16  Incertidumbre, conservadurismo y materialidad</w:t>
        </w:r>
      </w:hyperlink>
    </w:p>
    <w:p>
      <w:pPr>
        <w:keepNext w:val="0"/>
        <w:spacing w:after="60"/>
      </w:pPr>
      <w:hyperlink w:anchor="MR_17">
        <w:r>
          <w:rPr>
            <w:color w:val="215F52"/>
            <w:sz w:val="18"/>
          </w:rPr>
          <w:t>17  Riesgo, reserva y respuesta a perturbaciones</w:t>
        </w:r>
      </w:hyperlink>
    </w:p>
    <w:p>
      <w:pPr>
        <w:keepNext w:val="0"/>
        <w:spacing w:after="60"/>
      </w:pPr>
      <w:hyperlink w:anchor="MR_18">
        <w:r>
          <w:rPr>
            <w:color w:val="215F52"/>
            <w:sz w:val="18"/>
          </w:rPr>
          <w:t>18  Liquidación, resultados negativos y continuidad</w:t>
        </w:r>
      </w:hyperlink>
    </w:p>
    <w:p>
      <w:pPr>
        <w:keepNext w:val="0"/>
        <w:spacing w:after="60"/>
      </w:pPr>
      <w:hyperlink w:anchor="MR_19">
        <w:r>
          <w:rPr>
            <w:color w:val="215F52"/>
            <w:sz w:val="18"/>
          </w:rPr>
          <w:t>19  Comparación con el pronóstico ex ante fijado</w:t>
        </w:r>
      </w:hyperlink>
    </w:p>
    <w:p>
      <w:pPr>
        <w:keepNext w:val="0"/>
        <w:spacing w:after="60"/>
      </w:pPr>
      <w:hyperlink w:anchor="MR_20">
        <w:r>
          <w:rPr>
            <w:color w:val="215F52"/>
            <w:sz w:val="18"/>
          </w:rPr>
          <w:t>20  Adicionalidad continua e iniciativas superpuestas</w:t>
        </w:r>
      </w:hyperlink>
    </w:p>
    <w:p>
      <w:pPr>
        <w:keepNext w:val="0"/>
        <w:spacing w:after="60"/>
      </w:pPr>
      <w:hyperlink w:anchor="MR_21">
        <w:r>
          <w:rPr>
            <w:color w:val="215F52"/>
            <w:sz w:val="18"/>
          </w:rPr>
          <w:t>21  Participación, salvaguardas y reparto de beneficios</w:t>
        </w:r>
      </w:hyperlink>
    </w:p>
    <w:p>
      <w:pPr>
        <w:keepNext w:val="0"/>
        <w:spacing w:after="60"/>
      </w:pPr>
      <w:hyperlink w:anchor="MR_22">
        <w:r>
          <w:rPr>
            <w:color w:val="215F52"/>
            <w:sz w:val="18"/>
          </w:rPr>
          <w:t>22  Resultados ecosistémicos, de biodiversidad y sociales</w:t>
        </w:r>
      </w:hyperlink>
    </w:p>
    <w:p>
      <w:pPr>
        <w:keepNext w:val="0"/>
        <w:spacing w:after="60"/>
      </w:pPr>
      <w:hyperlink w:anchor="MR_23">
        <w:r>
          <w:rPr>
            <w:color w:val="215F52"/>
            <w:sz w:val="18"/>
          </w:rPr>
          <w:t>23  Migración y continuidad de afirmaciones previas</w:t>
        </w:r>
      </w:hyperlink>
    </w:p>
    <w:p>
      <w:pPr>
        <w:keepNext w:val="0"/>
        <w:spacing w:after="60"/>
      </w:pPr>
      <w:hyperlink w:anchor="MR_24">
        <w:r>
          <w:rPr>
            <w:color w:val="215F52"/>
            <w:sz w:val="18"/>
          </w:rPr>
          <w:t>24  Solicitud de NVEU y límites de afirmaciones</w:t>
        </w:r>
      </w:hyperlink>
    </w:p>
    <w:p>
      <w:pPr>
        <w:keepNext w:val="0"/>
        <w:spacing w:after="60"/>
      </w:pPr>
      <w:hyperlink w:anchor="MR_25">
        <w:r>
          <w:rPr>
            <w:color w:val="215F52"/>
            <w:sz w:val="18"/>
          </w:rPr>
          <w:t>25  Hallazgos, presentación y decisiones separadas</w:t>
        </w:r>
      </w:hyperlink>
    </w:p>
    <w:p>
      <w:pPr>
        <w:keepNext w:val="0"/>
        <w:spacing w:after="60"/>
      </w:pPr>
      <w:hyperlink w:anchor="MR_26">
        <w:r>
          <w:rPr>
            <w:color w:val="215F52"/>
            <w:sz w:val="18"/>
          </w:rPr>
          <w:t>26  Entrega de evidencia y acciones del período siguiente</w:t>
        </w:r>
      </w:hyperlink>
    </w:p>
    <w:p>
      <w:pPr>
        <w:keepNext w:val="0"/>
        <w:spacing w:after="60"/>
      </w:pPr>
      <w:hyperlink w:anchor="MR_CALC">
        <w:r>
          <w:rPr>
            <w:color w:val="215F52"/>
            <w:sz w:val="18"/>
          </w:rPr>
          <w:t>CALC  Trazabilidad del cálculo y recálculo del revisor</w:t>
        </w:r>
      </w:hyperlink>
    </w:p>
    <w:p>
      <w:pPr>
        <w:keepNext w:val="0"/>
        <w:spacing w:after="60"/>
      </w:pPr>
      <w:hyperlink w:anchor="MR_XREF">
        <w:r>
          <w:rPr>
            <w:color w:val="215F52"/>
            <w:sz w:val="18"/>
          </w:rPr>
          <w:t>XREF  Correspondencia PD–Ex ante–Ex post</w:t>
        </w:r>
      </w:hyperlink>
    </w:p>
    <w:p>
      <w:pPr>
        <w:keepNext w:val="0"/>
        <w:spacing w:after="60"/>
      </w:pPr>
      <w:hyperlink w:anchor="MR_REF">
        <w:r>
          <w:rPr>
            <w:color w:val="215F52"/>
            <w:sz w:val="18"/>
          </w:rPr>
          <w:t>REF  Referencias y límites de diligenciamiento</w:t>
        </w:r>
      </w:hyperlink>
    </w:p>
    <w:p>
      <w:bookmarkStart w:id="261" w:name="MR_01"/>
      <w:pPr>
        <w:pStyle w:val="Heading1"/>
        <w:keepNext/>
        <w:pageBreakBefore/>
      </w:pPr>
      <w:r>
        <w:rPr>
          <w:rFonts w:ascii="Arial" w:hAnsi="Arial" w:eastAsia="Arial" w:cs="Arial"/>
          <w:b w:val="0"/>
          <w:color w:val="215F52"/>
          <w:sz w:val="38"/>
        </w:rPr>
        <w:t>01  Período de monitoreo y resumen de resultados</w:t>
      </w:r>
      <w:bookmarkEnd w:id="261"/>
    </w:p>
    <w:p>
      <w:pPr>
        <w:keepNext/>
        <w:spacing w:after="100"/>
      </w:pPr>
      <w:r>
        <w:rPr>
          <w:rFonts w:ascii="Arial" w:hAnsi="Arial" w:eastAsia="Arial" w:cs="Arial"/>
          <w:b w:val="0"/>
          <w:color w:val="62716E"/>
          <w:sz w:val="16"/>
        </w:rPr>
        <w:t>[1] P-01; P-02; P-04; P-11; U-01; FRM-02</w:t>
      </w:r>
    </w:p>
    <w:p>
      <w:pPr>
        <w:spacing w:after="100"/>
      </w:pPr>
      <w:r>
        <w:rPr>
          <w:rFonts w:ascii="Arial" w:hAnsi="Arial" w:eastAsia="Arial" w:cs="Arial"/>
          <w:b w:val="0"/>
          <w:color w:val="243A36"/>
          <w:sz w:val="19"/>
        </w:rPr>
        <w:t>Identificar el intervalo del informe, la fecha de corte de la evidencia, la categoría y el alcance espacial, y el estado de cada resultado reportado. Este es el informe de monitoreo para G2. La verificación G3 y la autorización G4 son decisiones separadas; un resultado ex post no está automáticamente verificado.</w:t>
      </w:r>
    </w:p>
    <w:p>
      <w:pPr>
        <w:keepNext/>
        <w:spacing w:after="100"/>
      </w:pPr>
      <w:r>
        <w:rPr>
          <w:rFonts w:ascii="Arial" w:hAnsi="Arial" w:eastAsia="Arial" w:cs="Arial"/>
          <w:b w:val="0"/>
          <w:color w:val="62716E"/>
          <w:sz w:val="18"/>
        </w:rPr>
        <w:t>Resumir la implementación, el desempeño ambiental, los eventos materiales, los hallazgos pendientes y el alcance presentado a evaluación. Indicar inicio/fin del monitoreo, convención del intervalo, número del informe y corte de evidencia.</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498"/>
                <w:alias w:val="MR-response-4"/>
                <w:tag w:val="MR-response-4"/>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pPr>
        <w:keepNext/>
        <w:spacing w:after="100"/>
      </w:pPr>
      <w:r>
        <w:rPr>
          <w:rFonts w:ascii="Arial" w:hAnsi="Arial" w:eastAsia="Arial" w:cs="Arial"/>
          <w:b/>
          <w:color w:val="215F52"/>
          <w:sz w:val="20"/>
        </w:rPr>
        <w:t>MR-01-T01 / Resumen del resultado del período — una cuenta compatible</w:t>
      </w:r>
    </w:p>
    <w:p>
      <w:pPr>
        <w:keepNext/>
        <w:spacing w:after="100"/>
      </w:pPr>
      <w:r>
        <w:rPr>
          <w:rFonts w:ascii="Arial" w:hAnsi="Arial" w:eastAsia="Arial" w:cs="Arial"/>
          <w:b/>
          <w:color w:val="215F52"/>
          <w:sz w:val="17"/>
        </w:rPr>
        <w:t>MR-01-T01 / Notación de cálculo</w:t>
      </w:r>
    </w:p>
    <w:p>
      <w:pPr>
        <w:keepNext/>
        <w:spacing w:after="60" w:before="20"/>
        <w:jc w:val="center"/>
      </w:pPr>
      <m:oMath>
        <m:sSubSup>
          <m:e>
            <m:acc>
              <m:accPr>
                <m:chr m:val="̂"/>
              </m:accPr>
              <m:e>
                <m:r>
                  <w:rPr>
                    <w:sz w:val="20"/>
                    <w:rFonts w:ascii="Cambria Math" w:hAnsi="Cambria Math"/>
                  </w:rPr>
                  <m:t>Q</m:t>
                </m:r>
              </m:e>
            </m:acc>
          </m:e>
          <m:sub>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sSubSup>
          <m:e>
            <m:r>
              <w:rPr>
                <w:sz w:val="20"/>
                <w:rFonts w:ascii="Cambria Math" w:hAnsi="Cambria Math"/>
              </w:rPr>
              <m:t>N</m:t>
            </m:r>
          </m:e>
          <m:sub>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sSubSup>
          <m:e>
            <m:r>
              <w:rPr>
                <w:sz w:val="20"/>
                <w:rFonts w:ascii="Cambria Math" w:hAnsi="Cambria Math"/>
              </w:rPr>
              <m:t>N</m:t>
            </m:r>
          </m:e>
          <m:sub>
            <m:r>
              <w:rPr>
                <w:sz w:val="20"/>
                <w:rFonts w:ascii="Cambria Math" w:hAnsi="Cambria Math"/>
              </w:rPr>
              <m:rPr>
                <m:sty m:val="p"/>
              </m:rPr>
              <m:t>P</m:t>
            </m:r>
            <m:r>
              <w:rPr>
                <w:sz w:val="20"/>
                <w:rFonts w:ascii="Cambria Math" w:hAnsi="Cambria Math"/>
              </w:rPr>
              <m:rPr>
                <m:sty m:val="p"/>
              </m:rPr>
              <m:t>J</m:t>
            </m:r>
            <m:r>
              <w:rPr>
                <w:sz w:val="20"/>
                <w:rFonts w:ascii="Cambria Math" w:hAnsi="Cambria Math"/>
              </w:rPr>
              <m:rPr>
                <m:sty m:val="p"/>
              </m:rPr>
              <m:t>,</m:t>
            </m:r>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sSubSup>
          <m:e>
            <m:r>
              <w:rPr>
                <w:sz w:val="20"/>
                <w:rFonts w:ascii="Cambria Math" w:hAnsi="Cambria Math"/>
              </w:rPr>
              <m:t>L</m:t>
            </m:r>
          </m:e>
          <m:sub>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r>
          <w:rPr>
            <w:sz w:val="20"/>
            <w:rFonts w:ascii="Cambria Math" w:hAnsi="Cambria Math"/>
          </w:rPr>
          <m:t>  </m:t>
        </m:r>
        <m:r>
          <w:rPr>
            <w:sz w:val="20"/>
            <w:rFonts w:ascii="Cambria Math" w:hAnsi="Cambria Math"/>
          </w:rPr>
          <m:t>z</m:t>
        </m:r>
        <m:r>
          <w:rPr>
            <w:sz w:val="20"/>
            <w:rFonts w:ascii="Cambria Math" w:hAnsi="Cambria Math"/>
          </w:rPr>
          <m:rPr>
            <m:sty m:val="p"/>
          </m:rPr>
          <m:t>∈</m:t>
        </m:r>
        <m:r>
          <w:rPr>
            <w:sz w:val="20"/>
            <w:rFonts w:ascii="Cambria Math" w:hAnsi="Cambria Math"/>
          </w:rPr>
          <m:rPr>
            <m:sty m:val="p"/>
          </m:rPr>
          <m:t>{</m:t>
        </m:r>
        <m:r>
          <w:rPr>
            <w:sz w:val="20"/>
            <w:rFonts w:ascii="Cambria Math" w:hAnsi="Cambria Math"/>
          </w:rPr>
          <m:rPr>
            <m:sty m:val="p"/>
          </m:rPr>
          <m:t>E</m:t>
        </m:r>
        <m:r>
          <w:rPr>
            <w:sz w:val="20"/>
            <w:rFonts w:ascii="Cambria Math" w:hAnsi="Cambria Math"/>
          </w:rPr>
          <m:rPr>
            <m:sty m:val="p"/>
          </m:rPr>
          <m:t>A</m:t>
        </m:r>
        <m:r>
          <w:rPr>
            <w:sz w:val="20"/>
            <w:rFonts w:ascii="Cambria Math" w:hAnsi="Cambria Math"/>
          </w:rPr>
          <m:rPr>
            <m:sty m:val="p"/>
          </m:rPr>
          <m:t>,</m:t>
        </m:r>
        <m:r>
          <w:rPr>
            <w:sz w:val="20"/>
            <w:rFonts w:ascii="Cambria Math" w:hAnsi="Cambria Math"/>
          </w:rPr>
          <m:rPr>
            <m:sty m:val="p"/>
          </m:rPr>
          <m:t>E</m:t>
        </m:r>
        <m:r>
          <w:rPr>
            <w:sz w:val="20"/>
            <w:rFonts w:ascii="Cambria Math" w:hAnsi="Cambria Math"/>
          </w:rPr>
          <m:rPr>
            <m:sty m:val="p"/>
          </m:rPr>
          <m:t>P</m:t>
        </m:r>
        <m:r>
          <w:rPr>
            <w:sz w:val="20"/>
            <w:rFonts w:ascii="Cambria Math" w:hAnsi="Cambria Math"/>
          </w:rPr>
          <m:rPr>
            <m:sty m:val="p"/>
          </m:rPr>
          <m:t>}</m:t>
        </m:r>
      </m:oMath>
    </w:p>
    <w:p>
      <w:pPr>
        <w:keepNext/>
        <w:spacing w:after="60"/>
      </w:pPr>
      <w:r>
        <w:rPr>
          <w:rFonts w:ascii="Arial" w:hAnsi="Arial" w:eastAsia="Arial" w:cs="Arial"/>
          <w:b w:val="0"/>
          <w:color w:val="215F52"/>
          <w:sz w:val="17"/>
        </w:rPr>
        <w:t>EA denota pronóstico fechado; EP denota cuenta del período reportado, no verificación automática. Todos los términos son masas del período con signo y soporte comparable. La cantidad precede incertidumbre, obligaciones previas, reserva y denominación.</w:t>
      </w:r>
    </w:p>
    <w:p>
      <w:pPr>
        <w:keepNext/>
        <w:spacing w:after="80"/>
      </w:pPr>
      <w:r>
        <w:rPr>
          <w:rFonts w:ascii="Arial" w:hAnsi="Arial" w:eastAsia="Arial" w:cs="Arial"/>
          <w:b w:val="0"/>
          <w:color w:val="62716E"/>
          <w:sz w:val="16"/>
        </w:rPr>
        <w:t>Base: M04.5; F-R01. Ubicación del cálculo: ExAnte!F:I; ExPost!F:I.</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Magnitud / símbolo</w:t>
            </w:r>
          </w:p>
        </w:tc>
        <w:tc>
          <w:tcPr>
            <w:tcW w:type="dxa" w:w="3572"/>
            <w:vAlign w:val="center"/>
            <w:shd w:fill="F1F5F2"/>
          </w:tcPr>
          <w:p>
            <w:pPr>
              <w:keepNext/>
              <w:spacing w:after="20"/>
            </w:pPr>
            <w:r>
              <w:rPr>
                <w:rFonts w:ascii="Arial" w:hAnsi="Arial" w:eastAsia="Arial" w:cs="Arial"/>
                <w:b/>
                <w:color w:val="215F52"/>
                <w:sz w:val="17"/>
              </w:rPr>
              <w:t>Valor y unidad</w:t>
            </w:r>
          </w:p>
        </w:tc>
        <w:tc>
          <w:tcPr>
            <w:tcW w:type="dxa" w:w="3390"/>
            <w:vAlign w:val="center"/>
            <w:shd w:fill="F1F5F2"/>
          </w:tcPr>
          <w:p>
            <w:pPr>
              <w:keepNext/>
              <w:spacing w:after="20"/>
            </w:pPr>
            <w:r>
              <w:rPr>
                <w:rFonts w:ascii="Arial" w:hAnsi="Arial" w:eastAsia="Arial" w:cs="Arial"/>
                <w:b/>
                <w:color w:val="215F52"/>
                <w:sz w:val="17"/>
              </w:rPr>
              <w:t>Celda fuente, período y estado</w:t>
            </w:r>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Emisiones netas de línea base | </w:t>
            </w:r>
            <m:oMath>
              <m:sSub>
                <m:e>
                  <m:r>
                    <w:rPr>
                      <w:sz w:val="20"/>
                      <w:rFonts w:ascii="Cambria Math" w:hAnsi="Cambria Math"/>
                    </w:rPr>
                    <m:t>N</m:t>
                  </m:r>
                </m:e>
                <m:sub>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Sub>
            </m:oMath>
            <w:r>
              <w:rPr>
                <w:rFonts w:ascii="Arial" w:hAnsi="Arial" w:eastAsia="Arial" w:cs="Arial"/>
                <w:b w:val="0"/>
                <w:color w:val="243A36"/>
                <w:sz w:val="17"/>
              </w:rPr>
            </w:r>
          </w:p>
        </w:tc>
        <w:tc>
          <w:tcPr>
            <w:tcW w:type="dxa" w:w="3572"/>
            <w:vAlign w:val="top"/>
          </w:tcPr>
          <w:p>
            <w:pPr>
              <w:keepNext w:val="0"/>
              <w:spacing w:after="20"/>
            </w:pPr>
            <w:sdt>
              <w:sdtPr>
                <w:id w:val="1499"/>
                <w:alias w:val="MR-01-T01-R1-C2"/>
                <w:tag w:val="MR-01-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500"/>
                <w:alias w:val="MR-01-T01-R1-C3"/>
                <w:tag w:val="MR-01-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Emisiones netas del proyecto | </w:t>
            </w:r>
            <m:oMath>
              <m:sSub>
                <m:e>
                  <m:r>
                    <w:rPr>
                      <w:sz w:val="20"/>
                      <w:rFonts w:ascii="Cambria Math" w:hAnsi="Cambria Math"/>
                    </w:rPr>
                    <m:t>N</m:t>
                  </m:r>
                </m:e>
                <m:sub>
                  <m:r>
                    <w:rPr>
                      <w:sz w:val="20"/>
                      <w:rFonts w:ascii="Cambria Math" w:hAnsi="Cambria Math"/>
                    </w:rPr>
                    <m:rPr>
                      <m:sty m:val="p"/>
                    </m:rPr>
                    <m:t>P</m:t>
                  </m:r>
                  <m:r>
                    <w:rPr>
                      <w:sz w:val="20"/>
                      <w:rFonts w:ascii="Cambria Math" w:hAnsi="Cambria Math"/>
                    </w:rPr>
                    <m:rPr>
                      <m:sty m:val="p"/>
                    </m:rPr>
                    <m:t>J</m:t>
                  </m:r>
                  <m:r>
                    <w:rPr>
                      <w:sz w:val="20"/>
                      <w:rFonts w:ascii="Cambria Math" w:hAnsi="Cambria Math"/>
                    </w:rPr>
                    <m:rPr>
                      <m:sty m:val="p"/>
                    </m:rPr>
                    <m:t>,</m:t>
                  </m:r>
                  <m:r>
                    <w:rPr>
                      <w:sz w:val="20"/>
                      <w:rFonts w:ascii="Cambria Math" w:hAnsi="Cambria Math"/>
                    </w:rPr>
                    <m:t>t</m:t>
                  </m:r>
                </m:sub>
              </m:sSub>
            </m:oMath>
            <w:r>
              <w:rPr>
                <w:rFonts w:ascii="Arial" w:hAnsi="Arial" w:eastAsia="Arial" w:cs="Arial"/>
                <w:b w:val="0"/>
                <w:color w:val="243A36"/>
                <w:sz w:val="17"/>
              </w:rPr>
            </w:r>
          </w:p>
        </w:tc>
        <w:tc>
          <w:tcPr>
            <w:tcW w:type="dxa" w:w="3572"/>
            <w:vAlign w:val="top"/>
          </w:tcPr>
          <w:p>
            <w:pPr>
              <w:keepNext w:val="0"/>
              <w:spacing w:after="20"/>
            </w:pPr>
            <w:sdt>
              <w:sdtPr>
                <w:id w:val="1501"/>
                <w:alias w:val="MR-01-T01-R2-C2"/>
                <w:tag w:val="MR-01-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502"/>
                <w:alias w:val="MR-01-T01-R2-C3"/>
                <w:tag w:val="MR-01-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Fugas atribuibles | </w:t>
            </w:r>
            <m:oMath>
              <m:sSub>
                <m:e>
                  <m:r>
                    <w:rPr>
                      <w:sz w:val="20"/>
                      <w:rFonts w:ascii="Cambria Math" w:hAnsi="Cambria Math"/>
                    </w:rPr>
                    <m:t>L</m:t>
                  </m:r>
                </m:e>
                <m:sub>
                  <m:r>
                    <w:rPr>
                      <w:sz w:val="20"/>
                      <w:rFonts w:ascii="Cambria Math" w:hAnsi="Cambria Math"/>
                    </w:rPr>
                    <m:t>t</m:t>
                  </m:r>
                </m:sub>
              </m:sSub>
            </m:oMath>
            <w:r>
              <w:rPr>
                <w:rFonts w:ascii="Arial" w:hAnsi="Arial" w:eastAsia="Arial" w:cs="Arial"/>
                <w:b w:val="0"/>
                <w:color w:val="243A36"/>
                <w:sz w:val="17"/>
              </w:rPr>
            </w:r>
          </w:p>
        </w:tc>
        <w:tc>
          <w:tcPr>
            <w:tcW w:type="dxa" w:w="3572"/>
            <w:vAlign w:val="top"/>
          </w:tcPr>
          <w:p>
            <w:pPr>
              <w:keepNext w:val="0"/>
              <w:spacing w:after="20"/>
            </w:pPr>
            <w:sdt>
              <w:sdtPr>
                <w:id w:val="1503"/>
                <w:alias w:val="MR-01-T01-R3-C2"/>
                <w:tag w:val="MR-01-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504"/>
                <w:alias w:val="MR-01-T01-R3-C3"/>
                <w:tag w:val="MR-01-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Resultado con signo | </w:t>
            </w:r>
            <m:oMath>
              <m:sSub>
                <m:e>
                  <m:acc>
                    <m:accPr>
                      <m:chr m:val="̂"/>
                    </m:accPr>
                    <m:e>
                      <m:r>
                        <w:rPr>
                          <w:sz w:val="20"/>
                          <w:rFonts w:ascii="Cambria Math" w:hAnsi="Cambria Math"/>
                        </w:rPr>
                        <m:t>Q</m:t>
                      </m:r>
                    </m:e>
                  </m:acc>
                </m:e>
                <m:sub>
                  <m:r>
                    <w:rPr>
                      <w:sz w:val="20"/>
                      <w:rFonts w:ascii="Cambria Math" w:hAnsi="Cambria Math"/>
                    </w:rPr>
                    <m:t>t</m:t>
                  </m:r>
                </m:sub>
              </m:sSub>
            </m:oMath>
            <w:r>
              <w:rPr>
                <w:rFonts w:ascii="Arial" w:hAnsi="Arial" w:eastAsia="Arial" w:cs="Arial"/>
                <w:b w:val="0"/>
                <w:color w:val="243A36"/>
                <w:sz w:val="17"/>
              </w:rPr>
            </w:r>
          </w:p>
        </w:tc>
        <w:tc>
          <w:tcPr>
            <w:tcW w:type="dxa" w:w="3572"/>
            <w:vAlign w:val="top"/>
          </w:tcPr>
          <w:p>
            <w:pPr>
              <w:keepNext w:val="0"/>
              <w:spacing w:after="20"/>
            </w:pPr>
            <w:sdt>
              <w:sdtPr>
                <w:id w:val="1505"/>
                <w:alias w:val="MR-01-T01-R4-C2"/>
                <w:tag w:val="MR-01-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506"/>
                <w:alias w:val="MR-01-T01-R4-C3"/>
                <w:tag w:val="MR-01-T01-R4-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Resultado conservador | </w:t>
            </w:r>
            <m:oMath>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w</m:t>
                  </m:r>
                </m:sup>
              </m:sSubSup>
            </m:oMath>
            <w:r>
              <w:rPr>
                <w:rFonts w:ascii="Arial" w:hAnsi="Arial" w:eastAsia="Arial" w:cs="Arial"/>
                <w:b w:val="0"/>
                <w:color w:val="243A36"/>
                <w:sz w:val="17"/>
              </w:rPr>
            </w:r>
          </w:p>
        </w:tc>
        <w:tc>
          <w:tcPr>
            <w:tcW w:type="dxa" w:w="3572"/>
            <w:vAlign w:val="top"/>
          </w:tcPr>
          <w:p>
            <w:pPr>
              <w:keepNext w:val="0"/>
              <w:spacing w:after="20"/>
            </w:pPr>
            <w:sdt>
              <w:sdtPr>
                <w:id w:val="1507"/>
                <w:alias w:val="MR-01-T01-R5-C2"/>
                <w:tag w:val="MR-01-T01-R5-C2"/>
                <w:text w:multiLine="1"/>
              </w:sdtPr>
              <w:sdtContent>
                <w:r>
                  <w:rPr>
                    <w:rFonts w:ascii="Arial" w:hAnsi="Arial"/>
                    <w:color w:val="62716E"/>
                    <w:sz w:val="18"/>
                  </w:rPr>
                  <w:t>[Completar]</w:t>
                </w:r>
              </w:sdtContent>
            </w:sdt>
          </w:p>
        </w:tc>
        <w:tc>
          <w:tcPr>
            <w:tcW w:type="dxa" w:w="3390"/>
            <w:vAlign w:val="top"/>
          </w:tcPr>
          <w:p>
            <w:pPr>
              <w:keepNext w:val="0"/>
              <w:spacing w:after="20"/>
            </w:pPr>
            <w:sdt>
              <w:sdtPr>
                <w:id w:val="1508"/>
                <w:alias w:val="MR-01-T01-R5-C3"/>
                <w:tag w:val="MR-01-T01-R5-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Masa candidata | </w:t>
            </w:r>
            <m:oMath>
              <m:sSubSup>
                <m:e>
                  <m:r>
                    <w:rPr>
                      <w:sz w:val="20"/>
                      <w:rFonts w:ascii="Cambria Math" w:hAnsi="Cambria Math"/>
                    </w:rPr>
                    <m:t>J</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oMath>
            <w:r>
              <w:rPr>
                <w:rFonts w:ascii="Arial" w:hAnsi="Arial" w:eastAsia="Arial" w:cs="Arial"/>
                <w:b w:val="0"/>
                <w:color w:val="243A36"/>
                <w:sz w:val="17"/>
              </w:rPr>
            </w:r>
          </w:p>
        </w:tc>
        <w:tc>
          <w:tcPr>
            <w:tcW w:type="dxa" w:w="3572"/>
            <w:vAlign w:val="top"/>
          </w:tcPr>
          <w:p>
            <w:pPr>
              <w:keepNext w:val="0"/>
              <w:spacing w:after="20"/>
            </w:pPr>
            <w:sdt>
              <w:sdtPr>
                <w:id w:val="1509"/>
                <w:alias w:val="MR-01-T01-R6-C2"/>
                <w:tag w:val="MR-01-T01-R6-C2"/>
                <w:text w:multiLine="1"/>
              </w:sdtPr>
              <w:sdtContent>
                <w:r>
                  <w:rPr>
                    <w:rFonts w:ascii="Arial" w:hAnsi="Arial"/>
                    <w:color w:val="62716E"/>
                    <w:sz w:val="18"/>
                  </w:rPr>
                  <w:t>[Completar]</w:t>
                </w:r>
              </w:sdtContent>
            </w:sdt>
          </w:p>
        </w:tc>
        <w:tc>
          <w:tcPr>
            <w:tcW w:type="dxa" w:w="3390"/>
            <w:vAlign w:val="top"/>
          </w:tcPr>
          <w:p>
            <w:pPr>
              <w:keepNext w:val="0"/>
              <w:spacing w:after="20"/>
            </w:pPr>
            <w:sdt>
              <w:sdtPr>
                <w:id w:val="1510"/>
                <w:alias w:val="MR-01-T01-R6-C3"/>
                <w:tag w:val="MR-01-T01-R6-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 xml:space="preserve">NVEU candidatas, solo con categoría/denominación | </w:t>
            </w:r>
            <m:oMath>
              <m:sSubSup>
                <m:e>
                  <m:r>
                    <w:rPr>
                      <w:sz w:val="20"/>
                      <w:rFonts w:ascii="Cambria Math" w:hAnsi="Cambria Math"/>
                    </w:rPr>
                    <m:t>n</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r>
                    <w:rPr>
                      <w:sz w:val="20"/>
                      <w:rFonts w:ascii="Cambria Math" w:hAnsi="Cambria Math"/>
                    </w:rPr>
                    <m:rPr>
                      <m:sty m:val="p"/>
                    </m:rPr>
                    <m:t>i</m:t>
                  </m:r>
                  <m:r>
                    <w:rPr>
                      <w:sz w:val="20"/>
                      <w:rFonts w:ascii="Cambria Math" w:hAnsi="Cambria Math"/>
                    </w:rPr>
                    <m:rPr>
                      <m:sty m:val="p"/>
                    </m:rPr>
                    <m:t>d</m:t>
                  </m:r>
                  <m:r>
                    <w:rPr>
                      <w:sz w:val="20"/>
                      <w:rFonts w:ascii="Cambria Math" w:hAnsi="Cambria Math"/>
                    </w:rPr>
                    <m:rPr>
                      <m:sty m:val="p"/>
                    </m:rPr>
                    <m:t>a</m:t>
                  </m:r>
                  <m:r>
                    <w:rPr>
                      <w:sz w:val="20"/>
                      <w:rFonts w:ascii="Cambria Math" w:hAnsi="Cambria Math"/>
                    </w:rPr>
                    <m:rPr>
                      <m:sty m:val="p"/>
                    </m:rPr>
                    <m:t>t</m:t>
                  </m:r>
                  <m:r>
                    <w:rPr>
                      <w:sz w:val="20"/>
                      <w:rFonts w:ascii="Cambria Math" w:hAnsi="Cambria Math"/>
                    </w:rPr>
                    <m:rPr>
                      <m:sty m:val="p"/>
                    </m:rPr>
                    <m:t>e</m:t>
                  </m:r>
                </m:sup>
              </m:sSubSup>
            </m:oMath>
            <w:r>
              <w:rPr>
                <w:rFonts w:ascii="Arial" w:hAnsi="Arial" w:eastAsia="Arial" w:cs="Arial"/>
                <w:b w:val="0"/>
                <w:color w:val="243A36"/>
                <w:sz w:val="17"/>
              </w:rPr>
            </w:r>
          </w:p>
        </w:tc>
        <w:tc>
          <w:tcPr>
            <w:tcW w:type="dxa" w:w="3572"/>
            <w:vAlign w:val="top"/>
          </w:tcPr>
          <w:p>
            <w:pPr>
              <w:keepNext w:val="0"/>
              <w:spacing w:after="20"/>
            </w:pPr>
            <w:sdt>
              <w:sdtPr>
                <w:id w:val="1511"/>
                <w:alias w:val="MR-01-T01-R7-C2"/>
                <w:tag w:val="MR-01-T01-R7-C2"/>
                <w:text w:multiLine="1"/>
              </w:sdtPr>
              <w:sdtContent>
                <w:r>
                  <w:rPr>
                    <w:rFonts w:ascii="Arial" w:hAnsi="Arial"/>
                    <w:color w:val="62716E"/>
                    <w:sz w:val="18"/>
                  </w:rPr>
                  <w:t>[Completar]</w:t>
                </w:r>
              </w:sdtContent>
            </w:sdt>
          </w:p>
        </w:tc>
        <w:tc>
          <w:tcPr>
            <w:tcW w:type="dxa" w:w="3390"/>
            <w:vAlign w:val="top"/>
          </w:tcPr>
          <w:p>
            <w:pPr>
              <w:keepNext w:val="0"/>
              <w:spacing w:after="20"/>
            </w:pPr>
            <w:sdt>
              <w:sdtPr>
                <w:id w:val="1512"/>
                <w:alias w:val="MR-01-T01-R7-C3"/>
                <w:tag w:val="MR-01-T01-R7-C3"/>
                <w:text w:multiLine="1"/>
              </w:sdtPr>
              <w:sdtContent>
                <w:r>
                  <w:rPr>
                    <w:rFonts w:ascii="Arial" w:hAnsi="Arial"/>
                    <w:color w:val="62716E"/>
                    <w:sz w:val="18"/>
                  </w:rPr>
                  <w:t>[Completar]</w:t>
                </w:r>
              </w:sdtContent>
            </w:sdt>
          </w:p>
        </w:tc>
      </w:tr>
    </w:tbl>
    <w:p>
      <w:pPr>
        <w:spacing w:after="20" w:before="0" w:line="40" w:lineRule="exact"/>
      </w:pPr>
      <w:r>
        <w:rPr>
          <w:sz w:val="4"/>
        </w:rPr>
      </w:r>
    </w:p>
    <w:p>
      <w:pPr>
        <w:spacing w:after="100"/>
      </w:pPr>
      <w:r>
        <w:rPr>
          <w:rFonts w:ascii="Arial" w:hAnsi="Arial" w:eastAsia="Arial" w:cs="Arial"/>
          <w:b w:val="0"/>
          <w:color w:val="243A36"/>
          <w:sz w:val="19"/>
        </w:rPr>
        <w:t>Reportar cada atributo ambiental o social adicional por separado en la Sección 22. No agregar atributos distintos ni sumar períodos anteriores al resultado del período actual. Explicar toda restricción del resumen en la cuenta detallada.</w:t>
      </w:r>
    </w:p>
    <w:p>
      <w:bookmarkStart w:id="273" w:name="MR_02"/>
      <w:pPr>
        <w:pStyle w:val="Heading1"/>
        <w:keepNext/>
        <w:pageBreakBefore/>
      </w:pPr>
      <w:r>
        <w:rPr>
          <w:rFonts w:ascii="Arial" w:hAnsi="Arial" w:eastAsia="Arial" w:cs="Arial"/>
          <w:b w:val="0"/>
          <w:color w:val="215F52"/>
          <w:sz w:val="38"/>
        </w:rPr>
        <w:t>02  Registros controlados del PD, pronóstico y resultados</w:t>
      </w:r>
      <w:bookmarkEnd w:id="273"/>
    </w:p>
    <w:p>
      <w:pPr>
        <w:keepNext/>
        <w:spacing w:after="100"/>
      </w:pPr>
      <w:r>
        <w:rPr>
          <w:rFonts w:ascii="Arial" w:hAnsi="Arial" w:eastAsia="Arial" w:cs="Arial"/>
          <w:b w:val="0"/>
          <w:color w:val="62716E"/>
          <w:sz w:val="16"/>
        </w:rPr>
        <w:t>[1] S-18; CYC-05; CYC-06; P-01; P-04; FRM-01; FRM-02</w:t>
      </w:r>
    </w:p>
    <w:p>
      <w:pPr>
        <w:spacing w:after="100"/>
      </w:pPr>
      <w:r>
        <w:rPr>
          <w:rFonts w:ascii="Arial" w:hAnsi="Arial" w:eastAsia="Arial" w:cs="Arial"/>
          <w:b w:val="0"/>
          <w:color w:val="243A36"/>
          <w:sz w:val="19"/>
        </w:rPr>
        <w:t>Usar la Descripción del Proyecto (PD) como referencia de diseño, la Estimación ex ante fechada como referencia del pronóstico, y el Informe de resultados ex post y el libro de cálculo como anexo cuantitativo. Citar versiones exactas aprobadas o presentadas y su estado real. Una cita al PD no sustituye evidencia específica del período.</w:t>
      </w:r>
    </w:p>
    <w:p>
      <w:pPr>
        <w:keepNext/>
        <w:spacing w:after="100"/>
      </w:pPr>
      <w:r>
        <w:rPr>
          <w:rFonts w:ascii="Arial" w:hAnsi="Arial" w:eastAsia="Arial" w:cs="Arial"/>
          <w:b/>
          <w:color w:val="215F52"/>
          <w:sz w:val="20"/>
        </w:rPr>
        <w:t>MR-02-T01 / Cadena documental controlada</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Registro</w:t>
            </w:r>
          </w:p>
        </w:tc>
        <w:tc>
          <w:tcPr>
            <w:tcW w:type="dxa" w:w="3572"/>
            <w:vAlign w:val="center"/>
            <w:shd w:fill="F1F5F2"/>
          </w:tcPr>
          <w:p>
            <w:pPr>
              <w:keepNext/>
              <w:spacing w:after="20"/>
            </w:pPr>
            <w:r>
              <w:rPr>
                <w:rFonts w:ascii="Arial" w:hAnsi="Arial" w:eastAsia="Arial" w:cs="Arial"/>
                <w:b/>
                <w:color w:val="215F52"/>
                <w:sz w:val="17"/>
              </w:rPr>
              <w:t>Versión, fecha y referencia de aprobación/estado</w:t>
            </w:r>
          </w:p>
        </w:tc>
        <w:tc>
          <w:tcPr>
            <w:tcW w:type="dxa" w:w="3390"/>
            <w:vAlign w:val="center"/>
            <w:shd w:fill="F1F5F2"/>
          </w:tcPr>
          <w:p>
            <w:pPr>
              <w:keepNext/>
              <w:spacing w:after="20"/>
            </w:pPr>
            <w:r>
              <w:rPr>
                <w:rFonts w:ascii="Arial" w:hAnsi="Arial" w:eastAsia="Arial" w:cs="Arial"/>
                <w:b/>
                <w:color w:val="215F52"/>
                <w:sz w:val="17"/>
              </w:rPr>
              <w:t>Sección exacta, archivo/huella y acceso</w:t>
            </w:r>
          </w:p>
        </w:tc>
      </w:tr>
      <w:tr>
        <w:trPr>
          <w:trHeight w:val="442" w:hRule="atLeast"/>
        </w:trPr>
        <w:tc>
          <w:tcPr>
            <w:tcW w:type="dxa" w:w="2778"/>
            <w:vAlign w:val="top"/>
          </w:tcPr>
          <w:p>
            <w:pPr>
              <w:keepNext w:val="0"/>
              <w:spacing w:after="20"/>
            </w:pPr>
            <w:r>
              <w:rPr>
                <w:rFonts w:ascii="Arial" w:hAnsi="Arial" w:eastAsia="Arial" w:cs="Arial"/>
                <w:b w:val="0"/>
                <w:color w:val="243A36"/>
                <w:sz w:val="17"/>
              </w:rPr>
              <w:t>PD rector y plan de monitoreo</w:t>
            </w:r>
          </w:p>
        </w:tc>
        <w:tc>
          <w:tcPr>
            <w:tcW w:type="dxa" w:w="3572"/>
            <w:vAlign w:val="top"/>
          </w:tcPr>
          <w:p>
            <w:pPr>
              <w:keepNext w:val="0"/>
              <w:spacing w:after="20"/>
            </w:pPr>
            <w:sdt>
              <w:sdtPr>
                <w:id w:val="1513"/>
                <w:alias w:val="MR-02-T01-R1-C2"/>
                <w:tag w:val="MR-02-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514"/>
                <w:alias w:val="MR-02-T01-R1-C3"/>
                <w:tag w:val="MR-02-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Pronóstico ex ante fijado</w:t>
            </w:r>
          </w:p>
        </w:tc>
        <w:tc>
          <w:tcPr>
            <w:tcW w:type="dxa" w:w="3572"/>
            <w:vAlign w:val="top"/>
          </w:tcPr>
          <w:p>
            <w:pPr>
              <w:keepNext w:val="0"/>
              <w:spacing w:after="20"/>
            </w:pPr>
            <w:sdt>
              <w:sdtPr>
                <w:id w:val="1515"/>
                <w:alias w:val="MR-02-T01-R2-C2"/>
                <w:tag w:val="MR-02-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516"/>
                <w:alias w:val="MR-02-T01-R2-C3"/>
                <w:tag w:val="MR-02-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Informe ex post / anexo de cálculo</w:t>
            </w:r>
          </w:p>
        </w:tc>
        <w:tc>
          <w:tcPr>
            <w:tcW w:type="dxa" w:w="3572"/>
            <w:vAlign w:val="top"/>
          </w:tcPr>
          <w:p>
            <w:pPr>
              <w:keepNext w:val="0"/>
              <w:spacing w:after="20"/>
            </w:pPr>
            <w:sdt>
              <w:sdtPr>
                <w:id w:val="1517"/>
                <w:alias w:val="MR-02-T01-R3-C2"/>
                <w:tag w:val="MR-02-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518"/>
                <w:alias w:val="MR-02-T01-R3-C3"/>
                <w:tag w:val="MR-02-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Libro de Cuentas Ambientales</w:t>
            </w:r>
          </w:p>
        </w:tc>
        <w:tc>
          <w:tcPr>
            <w:tcW w:type="dxa" w:w="3572"/>
            <w:vAlign w:val="top"/>
          </w:tcPr>
          <w:p>
            <w:pPr>
              <w:keepNext w:val="0"/>
              <w:spacing w:after="20"/>
            </w:pPr>
            <w:sdt>
              <w:sdtPr>
                <w:id w:val="1519"/>
                <w:alias w:val="MR-02-T01-R4-C2"/>
                <w:tag w:val="MR-02-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520"/>
                <w:alias w:val="MR-02-T01-R4-C3"/>
                <w:tag w:val="MR-02-T01-R4-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Perfil FRM-05 y decisiones aplicables</w:t>
            </w:r>
          </w:p>
        </w:tc>
        <w:tc>
          <w:tcPr>
            <w:tcW w:type="dxa" w:w="3572"/>
            <w:vAlign w:val="top"/>
          </w:tcPr>
          <w:p>
            <w:pPr>
              <w:keepNext w:val="0"/>
              <w:spacing w:after="20"/>
            </w:pPr>
            <w:sdt>
              <w:sdtPr>
                <w:id w:val="1521"/>
                <w:alias w:val="MR-02-T01-R5-C2"/>
                <w:tag w:val="MR-02-T01-R5-C2"/>
                <w:text w:multiLine="1"/>
              </w:sdtPr>
              <w:sdtContent>
                <w:r>
                  <w:rPr>
                    <w:rFonts w:ascii="Arial" w:hAnsi="Arial"/>
                    <w:color w:val="62716E"/>
                    <w:sz w:val="18"/>
                  </w:rPr>
                  <w:t>[Completar]</w:t>
                </w:r>
              </w:sdtContent>
            </w:sdt>
          </w:p>
        </w:tc>
        <w:tc>
          <w:tcPr>
            <w:tcW w:type="dxa" w:w="3390"/>
            <w:vAlign w:val="top"/>
          </w:tcPr>
          <w:p>
            <w:pPr>
              <w:keepNext w:val="0"/>
              <w:spacing w:after="20"/>
            </w:pPr>
            <w:sdt>
              <w:sdtPr>
                <w:id w:val="1522"/>
                <w:alias w:val="MR-02-T01-R5-C3"/>
                <w:tag w:val="MR-02-T01-R5-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MR previo, dictamen y decisión</w:t>
            </w:r>
          </w:p>
        </w:tc>
        <w:tc>
          <w:tcPr>
            <w:tcW w:type="dxa" w:w="3572"/>
            <w:vAlign w:val="top"/>
          </w:tcPr>
          <w:p>
            <w:pPr>
              <w:keepNext w:val="0"/>
              <w:spacing w:after="20"/>
            </w:pPr>
            <w:sdt>
              <w:sdtPr>
                <w:id w:val="1523"/>
                <w:alias w:val="MR-02-T01-R6-C2"/>
                <w:tag w:val="MR-02-T01-R6-C2"/>
                <w:text w:multiLine="1"/>
              </w:sdtPr>
              <w:sdtContent>
                <w:r>
                  <w:rPr>
                    <w:rFonts w:ascii="Arial" w:hAnsi="Arial"/>
                    <w:color w:val="62716E"/>
                    <w:sz w:val="18"/>
                  </w:rPr>
                  <w:t>[Completar]</w:t>
                </w:r>
              </w:sdtContent>
            </w:sdt>
          </w:p>
        </w:tc>
        <w:tc>
          <w:tcPr>
            <w:tcW w:type="dxa" w:w="3390"/>
            <w:vAlign w:val="top"/>
          </w:tcPr>
          <w:p>
            <w:pPr>
              <w:keepNext w:val="0"/>
              <w:spacing w:after="20"/>
            </w:pPr>
            <w:sdt>
              <w:sdtPr>
                <w:id w:val="1524"/>
                <w:alias w:val="MR-02-T01-R6-C3"/>
                <w:tag w:val="MR-02-T01-R6-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Conciliación de migración, si aplica</w:t>
            </w:r>
          </w:p>
        </w:tc>
        <w:tc>
          <w:tcPr>
            <w:tcW w:type="dxa" w:w="3572"/>
            <w:vAlign w:val="top"/>
          </w:tcPr>
          <w:p>
            <w:pPr>
              <w:keepNext w:val="0"/>
              <w:spacing w:after="20"/>
            </w:pPr>
            <w:sdt>
              <w:sdtPr>
                <w:id w:val="1525"/>
                <w:alias w:val="MR-02-T01-R7-C2"/>
                <w:tag w:val="MR-02-T01-R7-C2"/>
                <w:text w:multiLine="1"/>
              </w:sdtPr>
              <w:sdtContent>
                <w:r>
                  <w:rPr>
                    <w:rFonts w:ascii="Arial" w:hAnsi="Arial"/>
                    <w:color w:val="62716E"/>
                    <w:sz w:val="18"/>
                  </w:rPr>
                  <w:t>[Completar]</w:t>
                </w:r>
              </w:sdtContent>
            </w:sdt>
          </w:p>
        </w:tc>
        <w:tc>
          <w:tcPr>
            <w:tcW w:type="dxa" w:w="3390"/>
            <w:vAlign w:val="top"/>
          </w:tcPr>
          <w:p>
            <w:pPr>
              <w:keepNext w:val="0"/>
              <w:spacing w:after="20"/>
            </w:pPr>
            <w:sdt>
              <w:sdtPr>
                <w:id w:val="1526"/>
                <w:alias w:val="MR-02-T01-R7-C3"/>
                <w:tag w:val="MR-02-T01-R7-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Identificar lo incorporado por referencia exacta, lo adjunto y lo modificado durante el intervalo. Seleccionar un anexo cuantitativo rector: informe ex post adjunto o copia integrada con alcance equivalente. Los resúmenes de este informe reproducen esa cuenta y no constituyen una segunda cuenta.</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527"/>
                <w:alias w:val="MR-response-7"/>
                <w:tag w:val="MR-response-7"/>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bookmarkStart w:id="280" w:name="MR_03"/>
      <w:pPr>
        <w:pStyle w:val="Heading1"/>
        <w:keepNext/>
        <w:pageBreakBefore/>
      </w:pPr>
      <w:r>
        <w:rPr>
          <w:rFonts w:ascii="Arial" w:hAnsi="Arial" w:eastAsia="Arial" w:cs="Arial"/>
          <w:b w:val="0"/>
          <w:color w:val="215F52"/>
          <w:sz w:val="38"/>
        </w:rPr>
        <w:t>03  Responsables, derechos y acceso</w:t>
      </w:r>
      <w:bookmarkEnd w:id="280"/>
    </w:p>
    <w:p>
      <w:pPr>
        <w:keepNext/>
        <w:spacing w:after="100"/>
      </w:pPr>
      <w:r>
        <w:rPr>
          <w:rFonts w:ascii="Arial" w:hAnsi="Arial" w:eastAsia="Arial" w:cs="Arial"/>
          <w:b w:val="0"/>
          <w:color w:val="62716E"/>
          <w:sz w:val="16"/>
        </w:rPr>
        <w:t>[1] S-04; S-05; S-21; S-22; S-25; S-26; AO-02; AO-03; FRM-07</w:t>
      </w:r>
    </w:p>
    <w:p>
      <w:pPr>
        <w:spacing w:after="100"/>
      </w:pPr>
      <w:r>
        <w:rPr>
          <w:rFonts w:ascii="Arial" w:hAnsi="Arial" w:eastAsia="Arial" w:cs="Arial"/>
          <w:b w:val="0"/>
          <w:color w:val="243A36"/>
          <w:sz w:val="19"/>
        </w:rPr>
        <w:t>Confirmar el proponente, ejecutor, titulares de derechos, responsable técnico NEBIOT y custodios de datos reales para este intervalo. El monitoreo técnico no convierte a NEBIOT en propietario o ejecutor. Registrar intereses excepcionales NEBIOT y controles S-26 aplicables.</w:t>
      </w:r>
    </w:p>
    <w:p>
      <w:pPr>
        <w:keepNext/>
        <w:spacing w:after="100"/>
      </w:pPr>
      <w:r>
        <w:rPr>
          <w:rFonts w:ascii="Arial" w:hAnsi="Arial" w:eastAsia="Arial" w:cs="Arial"/>
          <w:b/>
          <w:color w:val="215F52"/>
          <w:sz w:val="20"/>
        </w:rPr>
        <w:t>MR-03-T01 / Responsabilidades durante el intervalo</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Rol / entidad</w:t>
            </w:r>
          </w:p>
        </w:tc>
        <w:tc>
          <w:tcPr>
            <w:tcW w:type="dxa" w:w="3572"/>
            <w:vAlign w:val="center"/>
            <w:shd w:fill="F1F5F2"/>
          </w:tcPr>
          <w:p>
            <w:pPr>
              <w:keepNext/>
              <w:spacing w:after="20"/>
            </w:pPr>
            <w:r>
              <w:rPr>
                <w:rFonts w:ascii="Arial" w:hAnsi="Arial" w:eastAsia="Arial" w:cs="Arial"/>
                <w:b/>
                <w:color w:val="215F52"/>
                <w:sz w:val="17"/>
              </w:rPr>
              <w:t>Mandato, tarea y responsable</w:t>
            </w:r>
          </w:p>
        </w:tc>
        <w:tc>
          <w:tcPr>
            <w:tcW w:type="dxa" w:w="3390"/>
            <w:vAlign w:val="center"/>
            <w:shd w:fill="F1F5F2"/>
          </w:tcPr>
          <w:p>
            <w:pPr>
              <w:keepNext/>
              <w:spacing w:after="20"/>
            </w:pPr>
            <w:r>
              <w:rPr>
                <w:rFonts w:ascii="Arial" w:hAnsi="Arial" w:eastAsia="Arial" w:cs="Arial"/>
                <w:b/>
                <w:color w:val="215F52"/>
                <w:sz w:val="17"/>
              </w:rPr>
              <w:t>Evidencia, vigencia y conflictos</w:t>
            </w:r>
          </w:p>
        </w:tc>
      </w:tr>
      <w:tr>
        <w:trPr>
          <w:trHeight w:val="442" w:hRule="atLeast"/>
        </w:trPr>
        <w:tc>
          <w:tcPr>
            <w:tcW w:type="dxa" w:w="2778"/>
            <w:vAlign w:val="top"/>
          </w:tcPr>
          <w:p>
            <w:pPr>
              <w:keepNext w:val="0"/>
              <w:spacing w:after="20"/>
            </w:pPr>
            <w:r>
              <w:rPr>
                <w:rFonts w:ascii="Arial" w:hAnsi="Arial" w:eastAsia="Arial" w:cs="Arial"/>
                <w:b w:val="0"/>
                <w:color w:val="243A36"/>
                <w:sz w:val="17"/>
              </w:rPr>
              <w:t>Proponente / ejecutor</w:t>
            </w:r>
          </w:p>
        </w:tc>
        <w:tc>
          <w:tcPr>
            <w:tcW w:type="dxa" w:w="3572"/>
            <w:vAlign w:val="top"/>
          </w:tcPr>
          <w:p>
            <w:pPr>
              <w:keepNext w:val="0"/>
              <w:spacing w:after="20"/>
            </w:pPr>
            <w:sdt>
              <w:sdtPr>
                <w:id w:val="1528"/>
                <w:alias w:val="MR-03-T01-R1-C2"/>
                <w:tag w:val="MR-03-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529"/>
                <w:alias w:val="MR-03-T01-R1-C3"/>
                <w:tag w:val="MR-03-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Titulares de derechos / representantes</w:t>
            </w:r>
          </w:p>
        </w:tc>
        <w:tc>
          <w:tcPr>
            <w:tcW w:type="dxa" w:w="3572"/>
            <w:vAlign w:val="top"/>
          </w:tcPr>
          <w:p>
            <w:pPr>
              <w:keepNext w:val="0"/>
              <w:spacing w:after="20"/>
            </w:pPr>
            <w:sdt>
              <w:sdtPr>
                <w:id w:val="1530"/>
                <w:alias w:val="MR-03-T01-R2-C2"/>
                <w:tag w:val="MR-03-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531"/>
                <w:alias w:val="MR-03-T01-R2-C3"/>
                <w:tag w:val="MR-03-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Servicios técnicos NEBIOT</w:t>
            </w:r>
          </w:p>
        </w:tc>
        <w:tc>
          <w:tcPr>
            <w:tcW w:type="dxa" w:w="3572"/>
            <w:vAlign w:val="top"/>
          </w:tcPr>
          <w:p>
            <w:pPr>
              <w:keepNext w:val="0"/>
              <w:spacing w:after="20"/>
            </w:pPr>
            <w:sdt>
              <w:sdtPr>
                <w:id w:val="1532"/>
                <w:alias w:val="MR-03-T01-R3-C2"/>
                <w:tag w:val="MR-03-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533"/>
                <w:alias w:val="MR-03-T01-R3-C3"/>
                <w:tag w:val="MR-03-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Campo / laboratorio / custodia de datos</w:t>
            </w:r>
          </w:p>
        </w:tc>
        <w:tc>
          <w:tcPr>
            <w:tcW w:type="dxa" w:w="3572"/>
            <w:vAlign w:val="top"/>
          </w:tcPr>
          <w:p>
            <w:pPr>
              <w:keepNext w:val="0"/>
              <w:spacing w:after="20"/>
            </w:pPr>
            <w:sdt>
              <w:sdtPr>
                <w:id w:val="1534"/>
                <w:alias w:val="MR-03-T01-R4-C2"/>
                <w:tag w:val="MR-03-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535"/>
                <w:alias w:val="MR-03-T01-R4-C3"/>
                <w:tag w:val="MR-03-T01-R4-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Revisor interno / enlace OVV</w:t>
            </w:r>
          </w:p>
        </w:tc>
        <w:tc>
          <w:tcPr>
            <w:tcW w:type="dxa" w:w="3572"/>
            <w:vAlign w:val="top"/>
          </w:tcPr>
          <w:p>
            <w:pPr>
              <w:keepNext w:val="0"/>
              <w:spacing w:after="20"/>
            </w:pPr>
            <w:sdt>
              <w:sdtPr>
                <w:id w:val="1536"/>
                <w:alias w:val="MR-03-T01-R5-C2"/>
                <w:tag w:val="MR-03-T01-R5-C2"/>
                <w:text w:multiLine="1"/>
              </w:sdtPr>
              <w:sdtContent>
                <w:r>
                  <w:rPr>
                    <w:rFonts w:ascii="Arial" w:hAnsi="Arial"/>
                    <w:color w:val="62716E"/>
                    <w:sz w:val="18"/>
                  </w:rPr>
                  <w:t>[Completar]</w:t>
                </w:r>
              </w:sdtContent>
            </w:sdt>
          </w:p>
        </w:tc>
        <w:tc>
          <w:tcPr>
            <w:tcW w:type="dxa" w:w="3390"/>
            <w:vAlign w:val="top"/>
          </w:tcPr>
          <w:p>
            <w:pPr>
              <w:keepNext w:val="0"/>
              <w:spacing w:after="20"/>
            </w:pPr>
            <w:sdt>
              <w:sdtPr>
                <w:id w:val="1537"/>
                <w:alias w:val="MR-03-T01-R5-C3"/>
                <w:tag w:val="MR-03-T01-R5-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Registrar cambios de tenencia, mandatos, facultad de ejecución, permiso de uso de datos, consentimiento, acceso y obligaciones continuas. Citar evidencia y vigencia; identificar restricciones pendientes y alcance afectado. Conservar datos personales restringidos en anexos controlados.</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538"/>
                <w:alias w:val="MR-response-9"/>
                <w:tag w:val="MR-response-9"/>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bookmarkStart w:id="287" w:name="MR_04"/>
      <w:pPr>
        <w:pStyle w:val="Heading1"/>
        <w:keepNext/>
        <w:pageBreakBefore/>
      </w:pPr>
      <w:r>
        <w:rPr>
          <w:rFonts w:ascii="Arial" w:hAnsi="Arial" w:eastAsia="Arial" w:cs="Arial"/>
          <w:b w:val="0"/>
          <w:color w:val="215F52"/>
          <w:sz w:val="38"/>
        </w:rPr>
        <w:t>04  Implementación frente al PD</w:t>
      </w:r>
      <w:bookmarkEnd w:id="287"/>
    </w:p>
    <w:p>
      <w:pPr>
        <w:keepNext/>
        <w:spacing w:after="100"/>
      </w:pPr>
      <w:r>
        <w:rPr>
          <w:rFonts w:ascii="Arial" w:hAnsi="Arial" w:eastAsia="Arial" w:cs="Arial"/>
          <w:b w:val="0"/>
          <w:color w:val="62716E"/>
          <w:sz w:val="16"/>
        </w:rPr>
        <w:t>[1] CYC-05; S-25; P-02; AO-06; AO-07; AO-08</w:t>
      </w:r>
    </w:p>
    <w:p>
      <w:pPr>
        <w:spacing w:after="100"/>
      </w:pPr>
      <w:r>
        <w:rPr>
          <w:rFonts w:ascii="Arial" w:hAnsi="Arial" w:eastAsia="Arial" w:cs="Arial"/>
          <w:b w:val="0"/>
          <w:color w:val="243A36"/>
          <w:sz w:val="19"/>
        </w:rPr>
        <w:t>Reportar lo que el ejecutor realizó efectivamente en el intervalo frente al programa del PD. Distinguir ejecución de intervenciones, respuestas intermedias y resultados ambientales. El gasto, la capacitación o una actividad terminada no cuantifican por sí mismos mitigación.</w:t>
      </w:r>
    </w:p>
    <w:p>
      <w:pPr>
        <w:keepNext/>
        <w:spacing w:after="100"/>
      </w:pPr>
      <w:r>
        <w:rPr>
          <w:rFonts w:ascii="Arial" w:hAnsi="Arial" w:eastAsia="Arial" w:cs="Arial"/>
          <w:b/>
          <w:color w:val="215F52"/>
          <w:sz w:val="20"/>
        </w:rPr>
        <w:t>MR-04-T01 / Matriz de compromisos y evidencia</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Actividad / indicador del PD y período meta</w:t>
            </w:r>
          </w:p>
        </w:tc>
        <w:tc>
          <w:tcPr>
            <w:tcW w:type="dxa" w:w="3572"/>
            <w:vAlign w:val="center"/>
            <w:shd w:fill="F1F5F2"/>
          </w:tcPr>
          <w:p>
            <w:pPr>
              <w:keepNext/>
              <w:spacing w:after="20"/>
            </w:pPr>
            <w:r>
              <w:rPr>
                <w:rFonts w:ascii="Arial" w:hAnsi="Arial" w:eastAsia="Arial" w:cs="Arial"/>
                <w:b/>
                <w:color w:val="215F52"/>
                <w:sz w:val="17"/>
              </w:rPr>
              <w:t>Ejecución real, fechas y ejecutor</w:t>
            </w:r>
          </w:p>
        </w:tc>
        <w:tc>
          <w:tcPr>
            <w:tcW w:type="dxa" w:w="3390"/>
            <w:vAlign w:val="center"/>
            <w:shd w:fill="F1F5F2"/>
          </w:tcPr>
          <w:p>
            <w:pPr>
              <w:keepNext/>
              <w:spacing w:after="20"/>
            </w:pPr>
            <w:r>
              <w:rPr>
                <w:rFonts w:ascii="Arial" w:hAnsi="Arial" w:eastAsia="Arial" w:cs="Arial"/>
                <w:b/>
                <w:color w:val="215F52"/>
                <w:sz w:val="17"/>
              </w:rPr>
              <w:t>Evidencia, desviación y respuesta</w:t>
            </w:r>
          </w:p>
        </w:tc>
      </w:tr>
      <w:tr>
        <w:trPr>
          <w:trHeight w:val="442" w:hRule="atLeast"/>
        </w:trPr>
        <w:tc>
          <w:tcPr>
            <w:tcW w:type="dxa" w:w="2778"/>
            <w:vAlign w:val="top"/>
          </w:tcPr>
          <w:p>
            <w:pPr>
              <w:keepNext w:val="0"/>
              <w:spacing w:after="20"/>
            </w:pPr>
            <w:sdt>
              <w:sdtPr>
                <w:id w:val="1539"/>
                <w:alias w:val="MR-04-T01-R1-C1"/>
                <w:tag w:val="MR-04-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540"/>
                <w:alias w:val="MR-04-T01-R1-C2"/>
                <w:tag w:val="MR-04-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541"/>
                <w:alias w:val="MR-04-T01-R1-C3"/>
                <w:tag w:val="MR-04-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542"/>
                <w:alias w:val="MR-04-T01-R2-C1"/>
                <w:tag w:val="MR-04-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543"/>
                <w:alias w:val="MR-04-T01-R2-C2"/>
                <w:tag w:val="MR-04-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544"/>
                <w:alias w:val="MR-04-T01-R2-C3"/>
                <w:tag w:val="MR-04-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545"/>
                <w:alias w:val="MR-04-T01-R3-C1"/>
                <w:tag w:val="MR-04-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546"/>
                <w:alias w:val="MR-04-T01-R3-C2"/>
                <w:tag w:val="MR-04-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547"/>
                <w:alias w:val="MR-04-T01-R3-C3"/>
                <w:tag w:val="MR-04-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548"/>
                <w:alias w:val="MR-04-T01-R4-C1"/>
                <w:tag w:val="MR-04-T01-R4-C1"/>
                <w:text w:multiLine="1"/>
              </w:sdtPr>
              <w:sdtContent>
                <w:r>
                  <w:rPr>
                    <w:rFonts w:ascii="Arial" w:hAnsi="Arial"/>
                    <w:color w:val="62716E"/>
                    <w:sz w:val="18"/>
                  </w:rPr>
                  <w:t>[Completar]</w:t>
                </w:r>
              </w:sdtContent>
            </w:sdt>
          </w:p>
        </w:tc>
        <w:tc>
          <w:tcPr>
            <w:tcW w:type="dxa" w:w="3572"/>
            <w:vAlign w:val="top"/>
          </w:tcPr>
          <w:p>
            <w:pPr>
              <w:keepNext w:val="0"/>
              <w:spacing w:after="20"/>
            </w:pPr>
            <w:sdt>
              <w:sdtPr>
                <w:id w:val="1549"/>
                <w:alias w:val="MR-04-T01-R4-C2"/>
                <w:tag w:val="MR-04-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550"/>
                <w:alias w:val="MR-04-T01-R4-C3"/>
                <w:tag w:val="MR-04-T01-R4-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Explicar retrasos, no ejecución, mantenimiento y restricciones de capacidad, seguridad, acceso y recursos. Vincular desviaciones materiales con la cuenta, evaluación de adicionalidad y acciones correctivas; conservar evidencia favorable y adversa.</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551"/>
                <w:alias w:val="MR-response-11"/>
                <w:tag w:val="MR-response-11"/>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pPr>
        <w:keepNext/>
        <w:spacing w:after="100"/>
      </w:pPr>
      <w:r>
        <w:rPr>
          <w:rFonts w:ascii="Arial" w:hAnsi="Arial" w:eastAsia="Arial" w:cs="Arial"/>
          <w:b/>
          <w:color w:val="215F52"/>
          <w:sz w:val="20"/>
        </w:rPr>
        <w:t>MR-04-T02 / Definiciones de registros de desempeño</w:t>
      </w:r>
    </w:p>
    <w:p>
      <w:pPr>
        <w:keepNext/>
        <w:spacing w:after="100"/>
      </w:pPr>
      <w:r>
        <w:rPr>
          <w:rFonts w:ascii="Arial" w:hAnsi="Arial" w:eastAsia="Arial" w:cs="Arial"/>
          <w:b/>
          <w:color w:val="215F52"/>
          <w:sz w:val="17"/>
        </w:rPr>
        <w:t>MR-04-T02 / Notación de cálculo</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es la observación, entrada o salida identificada; u_l es su unidad declarada. Registrar ecuación exacta, archivo, hoja, celda/rango, período y estado. Esta notación no prescribe un estimador.</w:t>
      </w:r>
    </w:p>
    <w:p>
      <w:pPr>
        <w:keepNext/>
        <w:spacing w:after="80"/>
      </w:pPr>
      <w:r>
        <w:rPr>
          <w:rFonts w:ascii="Arial" w:hAnsi="Arial" w:eastAsia="Arial" w:cs="Arial"/>
          <w:b w:val="0"/>
          <w:color w:val="62716E"/>
          <w:sz w:val="16"/>
        </w:rPr>
        <w:t>Base: F-01; T-01. Ubicación del cálculo: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Indicador / símbolo / unidad</w:t>
            </w:r>
          </w:p>
        </w:tc>
        <w:tc>
          <w:tcPr>
            <w:tcW w:type="dxa" w:w="3572"/>
            <w:vAlign w:val="center"/>
            <w:shd w:fill="F1F5F2"/>
          </w:tcPr>
          <w:p>
            <w:pPr>
              <w:keepNext/>
              <w:spacing w:after="20"/>
            </w:pPr>
            <w:r>
              <w:rPr>
                <w:rFonts w:ascii="Arial" w:hAnsi="Arial" w:eastAsia="Arial" w:cs="Arial"/>
                <w:b/>
                <w:color w:val="215F52"/>
                <w:sz w:val="17"/>
              </w:rPr>
              <w:t>Valor previsto, observado e intervalo</w:t>
            </w:r>
          </w:p>
        </w:tc>
        <w:tc>
          <w:tcPr>
            <w:tcW w:type="dxa" w:w="3390"/>
            <w:vAlign w:val="center"/>
            <w:shd w:fill="F1F5F2"/>
          </w:tcPr>
          <w:p>
            <w:pPr>
              <w:keepNext/>
              <w:spacing w:after="20"/>
            </w:pPr>
            <w:r>
              <w:rPr>
                <w:rFonts w:ascii="Arial" w:hAnsi="Arial" w:eastAsia="Arial" w:cs="Arial"/>
                <w:b/>
                <w:color w:val="215F52"/>
                <w:sz w:val="17"/>
              </w:rPr>
              <w:t>Método de conteo o cálculo / evidencia</w:t>
            </w:r>
          </w:p>
        </w:tc>
      </w:tr>
      <w:tr>
        <w:trPr>
          <w:trHeight w:val="442" w:hRule="atLeast"/>
        </w:trPr>
        <w:tc>
          <w:tcPr>
            <w:tcW w:type="dxa" w:w="2778"/>
            <w:vAlign w:val="top"/>
          </w:tcPr>
          <w:p>
            <w:pPr>
              <w:keepNext w:val="0"/>
              <w:spacing w:after="20"/>
            </w:pPr>
            <w:sdt>
              <w:sdtPr>
                <w:id w:val="1552"/>
                <w:alias w:val="MR-04-T02-R1-C1"/>
                <w:tag w:val="MR-04-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553"/>
                <w:alias w:val="MR-04-T02-R1-C2"/>
                <w:tag w:val="MR-04-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554"/>
                <w:alias w:val="MR-04-T02-R1-C3"/>
                <w:tag w:val="MR-04-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555"/>
                <w:alias w:val="MR-04-T02-R2-C1"/>
                <w:tag w:val="MR-04-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556"/>
                <w:alias w:val="MR-04-T02-R2-C2"/>
                <w:tag w:val="MR-04-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557"/>
                <w:alias w:val="MR-04-T02-R2-C3"/>
                <w:tag w:val="MR-04-T02-R2-C3"/>
                <w:text w:multiLine="1"/>
              </w:sdtPr>
              <w:sdtContent>
                <w:r>
                  <w:rPr>
                    <w:rFonts w:ascii="Arial" w:hAnsi="Arial"/>
                    <w:color w:val="62716E"/>
                    <w:sz w:val="18"/>
                  </w:rPr>
                  <w:t>[Completar]</w:t>
                </w:r>
              </w:sdtContent>
            </w:sdt>
          </w:p>
        </w:tc>
      </w:tr>
    </w:tbl>
    <w:p>
      <w:pPr>
        <w:spacing w:after="20" w:before="0" w:line="40" w:lineRule="exact"/>
      </w:pPr>
      <w:r>
        <w:rPr>
          <w:sz w:val="4"/>
        </w:rPr>
      </w:r>
    </w:p>
    <w:p>
      <w:bookmarkStart w:id="300" w:name="MR_05"/>
      <w:pPr>
        <w:pStyle w:val="Heading1"/>
        <w:keepNext/>
        <w:pageBreakBefore/>
      </w:pPr>
      <w:r>
        <w:rPr>
          <w:rFonts w:ascii="Arial" w:hAnsi="Arial" w:eastAsia="Arial" w:cs="Arial"/>
          <w:b w:val="0"/>
          <w:color w:val="215F52"/>
          <w:sz w:val="38"/>
        </w:rPr>
        <w:t>05  Plan de monitoreo: previsto frente a ejecutado</w:t>
      </w:r>
      <w:bookmarkEnd w:id="300"/>
    </w:p>
    <w:p>
      <w:pPr>
        <w:keepNext/>
        <w:spacing w:after="100"/>
      </w:pPr>
      <w:r>
        <w:rPr>
          <w:rFonts w:ascii="Arial" w:hAnsi="Arial" w:eastAsia="Arial" w:cs="Arial"/>
          <w:b w:val="0"/>
          <w:color w:val="62716E"/>
          <w:sz w:val="16"/>
        </w:rPr>
        <w:t>[1] P-02; P-03; P-04; T-01; FRM-02</w:t>
      </w:r>
    </w:p>
    <w:p>
      <w:pPr>
        <w:spacing w:after="100"/>
      </w:pPr>
      <w:r>
        <w:rPr>
          <w:rFonts w:ascii="Arial" w:hAnsi="Arial" w:eastAsia="Arial" w:cs="Arial"/>
          <w:b w:val="0"/>
          <w:color w:val="243A36"/>
          <w:sz w:val="19"/>
        </w:rPr>
        <w:t>Completar un registro vinculado para cada variable de monitoreo exigida por el PD y módulos aplicables, incluidos indicadores sociales y ecosistémicos. Registrar fechas y métodos reales, no solo repetir la frecuencia prevista.</w:t>
      </w:r>
    </w:p>
    <w:p>
      <w:pPr>
        <w:keepNext/>
        <w:spacing w:after="100"/>
      </w:pPr>
      <w:r>
        <w:rPr>
          <w:rFonts w:ascii="Arial" w:hAnsi="Arial" w:eastAsia="Arial" w:cs="Arial"/>
          <w:b/>
          <w:color w:val="215F52"/>
          <w:sz w:val="20"/>
        </w:rPr>
        <w:t>MR-05-T01 / Variable y protocolo previsto</w:t>
      </w:r>
    </w:p>
    <w:p>
      <w:pPr>
        <w:keepNext/>
        <w:spacing w:after="100"/>
      </w:pPr>
      <w:r>
        <w:rPr>
          <w:rFonts w:ascii="Arial" w:hAnsi="Arial" w:eastAsia="Arial" w:cs="Arial"/>
          <w:b/>
          <w:color w:val="215F52"/>
          <w:sz w:val="17"/>
        </w:rPr>
        <w:t>MR-05-T01 / Notación de cálculo</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es la observación, entrada o salida identificada; u_l es su unidad declarada. Registrar ecuación exacta, archivo, hoja, celda/rango, período y estado. Esta notación no prescribe un estimador.</w:t>
      </w:r>
    </w:p>
    <w:p>
      <w:pPr>
        <w:keepNext/>
        <w:spacing w:after="80"/>
      </w:pPr>
      <w:r>
        <w:rPr>
          <w:rFonts w:ascii="Arial" w:hAnsi="Arial" w:eastAsia="Arial" w:cs="Arial"/>
          <w:b w:val="0"/>
          <w:color w:val="62716E"/>
          <w:sz w:val="16"/>
        </w:rPr>
        <w:t>Base: F-01; T-01. Ubicación del cálculo: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Variable / símbolo / unidad y soporte</w:t>
            </w:r>
          </w:p>
        </w:tc>
        <w:tc>
          <w:tcPr>
            <w:tcW w:type="dxa" w:w="3572"/>
            <w:vAlign w:val="center"/>
            <w:shd w:fill="F1F5F2"/>
          </w:tcPr>
          <w:p>
            <w:pPr>
              <w:keepNext/>
              <w:spacing w:after="20"/>
            </w:pPr>
            <w:r>
              <w:rPr>
                <w:rFonts w:ascii="Arial" w:hAnsi="Arial" w:eastAsia="Arial" w:cs="Arial"/>
                <w:b/>
                <w:color w:val="215F52"/>
                <w:sz w:val="17"/>
              </w:rPr>
              <w:t>Método PD, frecuencia y criterio de aceptación</w:t>
            </w:r>
          </w:p>
        </w:tc>
        <w:tc>
          <w:tcPr>
            <w:tcW w:type="dxa" w:w="3390"/>
            <w:vAlign w:val="center"/>
            <w:shd w:fill="F1F5F2"/>
          </w:tcPr>
          <w:p>
            <w:pPr>
              <w:keepNext/>
              <w:spacing w:after="20"/>
            </w:pPr>
            <w:r>
              <w:rPr>
                <w:rFonts w:ascii="Arial" w:hAnsi="Arial" w:eastAsia="Arial" w:cs="Arial"/>
                <w:b/>
                <w:color w:val="215F52"/>
                <w:sz w:val="17"/>
              </w:rPr>
              <w:t>Responsable, calibración y ecuación de salida</w:t>
            </w:r>
          </w:p>
        </w:tc>
      </w:tr>
      <w:tr>
        <w:trPr>
          <w:trHeight w:val="442" w:hRule="atLeast"/>
        </w:trPr>
        <w:tc>
          <w:tcPr>
            <w:tcW w:type="dxa" w:w="2778"/>
            <w:vAlign w:val="top"/>
          </w:tcPr>
          <w:p>
            <w:pPr>
              <w:keepNext w:val="0"/>
              <w:spacing w:after="20"/>
            </w:pPr>
            <w:sdt>
              <w:sdtPr>
                <w:id w:val="1558"/>
                <w:alias w:val="MR-05-T01-R1-C1"/>
                <w:tag w:val="MR-05-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559"/>
                <w:alias w:val="MR-05-T01-R1-C2"/>
                <w:tag w:val="MR-05-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560"/>
                <w:alias w:val="MR-05-T01-R1-C3"/>
                <w:tag w:val="MR-05-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561"/>
                <w:alias w:val="MR-05-T01-R2-C1"/>
                <w:tag w:val="MR-05-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562"/>
                <w:alias w:val="MR-05-T01-R2-C2"/>
                <w:tag w:val="MR-05-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563"/>
                <w:alias w:val="MR-05-T01-R2-C3"/>
                <w:tag w:val="MR-05-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564"/>
                <w:alias w:val="MR-05-T01-R3-C1"/>
                <w:tag w:val="MR-05-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565"/>
                <w:alias w:val="MR-05-T01-R3-C2"/>
                <w:tag w:val="MR-05-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566"/>
                <w:alias w:val="MR-05-T01-R3-C3"/>
                <w:tag w:val="MR-05-T01-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MR-05-T02 / Continuación de ejecución y evidencia</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Misma variable / ID de registro</w:t>
            </w:r>
          </w:p>
        </w:tc>
        <w:tc>
          <w:tcPr>
            <w:tcW w:type="dxa" w:w="3572"/>
            <w:vAlign w:val="center"/>
            <w:shd w:fill="F1F5F2"/>
          </w:tcPr>
          <w:p>
            <w:pPr>
              <w:keepNext/>
              <w:spacing w:after="20"/>
            </w:pPr>
            <w:r>
              <w:rPr>
                <w:rFonts w:ascii="Arial" w:hAnsi="Arial" w:eastAsia="Arial" w:cs="Arial"/>
                <w:b/>
                <w:color w:val="215F52"/>
                <w:sz w:val="17"/>
              </w:rPr>
              <w:t>Fechas, método y cobertura observada reales</w:t>
            </w:r>
          </w:p>
        </w:tc>
        <w:tc>
          <w:tcPr>
            <w:tcW w:type="dxa" w:w="3390"/>
            <w:vAlign w:val="center"/>
            <w:shd w:fill="F1F5F2"/>
          </w:tcPr>
          <w:p>
            <w:pPr>
              <w:keepNext/>
              <w:spacing w:after="20"/>
            </w:pPr>
            <w:r>
              <w:rPr>
                <w:rFonts w:ascii="Arial" w:hAnsi="Arial" w:eastAsia="Arial" w:cs="Arial"/>
                <w:b/>
                <w:color w:val="215F52"/>
                <w:sz w:val="17"/>
              </w:rPr>
              <w:t>Registro original, resultado de calidad e ID de desviación</w:t>
            </w:r>
          </w:p>
        </w:tc>
      </w:tr>
      <w:tr>
        <w:trPr>
          <w:trHeight w:val="442" w:hRule="atLeast"/>
        </w:trPr>
        <w:tc>
          <w:tcPr>
            <w:tcW w:type="dxa" w:w="2778"/>
            <w:vAlign w:val="top"/>
          </w:tcPr>
          <w:p>
            <w:pPr>
              <w:keepNext w:val="0"/>
              <w:spacing w:after="20"/>
            </w:pPr>
            <w:sdt>
              <w:sdtPr>
                <w:id w:val="1567"/>
                <w:alias w:val="MR-05-T02-R1-C1"/>
                <w:tag w:val="MR-05-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568"/>
                <w:alias w:val="MR-05-T02-R1-C2"/>
                <w:tag w:val="MR-05-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569"/>
                <w:alias w:val="MR-05-T02-R1-C3"/>
                <w:tag w:val="MR-05-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570"/>
                <w:alias w:val="MR-05-T02-R2-C1"/>
                <w:tag w:val="MR-05-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571"/>
                <w:alias w:val="MR-05-T02-R2-C2"/>
                <w:tag w:val="MR-05-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572"/>
                <w:alias w:val="MR-05-T02-R2-C3"/>
                <w:tag w:val="MR-05-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573"/>
                <w:alias w:val="MR-05-T02-R3-C1"/>
                <w:tag w:val="MR-05-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574"/>
                <w:alias w:val="MR-05-T02-R3-C2"/>
                <w:tag w:val="MR-05-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575"/>
                <w:alias w:val="MR-05-T02-R3-C3"/>
                <w:tag w:val="MR-05-T02-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Explicar campañas omitidas, cobertura incompleta y variables no medidas. Indicar sustitución aprobada o estado pendiente y consecuencia para el resultado afectado. Un campo vacío no es una observación nula.</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576"/>
                <w:alias w:val="MR-response-15"/>
                <w:tag w:val="MR-response-15"/>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bookmarkStart w:id="313" w:name="MR_06"/>
      <w:pPr>
        <w:pStyle w:val="Heading1"/>
        <w:keepNext/>
        <w:pageBreakBefore/>
      </w:pPr>
      <w:r>
        <w:rPr>
          <w:rFonts w:ascii="Arial" w:hAnsi="Arial" w:eastAsia="Arial" w:cs="Arial"/>
          <w:b w:val="0"/>
          <w:color w:val="215F52"/>
          <w:sz w:val="38"/>
        </w:rPr>
        <w:t>06  Alcance espacial y mapas de monitoreo</w:t>
      </w:r>
      <w:bookmarkEnd w:id="313"/>
    </w:p>
    <w:p>
      <w:pPr>
        <w:keepNext/>
        <w:spacing w:after="100"/>
      </w:pPr>
      <w:r>
        <w:rPr>
          <w:rFonts w:ascii="Arial" w:hAnsi="Arial" w:eastAsia="Arial" w:cs="Arial"/>
          <w:b w:val="0"/>
          <w:color w:val="62716E"/>
          <w:sz w:val="16"/>
        </w:rPr>
        <w:t>[1] S-03; S-06; AO-09; P-04; MIG-13; MIG-14; FRM-04/M</w:t>
      </w:r>
    </w:p>
    <w:p>
      <w:pPr>
        <w:spacing w:after="100"/>
      </w:pPr>
      <w:r>
        <w:rPr>
          <w:rFonts w:ascii="Arial" w:hAnsi="Arial" w:eastAsia="Arial" w:cs="Arial"/>
          <w:b w:val="0"/>
          <w:color w:val="243A36"/>
          <w:sz w:val="19"/>
        </w:rPr>
        <w:t>Identificar por separado límite del proyecto, estratos contables, dominio de referencia, área de evaluación de fugas y soporte real de cada resultado. Incluir fechas de observación, versión del mapa, sistema de coordenadas, leyenda y restricciones de divulgación.</w:t>
      </w:r>
    </w:p>
    <w:p>
      <w:pPr>
        <w:spacing w:after="100"/>
      </w:pPr>
      <w:r>
        <w:rPr>
          <w:rFonts w:ascii="Arial" w:hAnsi="Arial" w:eastAsia="Arial" w:cs="Arial"/>
          <w:b/>
          <w:color w:val="215F52"/>
          <w:sz w:val="21"/>
        </w:rPr>
        <w:t>Mapa de monitoreo y referencia espacial versionada</w:t>
      </w:r>
    </w:p>
    <w:tbl>
      <w:tblPr>
        <w:tblW w:type="auto" w:w="0"/>
        <w:tblLook w:firstColumn="1" w:firstRow="1" w:lastColumn="0" w:lastRow="0" w:noHBand="0" w:noVBand="1" w:val="04A0"/>
      </w:tblPr>
      <w:tblGrid>
        <w:gridCol w:w="9746"/>
      </w:tblGrid>
      <w:tr>
        <w:trPr>
          <w:trHeight w:val="1928" w:hRule="atLeast"/>
        </w:trPr>
        <w:tc>
          <w:tcPr>
            <w:tcW w:type="dxa" w:w="9746"/>
            <w:vAlign w:val="center"/>
            <w:shd w:fill="F1F5F2"/>
          </w:tcPr>
          <w:p>
            <w:pPr>
              <w:jc w:val="center"/>
            </w:pPr>
            <w:sdt>
              <w:sdtPr>
                <w:id w:val="1577"/>
                <w:alias w:val="MR-MAP"/>
                <w:tag w:val="MR-MAP"/>
                <w:text w:multiLine="1"/>
              </w:sdtPr>
              <w:sdtContent>
                <w:r>
                  <w:rPr>
                    <w:rFonts w:ascii="Arial" w:hAnsi="Arial"/>
                    <w:color w:val="62716E"/>
                    <w:sz w:val="18"/>
                  </w:rPr>
                  <w:t>[INSERTAR MAPA DE MONITOREO]</w:t>
                </w:r>
              </w:sdtContent>
            </w:sdt>
          </w:p>
        </w:tc>
      </w:tr>
    </w:tbl>
    <w:p>
      <w:pPr>
        <w:spacing w:after="100"/>
      </w:pPr>
      <w:r>
        <w:rPr>
          <w:rFonts w:ascii="Arial" w:hAnsi="Arial" w:eastAsia="Arial" w:cs="Arial"/>
          <w:b w:val="0"/>
          <w:color w:val="62716E"/>
          <w:sz w:val="17"/>
        </w:rPr>
        <w:t>ID de mapa / fecha de observación / versión del límite / fuente / leyenda / anexo de acceso autorizado.</w:t>
      </w:r>
    </w:p>
    <w:p>
      <w:pPr>
        <w:keepNext/>
        <w:spacing w:after="100"/>
      </w:pPr>
      <w:r>
        <w:rPr>
          <w:rFonts w:ascii="Arial" w:hAnsi="Arial" w:eastAsia="Arial" w:cs="Arial"/>
          <w:b/>
          <w:color w:val="215F52"/>
          <w:sz w:val="20"/>
        </w:rPr>
        <w:t>MR-06-T01 / Registro de entradas espaciales y límites</w:t>
      </w:r>
    </w:p>
    <w:p>
      <w:pPr>
        <w:keepNext/>
        <w:spacing w:after="100"/>
      </w:pPr>
      <w:r>
        <w:rPr>
          <w:rFonts w:ascii="Arial" w:hAnsi="Arial" w:eastAsia="Arial" w:cs="Arial"/>
          <w:b/>
          <w:color w:val="215F52"/>
          <w:sz w:val="17"/>
        </w:rPr>
        <w:t>MR-06-T01 / Notación de cálculo</w:t>
      </w:r>
    </w:p>
    <w:p>
      <w:pPr>
        <w:keepNext/>
        <w:spacing w:after="60" w:before="20"/>
        <w:jc w:val="center"/>
      </w:pPr>
      <m:oMath>
        <m:sSub>
          <m:e>
            <m:r>
              <w:rPr>
                <w:sz w:val="20"/>
                <w:rFonts w:ascii="Cambria Math" w:hAnsi="Cambria Math"/>
              </w:rPr>
              <m:t>A</m:t>
            </m:r>
          </m:e>
          <m:sub>
            <m:r>
              <w:rPr>
                <w:sz w:val="20"/>
                <w:rFonts w:ascii="Cambria Math" w:hAnsi="Cambria Math"/>
              </w:rPr>
              <m:t>i</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f>
          <m:fPr>
            <m:type m:val="bar"/>
          </m:fPr>
          <m:num>
            <m:sSub>
              <m:e>
                <m:r>
                  <w:rPr>
                    <w:sz w:val="20"/>
                    <w:rFonts w:ascii="Cambria Math" w:hAnsi="Cambria Math"/>
                  </w:rPr>
                  <m:t>n</m:t>
                </m:r>
              </m:e>
              <m:sub>
                <m:r>
                  <w:rPr>
                    <w:sz w:val="20"/>
                    <w:rFonts w:ascii="Cambria Math" w:hAnsi="Cambria Math"/>
                  </w:rPr>
                  <m:t>i</m:t>
                </m:r>
                <m:r>
                  <w:rPr>
                    <w:sz w:val="20"/>
                    <w:rFonts w:ascii="Cambria Math" w:hAnsi="Cambria Math"/>
                  </w:rPr>
                  <m:rPr>
                    <m:sty m:val="p"/>
                  </m:rPr>
                  <m:t>,</m:t>
                </m:r>
                <m:r>
                  <w:rPr>
                    <w:sz w:val="20"/>
                    <w:rFonts w:ascii="Cambria Math" w:hAnsi="Cambria Math"/>
                  </w:rPr>
                  <m:t>t</m:t>
                </m:r>
              </m:sub>
            </m:sSub>
            <m:sSub>
              <m:e>
                <m:r>
                  <w:rPr>
                    <w:sz w:val="20"/>
                    <w:rFonts w:ascii="Cambria Math" w:hAnsi="Cambria Math"/>
                  </w:rPr>
                  <m:t>a</m:t>
                </m:r>
              </m:e>
              <m:sub>
                <m:r>
                  <w:rPr>
                    <w:sz w:val="20"/>
                    <w:rFonts w:ascii="Cambria Math" w:hAnsi="Cambria Math"/>
                  </w:rPr>
                  <m:rPr>
                    <m:sty m:val="p"/>
                  </m:rPr>
                  <m:t>c</m:t>
                </m:r>
                <m:r>
                  <w:rPr>
                    <w:sz w:val="20"/>
                    <w:rFonts w:ascii="Cambria Math" w:hAnsi="Cambria Math"/>
                  </w:rPr>
                  <m:rPr>
                    <m:sty m:val="p"/>
                  </m:rPr>
                  <m:t>e</m:t>
                </m:r>
                <m:r>
                  <w:rPr>
                    <w:sz w:val="20"/>
                    <w:rFonts w:ascii="Cambria Math" w:hAnsi="Cambria Math"/>
                  </w:rPr>
                  <m:rPr>
                    <m:sty m:val="p"/>
                  </m:rPr>
                  <m:t>l</m:t>
                </m:r>
                <m:r>
                  <w:rPr>
                    <w:sz w:val="20"/>
                    <w:rFonts w:ascii="Cambria Math" w:hAnsi="Cambria Math"/>
                  </w:rPr>
                  <m:rPr>
                    <m:sty m:val="p"/>
                  </m:rPr>
                  <m:t>l</m:t>
                </m:r>
              </m:sub>
            </m:sSub>
          </m:num>
          <m:den>
            <m:sSub>
              <m:e>
                <m:r>
                  <w:rPr>
                    <w:sz w:val="20"/>
                    <w:rFonts w:ascii="Cambria Math" w:hAnsi="Cambria Math"/>
                  </w:rPr>
                  <m:t>k</m:t>
                </m:r>
              </m:e>
              <m:sub>
                <m:r>
                  <w:rPr>
                    <w:sz w:val="20"/>
                    <w:rFonts w:ascii="Cambria Math" w:hAnsi="Cambria Math"/>
                  </w:rPr>
                  <m:t>A</m:t>
                </m:r>
              </m:sub>
            </m:sSub>
          </m:den>
        </m:f>
        <m:r>
          <w:rPr>
            <w:sz w:val="20"/>
            <w:rFonts w:ascii="Cambria Math" w:hAnsi="Cambria Math"/>
          </w:rPr>
          <m:rPr>
            <m:sty m:val="p"/>
          </m:rPr>
          <m:t>,</m:t>
        </m:r>
        <m:r>
          <w:rPr>
            <w:sz w:val="20"/>
            <w:rFonts w:ascii="Cambria Math" w:hAnsi="Cambria Math"/>
          </w:rPr>
          <m:t>  </m:t>
        </m:r>
        <m:sSub>
          <m:e>
            <m:r>
              <w:rPr>
                <w:sz w:val="20"/>
                <w:rFonts w:ascii="Cambria Math" w:hAnsi="Cambria Math"/>
              </w:rPr>
              <m:t>k</m:t>
            </m:r>
          </m:e>
          <m:sub>
            <m:r>
              <w:rPr>
                <w:sz w:val="20"/>
                <w:rFonts w:ascii="Cambria Math" w:hAnsi="Cambria Math"/>
              </w:rPr>
              <m:t>A</m:t>
            </m:r>
          </m:sub>
        </m:sSub>
        <m:r>
          <w:rPr>
            <w:sz w:val="20"/>
            <w:rFonts w:ascii="Cambria Math" w:hAnsi="Cambria Math"/>
          </w:rPr>
          <m:rPr>
            <m:sty m:val="p"/>
          </m:rPr>
          <m:t>=</m:t>
        </m:r>
        <m:sSup>
          <m:e>
            <m:r>
              <w:rPr>
                <w:sz w:val="20"/>
                <w:rFonts w:ascii="Cambria Math" w:hAnsi="Cambria Math"/>
              </w:rPr>
              <m:t>10</m:t>
            </m:r>
          </m:e>
          <m:sup>
            <m:r>
              <w:rPr>
                <w:sz w:val="20"/>
                <w:rFonts w:ascii="Cambria Math" w:hAnsi="Cambria Math"/>
              </w:rPr>
              <m:t>4</m:t>
            </m:r>
          </m:sup>
        </m:sSup>
        <m:r>
          <w:rPr>
            <w:sz w:val="20"/>
            <w:rFonts w:ascii="Cambria Math" w:hAnsi="Cambria Math"/>
          </w:rPr>
          <m:t> </m:t>
        </m:r>
        <m:sSup>
          <m:e>
            <m:r>
              <w:rPr>
                <w:sz w:val="20"/>
                <w:rFonts w:ascii="Cambria Math" w:hAnsi="Cambria Math"/>
              </w:rPr>
              <m:rPr>
                <m:sty m:val="p"/>
              </m:rPr>
              <m:t>m</m:t>
            </m:r>
          </m:e>
          <m:sup>
            <m:r>
              <w:rPr>
                <w:sz w:val="20"/>
                <w:rFonts w:ascii="Cambria Math" w:hAnsi="Cambria Math"/>
              </w:rPr>
              <m:rPr>
                <m:sty m:val="p"/>
              </m:rPr>
              <m:t>2</m:t>
            </m:r>
          </m:sup>
        </m:sSup>
        <m:r>
          <w:rPr>
            <w:sz w:val="20"/>
            <w:rFonts w:ascii="Cambria Math" w:hAnsi="Cambria Math"/>
          </w:rPr>
          <m:rPr>
            <m:sty m:val="p"/>
          </m:rPr>
          <m:t> </m:t>
        </m:r>
        <m:r>
          <w:rPr>
            <w:sz w:val="20"/>
            <w:rFonts w:ascii="Cambria Math" w:hAnsi="Cambria Math"/>
          </w:rPr>
          <m:rPr>
            <m:sty m:val="p"/>
          </m:rPr>
          <m:t>h</m:t>
        </m:r>
        <m:sSup>
          <m:e>
            <m:r>
              <w:rPr>
                <w:sz w:val="20"/>
                <w:rFonts w:ascii="Cambria Math" w:hAnsi="Cambria Math"/>
              </w:rPr>
              <m:rPr>
                <m:sty m:val="p"/>
              </m:rPr>
              <m:t>a</m:t>
            </m:r>
          </m:e>
          <m:sup>
            <m:r>
              <w:rPr>
                <w:sz w:val="20"/>
                <w:rFonts w:ascii="Cambria Math" w:hAnsi="Cambria Math"/>
              </w:rPr>
              <m:rPr>
                <m:sty m:val="p"/>
              </m:rPr>
              <m:t>−</m:t>
            </m:r>
            <m:r>
              <w:rPr>
                <w:sz w:val="20"/>
                <w:rFonts w:ascii="Cambria Math" w:hAnsi="Cambria Math"/>
              </w:rPr>
              <m:rPr>
                <m:sty m:val="p"/>
              </m:rPr>
              <m:t>1</m:t>
            </m:r>
          </m:sup>
        </m:sSup>
      </m:oMath>
    </w:p>
    <w:p>
      <w:pPr>
        <w:keepNext/>
        <w:spacing w:after="60"/>
      </w:pPr>
      <w:r>
        <w:rPr>
          <w:rFonts w:ascii="Arial" w:hAnsi="Arial" w:eastAsia="Arial" w:cs="Arial"/>
          <w:b w:val="0"/>
          <w:color w:val="215F52"/>
          <w:sz w:val="17"/>
        </w:rPr>
        <w:t>n es conteo de píxeles; a_cell es su área en m2; A es área en ha. La ruta PIXELS usa la conversión geométrica mostrada. El área directa es una entrada documentada. El cambio neto de clase no es deforestación bruta.</w:t>
      </w:r>
    </w:p>
    <w:p>
      <w:pPr>
        <w:keepNext/>
        <w:spacing w:after="80"/>
      </w:pPr>
      <w:r>
        <w:rPr>
          <w:rFonts w:ascii="Arial" w:hAnsi="Arial" w:eastAsia="Arial" w:cs="Arial"/>
          <w:b w:val="0"/>
          <w:color w:val="62716E"/>
          <w:sz w:val="16"/>
        </w:rPr>
        <w:t>Base: M01; MIG-13; MIG-14. Ubicación del cálculo: Spatial!F:I; Profile!B15.</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Dominio / capa / versión</w:t>
            </w:r>
          </w:p>
        </w:tc>
        <w:tc>
          <w:tcPr>
            <w:tcW w:type="dxa" w:w="3572"/>
            <w:vAlign w:val="center"/>
            <w:shd w:fill="F1F5F2"/>
          </w:tcPr>
          <w:p>
            <w:pPr>
              <w:keepNext/>
              <w:spacing w:after="20"/>
            </w:pPr>
            <w:r>
              <w:rPr>
                <w:rFonts w:ascii="Arial" w:hAnsi="Arial" w:eastAsia="Arial" w:cs="Arial"/>
                <w:b/>
                <w:color w:val="215F52"/>
                <w:sz w:val="17"/>
              </w:rPr>
              <w:t>Área y unidad; fechas; soporte fuente</w:t>
            </w:r>
          </w:p>
        </w:tc>
        <w:tc>
          <w:tcPr>
            <w:tcW w:type="dxa" w:w="3390"/>
            <w:vAlign w:val="center"/>
            <w:shd w:fill="F1F5F2"/>
          </w:tcPr>
          <w:p>
            <w:pPr>
              <w:keepNext/>
              <w:spacing w:after="20"/>
            </w:pPr>
            <w:r>
              <w:rPr>
                <w:rFonts w:ascii="Arial" w:hAnsi="Arial" w:eastAsia="Arial" w:cs="Arial"/>
                <w:b/>
                <w:color w:val="215F52"/>
                <w:sz w:val="17"/>
              </w:rPr>
              <w:t>Cambio frente al PD, comparabilidad y evidencia</w:t>
            </w:r>
          </w:p>
        </w:tc>
      </w:tr>
      <w:tr>
        <w:trPr>
          <w:trHeight w:val="442" w:hRule="atLeast"/>
        </w:trPr>
        <w:tc>
          <w:tcPr>
            <w:tcW w:type="dxa" w:w="2778"/>
            <w:vAlign w:val="top"/>
          </w:tcPr>
          <w:p>
            <w:pPr>
              <w:keepNext w:val="0"/>
              <w:spacing w:after="20"/>
            </w:pPr>
            <w:sdt>
              <w:sdtPr>
                <w:id w:val="1578"/>
                <w:alias w:val="MR-06-T01-R1-C1"/>
                <w:tag w:val="MR-06-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579"/>
                <w:alias w:val="MR-06-T01-R1-C2"/>
                <w:tag w:val="MR-06-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580"/>
                <w:alias w:val="MR-06-T01-R1-C3"/>
                <w:tag w:val="MR-06-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581"/>
                <w:alias w:val="MR-06-T01-R2-C1"/>
                <w:tag w:val="MR-06-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582"/>
                <w:alias w:val="MR-06-T01-R2-C2"/>
                <w:tag w:val="MR-06-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583"/>
                <w:alias w:val="MR-06-T01-R2-C3"/>
                <w:tag w:val="MR-06-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584"/>
                <w:alias w:val="MR-06-T01-R3-C1"/>
                <w:tag w:val="MR-06-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585"/>
                <w:alias w:val="MR-06-T01-R3-C2"/>
                <w:tag w:val="MR-06-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586"/>
                <w:alias w:val="MR-06-T01-R3-C3"/>
                <w:tag w:val="MR-06-T01-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Identificar límites afectados, fechas no comparables, observaciones no disponibles y correcciones controladas. El detalle o remuestreo de un mapa no acreditan exactitud independiente; conservar procesamiento y evaluación aplicable.</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587"/>
                <w:alias w:val="MR-response-18"/>
                <w:tag w:val="MR-response-18"/>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bookmarkStart w:id="326" w:name="MR_07"/>
      <w:pPr>
        <w:pStyle w:val="Heading1"/>
        <w:keepNext/>
        <w:pageBreakBefore/>
      </w:pPr>
      <w:r>
        <w:rPr>
          <w:rFonts w:ascii="Arial" w:hAnsi="Arial" w:eastAsia="Arial" w:cs="Arial"/>
          <w:b w:val="0"/>
          <w:color w:val="215F52"/>
          <w:sz w:val="38"/>
        </w:rPr>
        <w:t>07  NEB001: identidad y cambio de vegetación</w:t>
      </w:r>
      <w:bookmarkEnd w:id="326"/>
    </w:p>
    <w:p>
      <w:pPr>
        <w:keepNext/>
        <w:spacing w:after="100"/>
      </w:pPr>
      <w:r>
        <w:rPr>
          <w:rFonts w:ascii="Arial" w:hAnsi="Arial" w:eastAsia="Arial" w:cs="Arial"/>
          <w:b w:val="0"/>
          <w:color w:val="62716E"/>
          <w:sz w:val="16"/>
        </w:rPr>
        <w:t>[1] T-02; T-03; T-06; T-07; T-21; T-22; M01.4; M01.5; F-F10; MIG-14</w:t>
      </w:r>
    </w:p>
    <w:p>
      <w:pPr>
        <w:spacing w:after="100"/>
      </w:pPr>
      <w:r>
        <w:rPr>
          <w:rFonts w:ascii="Arial" w:hAnsi="Arial" w:eastAsia="Arial" w:cs="Arial"/>
          <w:b w:val="0"/>
          <w:color w:val="243A36"/>
          <w:sz w:val="19"/>
        </w:rPr>
        <w:t>Reportar versiones reales de clasificación, calibración CCA y modelo difuso, registros de parámetros/reglas, observaciones independientes y pruebas de comparabilidad temporal cuando correspondan. Distinguir identidad de vegetación de definición administrativa de bosque y pertenencia difusa de probabilidad.</w:t>
      </w:r>
    </w:p>
    <w:p>
      <w:pPr>
        <w:keepNext/>
        <w:spacing w:after="100"/>
      </w:pPr>
      <w:r>
        <w:rPr>
          <w:rFonts w:ascii="Arial" w:hAnsi="Arial" w:eastAsia="Arial" w:cs="Arial"/>
          <w:b/>
          <w:color w:val="215F52"/>
          <w:sz w:val="20"/>
        </w:rPr>
        <w:t>MR-07-T01 / Muestreo de referencia y estimaciones de área</w:t>
      </w:r>
    </w:p>
    <w:p>
      <w:pPr>
        <w:keepNext/>
        <w:spacing w:after="100"/>
      </w:pPr>
      <w:r>
        <w:rPr>
          <w:rFonts w:ascii="Arial" w:hAnsi="Arial" w:eastAsia="Arial" w:cs="Arial"/>
          <w:b/>
          <w:color w:val="215F52"/>
          <w:sz w:val="17"/>
        </w:rPr>
        <w:t>MR-07-T01 / Notación de cálculo</w:t>
      </w:r>
    </w:p>
    <w:p>
      <w:pPr>
        <w:keepNext/>
        <w:spacing w:after="60" w:before="20"/>
        <w:jc w:val="center"/>
      </w:pPr>
      <m:oMath>
        <m:sSub>
          <m:e>
            <m:r>
              <w:rPr>
                <w:sz w:val="20"/>
                <w:rFonts w:ascii="Cambria Math" w:hAnsi="Cambria Math"/>
              </w:rPr>
              <m:t>W</m:t>
            </m:r>
          </m:e>
          <m:sub>
            <m:r>
              <w:rPr>
                <w:sz w:val="20"/>
                <w:rFonts w:ascii="Cambria Math" w:hAnsi="Cambria Math"/>
              </w:rPr>
              <m:t>i</m:t>
            </m:r>
          </m:sub>
        </m:sSub>
        <m:r>
          <w:rPr>
            <w:sz w:val="20"/>
            <w:rFonts w:ascii="Cambria Math" w:hAnsi="Cambria Math"/>
          </w:rPr>
          <m:rPr>
            <m:sty m:val="p"/>
          </m:rPr>
          <m:t>=</m:t>
        </m:r>
        <m:f>
          <m:fPr>
            <m:type m:val="bar"/>
          </m:fPr>
          <m:num>
            <m:sSub>
              <m:e>
                <m:r>
                  <w:rPr>
                    <w:sz w:val="20"/>
                    <w:rFonts w:ascii="Cambria Math" w:hAnsi="Cambria Math"/>
                  </w:rPr>
                  <m:t>A</m:t>
                </m:r>
              </m:e>
              <m:sub>
                <m:r>
                  <w:rPr>
                    <w:sz w:val="20"/>
                    <w:rFonts w:ascii="Cambria Math" w:hAnsi="Cambria Math"/>
                  </w:rPr>
                  <m:t>i</m:t>
                </m:r>
              </m:sub>
            </m:sSub>
          </m:num>
          <m:den>
            <m:r>
              <w:rPr>
                <w:sz w:val="20"/>
                <w:rFonts w:ascii="Cambria Math" w:hAnsi="Cambria Math"/>
              </w:rPr>
              <m:t>A</m:t>
            </m:r>
          </m:den>
        </m:f>
        <m:r>
          <w:rPr>
            <w:sz w:val="20"/>
            <w:rFonts w:ascii="Cambria Math" w:hAnsi="Cambria Math"/>
          </w:rPr>
          <m:rPr>
            <m:sty m:val="p"/>
          </m:rPr>
          <m:t>,</m:t>
        </m:r>
        <m:r>
          <w:rPr>
            <w:sz w:val="20"/>
            <w:rFonts w:ascii="Cambria Math" w:hAnsi="Cambria Math"/>
          </w:rPr>
          <m:t> </m:t>
        </m:r>
        <m:sSub>
          <m:e>
            <m:acc>
              <m:accPr>
                <m:chr m:val="̂"/>
              </m:accPr>
              <m:e>
                <m:r>
                  <w:rPr>
                    <w:sz w:val="20"/>
                    <w:rFonts w:ascii="Cambria Math" w:hAnsi="Cambria Math"/>
                  </w:rPr>
                  <m:t>p</m:t>
                </m:r>
              </m:e>
            </m:acc>
          </m:e>
          <m:sub>
            <m:r>
              <w:rPr>
                <w:sz w:val="20"/>
                <w:rFonts w:ascii="Cambria Math" w:hAnsi="Cambria Math"/>
              </w:rPr>
              <m:t>i</m:t>
            </m:r>
            <m:r>
              <w:rPr>
                <w:sz w:val="20"/>
                <w:rFonts w:ascii="Cambria Math" w:hAnsi="Cambria Math"/>
              </w:rPr>
              <m:t>j</m:t>
            </m:r>
          </m:sub>
        </m:sSub>
        <m:r>
          <w:rPr>
            <w:sz w:val="20"/>
            <w:rFonts w:ascii="Cambria Math" w:hAnsi="Cambria Math"/>
          </w:rPr>
          <m:rPr>
            <m:sty m:val="p"/>
          </m:rPr>
          <m:t>=</m:t>
        </m:r>
        <m:f>
          <m:fPr>
            <m:type m:val="bar"/>
          </m:fPr>
          <m:num>
            <m:sSub>
              <m:e>
                <m:r>
                  <w:rPr>
                    <w:sz w:val="20"/>
                    <w:rFonts w:ascii="Cambria Math" w:hAnsi="Cambria Math"/>
                  </w:rPr>
                  <m:t>n</m:t>
                </m:r>
              </m:e>
              <m:sub>
                <m:r>
                  <w:rPr>
                    <w:sz w:val="20"/>
                    <w:rFonts w:ascii="Cambria Math" w:hAnsi="Cambria Math"/>
                  </w:rPr>
                  <m:t>i</m:t>
                </m:r>
                <m:r>
                  <w:rPr>
                    <w:sz w:val="20"/>
                    <w:rFonts w:ascii="Cambria Math" w:hAnsi="Cambria Math"/>
                  </w:rPr>
                  <m:t>j</m:t>
                </m:r>
              </m:sub>
            </m:sSub>
          </m:num>
          <m:den>
            <m:sSub>
              <m:e>
                <m:r>
                  <w:rPr>
                    <w:sz w:val="20"/>
                    <w:rFonts w:ascii="Cambria Math" w:hAnsi="Cambria Math"/>
                  </w:rPr>
                  <m:t>n</m:t>
                </m:r>
              </m:e>
              <m:sub>
                <m:r>
                  <w:rPr>
                    <w:sz w:val="20"/>
                    <w:rFonts w:ascii="Cambria Math" w:hAnsi="Cambria Math"/>
                  </w:rPr>
                  <m:t>i</m:t>
                </m:r>
              </m:sub>
            </m:sSub>
          </m:den>
        </m:f>
        <m:r>
          <w:rPr>
            <w:sz w:val="20"/>
            <w:rFonts w:ascii="Cambria Math" w:hAnsi="Cambria Math"/>
          </w:rPr>
          <m:rPr>
            <m:sty m:val="p"/>
          </m:rPr>
          <m:t>,</m:t>
        </m:r>
        <m:r>
          <w:rPr>
            <w:sz w:val="20"/>
            <w:rFonts w:ascii="Cambria Math" w:hAnsi="Cambria Math"/>
          </w:rPr>
          <m:t> </m:t>
        </m:r>
        <m:sSub>
          <m:e>
            <m:acc>
              <m:accPr>
                <m:chr m:val="̂"/>
              </m:accPr>
              <m:e>
                <m:r>
                  <w:rPr>
                    <w:sz w:val="20"/>
                    <w:rFonts w:ascii="Cambria Math" w:hAnsi="Cambria Math"/>
                  </w:rPr>
                  <m:t>A</m:t>
                </m:r>
              </m:e>
            </m:acc>
          </m:e>
          <m:sub>
            <m:r>
              <w:rPr>
                <w:sz w:val="20"/>
                <w:rFonts w:ascii="Cambria Math" w:hAnsi="Cambria Math"/>
              </w:rPr>
              <m:t>j</m:t>
            </m:r>
          </m:sub>
        </m:sSub>
        <m:r>
          <w:rPr>
            <w:sz w:val="20"/>
            <w:rFonts w:ascii="Cambria Math" w:hAnsi="Cambria Math"/>
          </w:rPr>
          <m:rPr>
            <m:sty m:val="p"/>
          </m:rPr>
          <m:t>=</m:t>
        </m:r>
        <m:r>
          <w:rPr>
            <w:sz w:val="20"/>
            <w:rFonts w:ascii="Cambria Math" w:hAnsi="Cambria Math"/>
          </w:rPr>
          <m:t>A</m:t>
        </m:r>
        <m:nary>
          <m:naryPr>
            <m:chr m:val="∑"/>
            <m:limLoc m:val="undOvr"/>
            <m:subHide m:val="off"/>
            <m:supHide m:val="on"/>
          </m:naryPr>
          <m:sub>
            <m:r>
              <w:rPr>
                <w:sz w:val="20"/>
                <w:rFonts w:ascii="Cambria Math" w:hAnsi="Cambria Math"/>
              </w:rPr>
              <m:t>i</m:t>
            </m:r>
          </m:sub>
          <m:sup>
            <m:r>
              <w:rPr>
                <w:sz w:val="20"/>
                <w:rFonts w:ascii="Cambria Math" w:hAnsi="Cambria Math"/>
              </w:rPr>
              <m:t>​</m:t>
            </m:r>
          </m:sup>
          <m:e>
            <m:sSub>
              <m:e>
                <m:r>
                  <w:rPr>
                    <w:sz w:val="20"/>
                    <w:rFonts w:ascii="Cambria Math" w:hAnsi="Cambria Math"/>
                  </w:rPr>
                  <m:t>W</m:t>
                </m:r>
              </m:e>
              <m:sub>
                <m:r>
                  <w:rPr>
                    <w:sz w:val="20"/>
                    <w:rFonts w:ascii="Cambria Math" w:hAnsi="Cambria Math"/>
                  </w:rPr>
                  <m:t>i</m:t>
                </m:r>
              </m:sub>
            </m:sSub>
          </m:e>
        </m:nary>
        <m:sSub>
          <m:e>
            <m:acc>
              <m:accPr>
                <m:chr m:val="̂"/>
              </m:accPr>
              <m:e>
                <m:r>
                  <w:rPr>
                    <w:sz w:val="20"/>
                    <w:rFonts w:ascii="Cambria Math" w:hAnsi="Cambria Math"/>
                  </w:rPr>
                  <m:t>p</m:t>
                </m:r>
              </m:e>
            </m:acc>
          </m:e>
          <m:sub>
            <m:r>
              <w:rPr>
                <w:sz w:val="20"/>
                <w:rFonts w:ascii="Cambria Math" w:hAnsi="Cambria Math"/>
              </w:rPr>
              <m:t>i</m:t>
            </m:r>
            <m:r>
              <w:rPr>
                <w:sz w:val="20"/>
                <w:rFonts w:ascii="Cambria Math" w:hAnsi="Cambria Math"/>
              </w:rPr>
              <m:t>j</m:t>
            </m:r>
          </m:sub>
        </m:sSub>
      </m:oMath>
    </w:p>
    <w:p>
      <w:pPr>
        <w:keepNext/>
        <w:spacing w:after="60"/>
      </w:pPr>
      <w:r>
        <w:rPr>
          <w:rFonts w:ascii="Arial" w:hAnsi="Arial" w:eastAsia="Arial" w:cs="Arial"/>
          <w:b w:val="0"/>
          <w:color w:val="215F52"/>
          <w:sz w:val="17"/>
        </w:rPr>
        <w:t>Aplicar diseño y dominio de M01.4. W_i es peso cartográfico del estrato, no peso estimado por defecto; n_ij y n_i son conteos de referencia. El libro contable no ajusta este estimador previo.</w:t>
      </w:r>
    </w:p>
    <w:p>
      <w:pPr>
        <w:keepNext/>
        <w:spacing w:after="80"/>
      </w:pPr>
      <w:r>
        <w:rPr>
          <w:rFonts w:ascii="Arial" w:hAnsi="Arial" w:eastAsia="Arial" w:cs="Arial"/>
          <w:b w:val="0"/>
          <w:color w:val="62716E"/>
          <w:sz w:val="16"/>
        </w:rPr>
        <w:t>Base: M01.4; M01.5; T-03. Ubicación del cálculo: Evidence!G; Spatial!I; cálculo previo calificado.</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Estrato cartográfico / clase de referencia / intervalo</w:t>
            </w:r>
          </w:p>
        </w:tc>
        <w:tc>
          <w:tcPr>
            <w:tcW w:type="dxa" w:w="3572"/>
            <w:vAlign w:val="center"/>
            <w:shd w:fill="F1F5F2"/>
          </w:tcPr>
          <w:p>
            <w:pPr>
              <w:keepNext/>
              <w:spacing w:after="20"/>
            </w:pPr>
            <w:r>
              <w:rPr>
                <w:rFonts w:ascii="Arial" w:hAnsi="Arial" w:eastAsia="Arial" w:cs="Arial"/>
                <w:b/>
                <w:color w:val="215F52"/>
                <w:sz w:val="17"/>
              </w:rPr>
              <w:t>Conteos, pesos y área estimada</w:t>
            </w:r>
          </w:p>
        </w:tc>
        <w:tc>
          <w:tcPr>
            <w:tcW w:type="dxa" w:w="3390"/>
            <w:vAlign w:val="center"/>
            <w:shd w:fill="F1F5F2"/>
          </w:tcPr>
          <w:p>
            <w:pPr>
              <w:keepNext/>
              <w:spacing w:after="20"/>
            </w:pPr>
            <w:r>
              <w:rPr>
                <w:rFonts w:ascii="Arial" w:hAnsi="Arial" w:eastAsia="Arial" w:cs="Arial"/>
                <w:b/>
                <w:color w:val="215F52"/>
                <w:sz w:val="17"/>
              </w:rPr>
              <w:t>Diseño de muestreo, incertidumbre y archivo de cálculo</w:t>
            </w:r>
          </w:p>
        </w:tc>
      </w:tr>
      <w:tr>
        <w:trPr>
          <w:trHeight w:val="442" w:hRule="atLeast"/>
        </w:trPr>
        <w:tc>
          <w:tcPr>
            <w:tcW w:type="dxa" w:w="2778"/>
            <w:vAlign w:val="top"/>
          </w:tcPr>
          <w:p>
            <w:pPr>
              <w:keepNext w:val="0"/>
              <w:spacing w:after="20"/>
            </w:pPr>
            <w:sdt>
              <w:sdtPr>
                <w:id w:val="1588"/>
                <w:alias w:val="MR-07-T01-R1-C1"/>
                <w:tag w:val="MR-07-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589"/>
                <w:alias w:val="MR-07-T01-R1-C2"/>
                <w:tag w:val="MR-07-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590"/>
                <w:alias w:val="MR-07-T01-R1-C3"/>
                <w:tag w:val="MR-07-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591"/>
                <w:alias w:val="MR-07-T01-R2-C1"/>
                <w:tag w:val="MR-07-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592"/>
                <w:alias w:val="MR-07-T01-R2-C2"/>
                <w:tag w:val="MR-07-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593"/>
                <w:alias w:val="MR-07-T01-R2-C3"/>
                <w:tag w:val="MR-07-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594"/>
                <w:alias w:val="MR-07-T01-R3-C1"/>
                <w:tag w:val="MR-07-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595"/>
                <w:alias w:val="MR-07-T01-R3-C2"/>
                <w:tag w:val="MR-07-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596"/>
                <w:alias w:val="MR-07-T01-R3-C3"/>
                <w:tag w:val="MR-07-T01-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MR-07-T02 / Transiciones brutas y su interpretación</w:t>
      </w:r>
    </w:p>
    <w:p>
      <w:pPr>
        <w:keepNext/>
        <w:spacing w:after="100"/>
      </w:pPr>
      <w:r>
        <w:rPr>
          <w:rFonts w:ascii="Arial" w:hAnsi="Arial" w:eastAsia="Arial" w:cs="Arial"/>
          <w:b/>
          <w:color w:val="215F52"/>
          <w:sz w:val="17"/>
        </w:rPr>
        <w:t>MR-07-T02 / Notación de cálculo</w:t>
      </w:r>
    </w:p>
    <w:p>
      <w:pPr>
        <w:keepNext/>
        <w:spacing w:after="60" w:before="20"/>
        <w:jc w:val="center"/>
      </w:pPr>
      <m:oMath>
        <m:r>
          <w:rPr>
            <w:sz w:val="20"/>
            <w:rFonts w:ascii="Cambria Math" w:hAnsi="Cambria Math"/>
          </w:rPr>
          <m:t>Δ</m:t>
        </m:r>
        <m:sSub>
          <m:e>
            <m:r>
              <w:rPr>
                <w:sz w:val="20"/>
                <w:rFonts w:ascii="Cambria Math" w:hAnsi="Cambria Math"/>
              </w:rPr>
              <m:t>A</m:t>
            </m:r>
          </m:e>
          <m:sub>
            <m:r>
              <w:rPr>
                <w:sz w:val="20"/>
                <w:rFonts w:ascii="Cambria Math" w:hAnsi="Cambria Math"/>
              </w:rPr>
              <m:t>i</m:t>
            </m:r>
          </m:sub>
        </m:sSub>
        <m:r>
          <w:rPr>
            <w:sz w:val="20"/>
            <w:rFonts w:ascii="Cambria Math" w:hAnsi="Cambria Math"/>
          </w:rPr>
          <m:rPr>
            <m:sty m:val="p"/>
          </m:rPr>
          <m:t>=</m:t>
        </m:r>
        <m:sSub>
          <m:e>
            <m:r>
              <w:rPr>
                <w:sz w:val="20"/>
                <w:rFonts w:ascii="Cambria Math" w:hAnsi="Cambria Math"/>
              </w:rPr>
              <m:t>A</m:t>
            </m:r>
          </m:e>
          <m:sub>
            <m:r>
              <w:rPr>
                <w:sz w:val="20"/>
                <w:rFonts w:ascii="Cambria Math" w:hAnsi="Cambria Math"/>
              </w:rPr>
              <m:t>i</m:t>
            </m:r>
          </m:sub>
        </m:sSub>
        <m:d>
          <m:dPr>
            <m:begChr m:val="("/>
            <m:endChr m:val=")"/>
            <m:sepChr m:val=""/>
            <m:grow/>
          </m:dPr>
          <m:e>
            <m:sSub>
              <m:e>
                <m:r>
                  <w:rPr>
                    <w:sz w:val="20"/>
                    <w:rFonts w:ascii="Cambria Math" w:hAnsi="Cambria Math"/>
                  </w:rPr>
                  <m:t>t</m:t>
                </m:r>
              </m:e>
              <m:sub>
                <m:r>
                  <w:rPr>
                    <w:sz w:val="20"/>
                    <w:rFonts w:ascii="Cambria Math" w:hAnsi="Cambria Math"/>
                  </w:rPr>
                  <m:t>1</m:t>
                </m:r>
              </m:sub>
            </m:sSub>
          </m:e>
        </m:d>
        <m:r>
          <w:rPr>
            <w:sz w:val="20"/>
            <w:rFonts w:ascii="Cambria Math" w:hAnsi="Cambria Math"/>
          </w:rPr>
          <m:rPr>
            <m:sty m:val="p"/>
          </m:rPr>
          <m:t>−</m:t>
        </m:r>
        <m:sSub>
          <m:e>
            <m:r>
              <w:rPr>
                <w:sz w:val="20"/>
                <w:rFonts w:ascii="Cambria Math" w:hAnsi="Cambria Math"/>
              </w:rPr>
              <m:t>A</m:t>
            </m:r>
          </m:e>
          <m:sub>
            <m:r>
              <w:rPr>
                <w:sz w:val="20"/>
                <w:rFonts w:ascii="Cambria Math" w:hAnsi="Cambria Math"/>
              </w:rPr>
              <m:t>i</m:t>
            </m:r>
          </m:sub>
        </m:sSub>
        <m:d>
          <m:dPr>
            <m:begChr m:val="("/>
            <m:endChr m:val=")"/>
            <m:sepChr m:val=""/>
            <m:grow/>
          </m:dPr>
          <m:e>
            <m:sSub>
              <m:e>
                <m:r>
                  <w:rPr>
                    <w:sz w:val="20"/>
                    <w:rFonts w:ascii="Cambria Math" w:hAnsi="Cambria Math"/>
                  </w:rPr>
                  <m:t>t</m:t>
                </m:r>
              </m:e>
              <m:sub>
                <m:r>
                  <w:rPr>
                    <w:sz w:val="20"/>
                    <w:rFonts w:ascii="Cambria Math" w:hAnsi="Cambria Math"/>
                  </w:rPr>
                  <m:t>0</m:t>
                </m:r>
              </m:sub>
            </m:sSub>
          </m:e>
        </m:d>
        <m:r>
          <w:rPr>
            <w:sz w:val="20"/>
            <w:rFonts w:ascii="Cambria Math" w:hAnsi="Cambria Math"/>
          </w:rPr>
          <m:rPr>
            <m:sty m:val="p"/>
          </m:rPr>
          <m:t>,</m:t>
        </m:r>
        <m:r>
          <w:rPr>
            <w:sz w:val="20"/>
            <w:rFonts w:ascii="Cambria Math" w:hAnsi="Cambria Math"/>
          </w:rPr>
          <m:t>  </m:t>
        </m:r>
        <m:sSub>
          <m:e>
            <m:acc>
              <m:accPr>
                <m:chr m:val="‾"/>
              </m:accPr>
              <m:e>
                <m:r>
                  <w:rPr>
                    <w:sz w:val="20"/>
                    <w:rFonts w:ascii="Cambria Math" w:hAnsi="Cambria Math"/>
                  </w:rPr>
                  <m:t>a</m:t>
                </m:r>
              </m:e>
            </m:acc>
          </m:e>
          <m:sub>
            <m:r>
              <w:rPr>
                <w:sz w:val="20"/>
                <w:rFonts w:ascii="Cambria Math" w:hAnsi="Cambria Math"/>
              </w:rPr>
              <m:t>i</m:t>
            </m:r>
          </m:sub>
        </m:sSub>
        <m:r>
          <w:rPr>
            <w:sz w:val="20"/>
            <w:rFonts w:ascii="Cambria Math" w:hAnsi="Cambria Math"/>
          </w:rPr>
          <m:rPr>
            <m:sty m:val="p"/>
          </m:rPr>
          <m:t>=</m:t>
        </m:r>
        <m:f>
          <m:fPr>
            <m:type m:val="bar"/>
          </m:fPr>
          <m:num>
            <m:r>
              <w:rPr>
                <w:sz w:val="20"/>
                <w:rFonts w:ascii="Cambria Math" w:hAnsi="Cambria Math"/>
              </w:rPr>
              <m:t>Δ</m:t>
            </m:r>
            <m:sSub>
              <m:e>
                <m:r>
                  <w:rPr>
                    <w:sz w:val="20"/>
                    <w:rFonts w:ascii="Cambria Math" w:hAnsi="Cambria Math"/>
                  </w:rPr>
                  <m:t>A</m:t>
                </m:r>
              </m:e>
              <m:sub>
                <m:r>
                  <w:rPr>
                    <w:sz w:val="20"/>
                    <w:rFonts w:ascii="Cambria Math" w:hAnsi="Cambria Math"/>
                  </w:rPr>
                  <m:t>i</m:t>
                </m:r>
              </m:sub>
            </m:sSub>
          </m:num>
          <m:den>
            <m:sSub>
              <m:e>
                <m:r>
                  <w:rPr>
                    <w:sz w:val="20"/>
                    <w:rFonts w:ascii="Cambria Math" w:hAnsi="Cambria Math"/>
                  </w:rPr>
                  <m:t>t</m:t>
                </m:r>
              </m:e>
              <m:sub>
                <m:r>
                  <w:rPr>
                    <w:sz w:val="20"/>
                    <w:rFonts w:ascii="Cambria Math" w:hAnsi="Cambria Math"/>
                  </w:rPr>
                  <m:t>1</m:t>
                </m:r>
              </m:sub>
            </m:sSub>
            <m:r>
              <w:rPr>
                <w:sz w:val="20"/>
                <w:rFonts w:ascii="Cambria Math" w:hAnsi="Cambria Math"/>
              </w:rPr>
              <m:rPr>
                <m:sty m:val="p"/>
              </m:rPr>
              <m:t>−</m:t>
            </m:r>
            <m:sSub>
              <m:e>
                <m:r>
                  <w:rPr>
                    <w:sz w:val="20"/>
                    <w:rFonts w:ascii="Cambria Math" w:hAnsi="Cambria Math"/>
                  </w:rPr>
                  <m:t>t</m:t>
                </m:r>
              </m:e>
              <m:sub>
                <m:r>
                  <w:rPr>
                    <w:sz w:val="20"/>
                    <w:rFonts w:ascii="Cambria Math" w:hAnsi="Cambria Math"/>
                  </w:rPr>
                  <m:t>0</m:t>
                </m:r>
              </m:sub>
            </m:sSub>
          </m:den>
        </m:f>
      </m:oMath>
    </w:p>
    <w:p>
      <w:pPr>
        <w:keepNext/>
        <w:spacing w:after="60"/>
      </w:pPr>
      <w:r>
        <w:rPr>
          <w:rFonts w:ascii="Arial" w:hAnsi="Arial" w:eastAsia="Arial" w:cs="Arial"/>
          <w:b w:val="0"/>
          <w:color w:val="215F52"/>
          <w:sz w:val="17"/>
        </w:rPr>
        <w:t>La diferencia es cambio neto de área por clase con signo, no matriz de transiciones brutas. La media distribuye el cambio sobre su duración, no es observación anual. Una transición bruta necesita evidencia propia de origen y destino.</w:t>
      </w:r>
    </w:p>
    <w:p>
      <w:pPr>
        <w:keepNext/>
        <w:spacing w:after="80"/>
      </w:pPr>
      <w:r>
        <w:rPr>
          <w:rFonts w:ascii="Arial" w:hAnsi="Arial" w:eastAsia="Arial" w:cs="Arial"/>
          <w:b w:val="0"/>
          <w:color w:val="62716E"/>
          <w:sz w:val="16"/>
        </w:rPr>
        <w:t>Base: M01; MIG-14; identidad de reporte. Ubicación del cálculo: Spatial!I:J; Allocation!C:I.</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Origen / destino / intervalo observado</w:t>
            </w:r>
          </w:p>
        </w:tc>
        <w:tc>
          <w:tcPr>
            <w:tcW w:type="dxa" w:w="3572"/>
            <w:vAlign w:val="center"/>
            <w:shd w:fill="F1F5F2"/>
          </w:tcPr>
          <w:p>
            <w:pPr>
              <w:keepNext/>
              <w:spacing w:after="20"/>
            </w:pPr>
            <w:r>
              <w:rPr>
                <w:rFonts w:ascii="Arial" w:hAnsi="Arial" w:eastAsia="Arial" w:cs="Arial"/>
                <w:b/>
                <w:color w:val="215F52"/>
                <w:sz w:val="17"/>
              </w:rPr>
              <w:t>Área observada o estimada (ha) e ID fuente</w:t>
            </w:r>
          </w:p>
        </w:tc>
        <w:tc>
          <w:tcPr>
            <w:tcW w:type="dxa" w:w="3390"/>
            <w:vAlign w:val="center"/>
            <w:shd w:fill="F1F5F2"/>
          </w:tcPr>
          <w:p>
            <w:pPr>
              <w:keepNext/>
              <w:spacing w:after="20"/>
            </w:pPr>
            <w:r>
              <w:rPr>
                <w:rFonts w:ascii="Arial" w:hAnsi="Arial" w:eastAsia="Arial" w:cs="Arial"/>
                <w:b/>
                <w:color w:val="215F52"/>
                <w:sz w:val="17"/>
              </w:rPr>
              <w:t>Deforestación, degradación, recuperación u otra; evidencia</w:t>
            </w:r>
          </w:p>
        </w:tc>
      </w:tr>
      <w:tr>
        <w:trPr>
          <w:trHeight w:val="442" w:hRule="atLeast"/>
        </w:trPr>
        <w:tc>
          <w:tcPr>
            <w:tcW w:type="dxa" w:w="2778"/>
            <w:vAlign w:val="top"/>
          </w:tcPr>
          <w:p>
            <w:pPr>
              <w:keepNext w:val="0"/>
              <w:spacing w:after="20"/>
            </w:pPr>
            <w:sdt>
              <w:sdtPr>
                <w:id w:val="1597"/>
                <w:alias w:val="MR-07-T02-R1-C1"/>
                <w:tag w:val="MR-07-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598"/>
                <w:alias w:val="MR-07-T02-R1-C2"/>
                <w:tag w:val="MR-07-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599"/>
                <w:alias w:val="MR-07-T02-R1-C3"/>
                <w:tag w:val="MR-07-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00"/>
                <w:alias w:val="MR-07-T02-R2-C1"/>
                <w:tag w:val="MR-07-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601"/>
                <w:alias w:val="MR-07-T02-R2-C2"/>
                <w:tag w:val="MR-07-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602"/>
                <w:alias w:val="MR-07-T02-R2-C3"/>
                <w:tag w:val="MR-07-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03"/>
                <w:alias w:val="MR-07-T02-R3-C1"/>
                <w:tag w:val="MR-07-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604"/>
                <w:alias w:val="MR-07-T02-R3-C2"/>
                <w:tag w:val="MR-07-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605"/>
                <w:alias w:val="MR-07-T02-R3-C3"/>
                <w:tag w:val="MR-07-T02-R3-C3"/>
                <w:text w:multiLine="1"/>
              </w:sdtPr>
              <w:sdtContent>
                <w:r>
                  <w:rPr>
                    <w:rFonts w:ascii="Arial" w:hAnsi="Arial"/>
                    <w:color w:val="62716E"/>
                    <w:sz w:val="18"/>
                  </w:rPr>
                  <w:t>[Completar]</w:t>
                </w:r>
              </w:sdtContent>
            </w:sdt>
          </w:p>
        </w:tc>
      </w:tr>
    </w:tbl>
    <w:p>
      <w:pPr>
        <w:spacing w:after="20" w:before="0" w:line="40" w:lineRule="exact"/>
      </w:pPr>
      <w:r>
        <w:rPr>
          <w:sz w:val="4"/>
        </w:rPr>
      </w:r>
    </w:p>
    <w:p>
      <w:pPr>
        <w:spacing w:after="100"/>
      </w:pPr>
      <w:r>
        <w:rPr>
          <w:rFonts w:ascii="Arial" w:hAnsi="Arial" w:eastAsia="Arial" w:cs="Arial"/>
          <w:b w:val="0"/>
          <w:color w:val="243A36"/>
          <w:sz w:val="19"/>
        </w:rPr>
        <w:t>La diferencia neta de área por clase no es una estimación de transiciones brutas. Establecer estado previo, persistencia y cambio físico; ausencia de pérdida cartográfica no demuestra ausencia de degradación. Separar fechas de eventos y cualquier distribución temporal.</w:t>
      </w:r>
    </w:p>
    <w:p>
      <w:bookmarkStart w:id="342" w:name="MR_08"/>
      <w:pPr>
        <w:pStyle w:val="Heading1"/>
        <w:keepNext/>
        <w:pageBreakBefore/>
      </w:pPr>
      <w:r>
        <w:rPr>
          <w:rFonts w:ascii="Arial" w:hAnsi="Arial" w:eastAsia="Arial" w:cs="Arial"/>
          <w:b w:val="0"/>
          <w:color w:val="215F52"/>
          <w:sz w:val="38"/>
        </w:rPr>
        <w:t>08  NEB002: evidencia material, carbono y modelos</w:t>
      </w:r>
      <w:bookmarkEnd w:id="342"/>
    </w:p>
    <w:p>
      <w:pPr>
        <w:keepNext/>
        <w:spacing w:after="100"/>
      </w:pPr>
      <w:r>
        <w:rPr>
          <w:rFonts w:ascii="Arial" w:hAnsi="Arial" w:eastAsia="Arial" w:cs="Arial"/>
          <w:b w:val="0"/>
          <w:color w:val="62716E"/>
          <w:sz w:val="16"/>
        </w:rPr>
        <w:t>[1] T-04; T-05; T-06; T-07; T-11; T-12; T-13; T-15; M02.1; M02.2; FRM-08</w:t>
      </w:r>
    </w:p>
    <w:p>
      <w:pPr>
        <w:spacing w:after="100"/>
      </w:pPr>
      <w:r>
        <w:rPr>
          <w:rFonts w:ascii="Arial" w:hAnsi="Arial" w:eastAsia="Arial" w:cs="Arial"/>
          <w:b w:val="0"/>
          <w:color w:val="243A36"/>
          <w:sz w:val="19"/>
        </w:rPr>
        <w:t>Identificar la ruta A, B o C efectivamente usada por estrato y reservorio. Aportar mediciones nuevas o registros reutilizados calificados exigidos por esa ruta; no implicar reconstrucción o campaña de laboratorio nueva cuando se reutilizó evidencia.</w:t>
      </w:r>
    </w:p>
    <w:p>
      <w:pPr>
        <w:keepNext/>
        <w:spacing w:after="100"/>
      </w:pPr>
      <w:r>
        <w:rPr>
          <w:rFonts w:ascii="Arial" w:hAnsi="Arial" w:eastAsia="Arial" w:cs="Arial"/>
          <w:b/>
          <w:color w:val="215F52"/>
          <w:sz w:val="20"/>
        </w:rPr>
        <w:t>MR-08-T01 / Registro de material a carbono</w:t>
      </w:r>
    </w:p>
    <w:p>
      <w:pPr>
        <w:keepNext/>
        <w:spacing w:after="100"/>
      </w:pPr>
      <w:r>
        <w:rPr>
          <w:rFonts w:ascii="Arial" w:hAnsi="Arial" w:eastAsia="Arial" w:cs="Arial"/>
          <w:b/>
          <w:color w:val="215F52"/>
          <w:sz w:val="17"/>
        </w:rPr>
        <w:t>MR-08-T01 / Notación de cálculo</w:t>
      </w:r>
    </w:p>
    <w:p>
      <w:pPr>
        <w:keepNext/>
        <w:spacing w:after="60" w:before="20"/>
        <w:jc w:val="center"/>
      </w:pPr>
      <m:oMath>
        <m:sSub>
          <m:e>
            <m:r>
              <w:rPr>
                <w:sz w:val="20"/>
                <w:rFonts w:ascii="Cambria Math" w:hAnsi="Cambria Math"/>
              </w:rPr>
              <m:t>C</m:t>
            </m:r>
          </m:e>
          <m:sub>
            <m:r>
              <w:rPr>
                <w:sz w:val="20"/>
                <w:rFonts w:ascii="Cambria Math" w:hAnsi="Cambria Math"/>
              </w:rPr>
              <m:t>j</m:t>
            </m:r>
          </m:sub>
        </m:sSub>
        <m:r>
          <w:rPr>
            <w:sz w:val="20"/>
            <w:rFonts w:ascii="Cambria Math" w:hAnsi="Cambria Math"/>
          </w:rPr>
          <m:rPr>
            <m:sty m:val="p"/>
          </m:rPr>
          <m:t>=</m:t>
        </m:r>
        <m:sSup>
          <m:e>
            <m:r>
              <w:rPr>
                <w:sz w:val="20"/>
                <w:rFonts w:ascii="Cambria Math" w:hAnsi="Cambria Math"/>
              </w:rPr>
              <m:t>10</m:t>
            </m:r>
          </m:e>
          <m:sup>
            <m:r>
              <w:rPr>
                <w:sz w:val="20"/>
                <w:rFonts w:ascii="Cambria Math" w:hAnsi="Cambria Math"/>
              </w:rPr>
              <m:rPr>
                <m:sty m:val="p"/>
              </m:rPr>
              <m:t>−</m:t>
            </m:r>
            <m:r>
              <w:rPr>
                <w:sz w:val="20"/>
                <w:rFonts w:ascii="Cambria Math" w:hAnsi="Cambria Math"/>
              </w:rPr>
              <m:t>3</m:t>
            </m:r>
          </m:sup>
        </m:sSup>
        <m:nary>
          <m:naryPr>
            <m:chr m:val="∑"/>
            <m:limLoc m:val="undOvr"/>
            <m:subHide m:val="off"/>
            <m:supHide m:val="on"/>
          </m:naryPr>
          <m:sub>
            <m:r>
              <w:rPr>
                <w:sz w:val="20"/>
                <w:rFonts w:ascii="Cambria Math" w:hAnsi="Cambria Math"/>
              </w:rPr>
              <m:t>o</m:t>
            </m:r>
          </m:sub>
          <m:sup>
            <m:r>
              <w:rPr>
                <w:sz w:val="20"/>
                <w:rFonts w:ascii="Cambria Math" w:hAnsi="Cambria Math"/>
              </w:rPr>
              <m:t>​</m:t>
            </m:r>
          </m:sup>
          <m:e>
            <m:sSub>
              <m:e>
                <m:r>
                  <w:rPr>
                    <w:sz w:val="20"/>
                    <w:rFonts w:ascii="Cambria Math" w:hAnsi="Cambria Math"/>
                  </w:rPr>
                  <m:t>V</m:t>
                </m:r>
              </m:e>
              <m:sub>
                <m:r>
                  <w:rPr>
                    <w:sz w:val="20"/>
                    <w:rFonts w:ascii="Cambria Math" w:hAnsi="Cambria Math"/>
                  </w:rPr>
                  <m:t>j</m:t>
                </m:r>
                <m:r>
                  <w:rPr>
                    <w:sz w:val="20"/>
                    <w:rFonts w:ascii="Cambria Math" w:hAnsi="Cambria Math"/>
                  </w:rPr>
                  <m:t>o</m:t>
                </m:r>
              </m:sub>
            </m:sSub>
          </m:e>
        </m:nary>
        <m:sSubSup>
          <m:e>
            <m:r>
              <w:rPr>
                <w:sz w:val="20"/>
                <w:rFonts w:ascii="Cambria Math" w:hAnsi="Cambria Math"/>
              </w:rPr>
              <m:t>ρ</m:t>
            </m:r>
          </m:e>
          <m:sub>
            <m:r>
              <w:rPr>
                <w:sz w:val="20"/>
                <w:rFonts w:ascii="Cambria Math" w:hAnsi="Cambria Math"/>
              </w:rPr>
              <m:t>j</m:t>
            </m:r>
            <m:r>
              <w:rPr>
                <w:sz w:val="20"/>
                <w:rFonts w:ascii="Cambria Math" w:hAnsi="Cambria Math"/>
              </w:rPr>
              <m:t>o</m:t>
            </m:r>
          </m:sub>
          <m:sup>
            <m:r>
              <w:rPr>
                <w:sz w:val="20"/>
                <w:rFonts w:ascii="Cambria Math" w:hAnsi="Cambria Math"/>
              </w:rPr>
              <m:t>b</m:t>
            </m:r>
          </m:sup>
        </m:sSubSup>
        <m:sSubSup>
          <m:e>
            <m:r>
              <w:rPr>
                <w:sz w:val="20"/>
                <w:rFonts w:ascii="Cambria Math" w:hAnsi="Cambria Math"/>
              </w:rPr>
              <m:t>f</m:t>
            </m:r>
          </m:e>
          <m:sub>
            <m:r>
              <w:rPr>
                <w:sz w:val="20"/>
                <w:rFonts w:ascii="Cambria Math" w:hAnsi="Cambria Math"/>
              </w:rPr>
              <m:t>j</m:t>
            </m:r>
            <m:r>
              <w:rPr>
                <w:sz w:val="20"/>
                <w:rFonts w:ascii="Cambria Math" w:hAnsi="Cambria Math"/>
              </w:rPr>
              <m:t>o</m:t>
            </m:r>
          </m:sub>
          <m:sup>
            <m:r>
              <w:rPr>
                <w:sz w:val="20"/>
                <w:rFonts w:ascii="Cambria Math" w:hAnsi="Cambria Math"/>
              </w:rPr>
              <m:t>C</m:t>
            </m:r>
          </m:sup>
        </m:sSubSup>
      </m:oMath>
    </w:p>
    <w:p>
      <w:pPr>
        <w:keepNext/>
        <w:spacing w:after="60" w:before="20"/>
        <w:jc w:val="center"/>
      </w:pPr>
      <m:oMath>
        <m:sSub>
          <m:e>
            <m:r>
              <w:rPr>
                <w:sz w:val="20"/>
                <w:rFonts w:ascii="Cambria Math" w:hAnsi="Cambria Math"/>
              </w:rPr>
              <m:t>c</m:t>
            </m:r>
          </m:e>
          <m:sub>
            <m:r>
              <w:rPr>
                <w:sz w:val="20"/>
                <w:rFonts w:ascii="Cambria Math" w:hAnsi="Cambria Math"/>
              </w:rPr>
              <m:t>p</m:t>
            </m:r>
          </m:sub>
        </m:sSub>
        <m:r>
          <w:rPr>
            <w:sz w:val="20"/>
            <w:rFonts w:ascii="Cambria Math" w:hAnsi="Cambria Math"/>
          </w:rPr>
          <m:rPr>
            <m:sty m:val="p"/>
          </m:rPr>
          <m:t>=</m:t>
        </m:r>
        <m:f>
          <m:fPr>
            <m:type m:val="bar"/>
          </m:fPr>
          <m:num>
            <m:nary>
              <m:naryPr>
                <m:chr m:val="∑"/>
                <m:limLoc m:val="undOvr"/>
                <m:subHide m:val="off"/>
                <m:supHide m:val="on"/>
              </m:naryPr>
              <m:sub>
                <m:r>
                  <w:rPr>
                    <w:sz w:val="20"/>
                    <w:rFonts w:ascii="Cambria Math" w:hAnsi="Cambria Math"/>
                  </w:rPr>
                  <m:t>j</m:t>
                </m:r>
                <m:r>
                  <w:rPr>
                    <w:sz w:val="20"/>
                    <w:rFonts w:ascii="Cambria Math" w:hAnsi="Cambria Math"/>
                  </w:rPr>
                  <m:rPr>
                    <m:sty m:val="p"/>
                  </m:rPr>
                  <m:t>∈</m:t>
                </m:r>
                <m:r>
                  <w:rPr>
                    <w:sz w:val="20"/>
                    <w:rFonts w:ascii="Cambria Math" w:hAnsi="Cambria Math"/>
                  </w:rPr>
                  <m:t>p</m:t>
                </m:r>
              </m:sub>
              <m:sup>
                <m:r>
                  <w:rPr>
                    <w:sz w:val="20"/>
                    <w:rFonts w:ascii="Cambria Math" w:hAnsi="Cambria Math"/>
                  </w:rPr>
                  <m:t>​</m:t>
                </m:r>
              </m:sup>
              <m:e>
                <m:sSub>
                  <m:e>
                    <m:r>
                      <w:rPr>
                        <w:sz w:val="20"/>
                        <w:rFonts w:ascii="Cambria Math" w:hAnsi="Cambria Math"/>
                      </w:rPr>
                      <m:t>C</m:t>
                    </m:r>
                  </m:e>
                  <m:sub>
                    <m:r>
                      <w:rPr>
                        <w:sz w:val="20"/>
                        <w:rFonts w:ascii="Cambria Math" w:hAnsi="Cambria Math"/>
                      </w:rPr>
                      <m:t>j</m:t>
                    </m:r>
                  </m:sub>
                </m:sSub>
              </m:e>
            </m:nary>
            <m:r>
              <w:rPr>
                <w:sz w:val="20"/>
                <w:rFonts w:ascii="Cambria Math" w:hAnsi="Cambria Math"/>
              </w:rPr>
              <m:rPr>
                <m:sty m:val="p"/>
              </m:rPr>
              <m:t>+</m:t>
            </m:r>
            <m:sSub>
              <m:e>
                <m:r>
                  <w:rPr>
                    <w:sz w:val="20"/>
                    <w:rFonts w:ascii="Cambria Math" w:hAnsi="Cambria Math"/>
                  </w:rPr>
                  <m:t>C</m:t>
                </m:r>
              </m:e>
              <m:sub>
                <m:r>
                  <w:rPr>
                    <w:sz w:val="20"/>
                    <w:rFonts w:ascii="Cambria Math" w:hAnsi="Cambria Math"/>
                  </w:rPr>
                  <m:t>p</m:t>
                </m:r>
                <m:r>
                  <w:rPr>
                    <w:sz w:val="20"/>
                    <w:rFonts w:ascii="Cambria Math" w:hAnsi="Cambria Math"/>
                  </w:rPr>
                  <m:rPr>
                    <m:sty m:val="p"/>
                  </m:rPr>
                  <m:t>,</m:t>
                </m:r>
                <m:r>
                  <w:rPr>
                    <w:sz w:val="20"/>
                    <w:rFonts w:ascii="Cambria Math" w:hAnsi="Cambria Math"/>
                  </w:rPr>
                  <m:rPr>
                    <m:sty m:val="p"/>
                  </m:rPr>
                  <m:t>o</m:t>
                </m:r>
                <m:r>
                  <w:rPr>
                    <w:sz w:val="20"/>
                    <w:rFonts w:ascii="Cambria Math" w:hAnsi="Cambria Math"/>
                  </w:rPr>
                  <m:rPr>
                    <m:sty m:val="p"/>
                  </m:rPr>
                  <m:t>t</m:t>
                </m:r>
                <m:r>
                  <w:rPr>
                    <w:sz w:val="20"/>
                    <w:rFonts w:ascii="Cambria Math" w:hAnsi="Cambria Math"/>
                  </w:rPr>
                  <m:rPr>
                    <m:sty m:val="p"/>
                  </m:rPr>
                  <m:t>h</m:t>
                </m:r>
                <m:r>
                  <w:rPr>
                    <w:sz w:val="20"/>
                    <w:rFonts w:ascii="Cambria Math" w:hAnsi="Cambria Math"/>
                  </w:rPr>
                  <m:rPr>
                    <m:sty m:val="p"/>
                  </m:rPr>
                  <m:t>e</m:t>
                </m:r>
                <m:r>
                  <w:rPr>
                    <w:sz w:val="20"/>
                    <w:rFonts w:ascii="Cambria Math" w:hAnsi="Cambria Math"/>
                  </w:rPr>
                  <m:rPr>
                    <m:sty m:val="p"/>
                  </m:rPr>
                  <m:t>r</m:t>
                </m:r>
              </m:sub>
            </m:sSub>
          </m:num>
          <m:den>
            <m:sSub>
              <m:e>
                <m:r>
                  <w:rPr>
                    <w:sz w:val="20"/>
                    <w:rFonts w:ascii="Cambria Math" w:hAnsi="Cambria Math"/>
                  </w:rPr>
                  <m:t>a</m:t>
                </m:r>
              </m:e>
              <m:sub>
                <m:r>
                  <w:rPr>
                    <w:sz w:val="20"/>
                    <w:rFonts w:ascii="Cambria Math" w:hAnsi="Cambria Math"/>
                  </w:rPr>
                  <m:t>p</m:t>
                </m:r>
              </m:sub>
            </m:sSub>
          </m:den>
        </m:f>
      </m:oMath>
    </w:p>
    <w:p>
      <w:pPr>
        <w:keepNext/>
        <w:spacing w:after="60"/>
      </w:pPr>
      <w:r>
        <w:rPr>
          <w:rFonts w:ascii="Arial" w:hAnsi="Arial" w:eastAsia="Arial" w:cs="Arial"/>
          <w:b w:val="0"/>
          <w:color w:val="215F52"/>
          <w:sz w:val="17"/>
        </w:rPr>
        <w:t>V es volumen verde material en m3; rho_b es kg secos en estufa por m3 verde; f_C es fracción de carbono seco. C_j está en Mg C; c_p en Mg C/ha. El denominador a_p está en ha. No duplicar reservorios ni mezclar convenciones de humedad.</w:t>
      </w:r>
    </w:p>
    <w:p>
      <w:pPr>
        <w:keepNext/>
        <w:spacing w:after="80"/>
      </w:pPr>
      <w:r>
        <w:rPr>
          <w:rFonts w:ascii="Arial" w:hAnsi="Arial" w:eastAsia="Arial" w:cs="Arial"/>
          <w:b w:val="0"/>
          <w:color w:val="62716E"/>
          <w:sz w:val="16"/>
        </w:rPr>
        <w:t>Base: M02.1; M02.2; F-M01. Ubicación del cálculo: Evidence!G; Factors!D:G; registros previos de órganos y parcelas.</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Individuo / parcela / órgano o reservorio / fecha</w:t>
            </w:r>
          </w:p>
        </w:tc>
        <w:tc>
          <w:tcPr>
            <w:tcW w:type="dxa" w:w="3572"/>
            <w:vAlign w:val="center"/>
            <w:shd w:fill="F1F5F2"/>
          </w:tcPr>
          <w:p>
            <w:pPr>
              <w:keepNext/>
              <w:spacing w:after="20"/>
            </w:pPr>
            <w:r>
              <w:rPr>
                <w:rFonts w:ascii="Arial" w:hAnsi="Arial" w:eastAsia="Arial" w:cs="Arial"/>
                <w:b/>
                <w:color w:val="215F52"/>
                <w:sz w:val="17"/>
              </w:rPr>
              <w:t>Volumen, densidad, fracción de carbono y área</w:t>
            </w:r>
          </w:p>
        </w:tc>
        <w:tc>
          <w:tcPr>
            <w:tcW w:type="dxa" w:w="3390"/>
            <w:vAlign w:val="center"/>
            <w:shd w:fill="F1F5F2"/>
          </w:tcPr>
          <w:p>
            <w:pPr>
              <w:keepNext/>
              <w:spacing w:after="20"/>
            </w:pPr>
            <w:r>
              <w:rPr>
                <w:rFonts w:ascii="Arial" w:hAnsi="Arial" w:eastAsia="Arial" w:cs="Arial"/>
                <w:b/>
                <w:color w:val="215F52"/>
                <w:sz w:val="17"/>
              </w:rPr>
              <w:t>Resultado de carbono, incertidumbre y evidencia</w:t>
            </w:r>
          </w:p>
        </w:tc>
      </w:tr>
      <w:tr>
        <w:trPr>
          <w:trHeight w:val="442" w:hRule="atLeast"/>
        </w:trPr>
        <w:tc>
          <w:tcPr>
            <w:tcW w:type="dxa" w:w="2778"/>
            <w:vAlign w:val="top"/>
          </w:tcPr>
          <w:p>
            <w:pPr>
              <w:keepNext w:val="0"/>
              <w:spacing w:after="20"/>
            </w:pPr>
            <w:sdt>
              <w:sdtPr>
                <w:id w:val="1606"/>
                <w:alias w:val="MR-08-T01-R1-C1"/>
                <w:tag w:val="MR-08-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607"/>
                <w:alias w:val="MR-08-T01-R1-C2"/>
                <w:tag w:val="MR-08-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608"/>
                <w:alias w:val="MR-08-T01-R1-C3"/>
                <w:tag w:val="MR-08-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09"/>
                <w:alias w:val="MR-08-T01-R2-C1"/>
                <w:tag w:val="MR-08-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610"/>
                <w:alias w:val="MR-08-T01-R2-C2"/>
                <w:tag w:val="MR-08-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611"/>
                <w:alias w:val="MR-08-T01-R2-C3"/>
                <w:tag w:val="MR-08-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12"/>
                <w:alias w:val="MR-08-T01-R3-C1"/>
                <w:tag w:val="MR-08-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613"/>
                <w:alias w:val="MR-08-T01-R3-C2"/>
                <w:tag w:val="MR-08-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614"/>
                <w:alias w:val="MR-08-T01-R3-C3"/>
                <w:tag w:val="MR-08-T01-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MR-08-T02 / Estimador reutilizado y aplicabilidad</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Ruta / modelo o mapa / versión real</w:t>
            </w:r>
          </w:p>
        </w:tc>
        <w:tc>
          <w:tcPr>
            <w:tcW w:type="dxa" w:w="3572"/>
            <w:vAlign w:val="center"/>
            <w:shd w:fill="F1F5F2"/>
          </w:tcPr>
          <w:p>
            <w:pPr>
              <w:keepNext/>
              <w:spacing w:after="20"/>
            </w:pPr>
            <w:r>
              <w:rPr>
                <w:rFonts w:ascii="Arial" w:hAnsi="Arial" w:eastAsia="Arial" w:cs="Arial"/>
                <w:b/>
                <w:color w:val="215F52"/>
                <w:sz w:val="17"/>
              </w:rPr>
              <w:t>Dominio, validación y pruebas de transferencia</w:t>
            </w:r>
          </w:p>
        </w:tc>
        <w:tc>
          <w:tcPr>
            <w:tcW w:type="dxa" w:w="3390"/>
            <w:vAlign w:val="center"/>
            <w:shd w:fill="F1F5F2"/>
          </w:tcPr>
          <w:p>
            <w:pPr>
              <w:keepNext/>
              <w:spacing w:after="20"/>
            </w:pPr>
            <w:r>
              <w:rPr>
                <w:rFonts w:ascii="Arial" w:hAnsi="Arial" w:eastAsia="Arial" w:cs="Arial"/>
                <w:b/>
                <w:color w:val="215F52"/>
                <w:sz w:val="17"/>
              </w:rPr>
              <w:t>Uso aceptado, restricciones y fuente original</w:t>
            </w:r>
          </w:p>
        </w:tc>
      </w:tr>
      <w:tr>
        <w:trPr>
          <w:trHeight w:val="442" w:hRule="atLeast"/>
        </w:trPr>
        <w:tc>
          <w:tcPr>
            <w:tcW w:type="dxa" w:w="2778"/>
            <w:vAlign w:val="top"/>
          </w:tcPr>
          <w:p>
            <w:pPr>
              <w:keepNext w:val="0"/>
              <w:spacing w:after="20"/>
            </w:pPr>
            <w:sdt>
              <w:sdtPr>
                <w:id w:val="1615"/>
                <w:alias w:val="MR-08-T02-R1-C1"/>
                <w:tag w:val="MR-08-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616"/>
                <w:alias w:val="MR-08-T02-R1-C2"/>
                <w:tag w:val="MR-08-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617"/>
                <w:alias w:val="MR-08-T02-R1-C3"/>
                <w:tag w:val="MR-08-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18"/>
                <w:alias w:val="MR-08-T02-R2-C1"/>
                <w:tag w:val="MR-08-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619"/>
                <w:alias w:val="MR-08-T02-R2-C2"/>
                <w:tag w:val="MR-08-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620"/>
                <w:alias w:val="MR-08-T02-R2-C3"/>
                <w:tag w:val="MR-08-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21"/>
                <w:alias w:val="MR-08-T02-R3-C1"/>
                <w:tag w:val="MR-08-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622"/>
                <w:alias w:val="MR-08-T02-R3-C2"/>
                <w:tag w:val="MR-08-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623"/>
                <w:alias w:val="MR-08-T02-R3-C3"/>
                <w:tag w:val="MR-08-T02-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Describir crecimiento, mortalidad, reclutamiento, daño y cambios relevantes desde el PD. Conservar pruebas fallidas y registros reales del modelo. Distinguir corrección de existencias y cambio temporal; no inferir un multiplicador universal de carbono.</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624"/>
                <w:alias w:val="MR-response-23"/>
                <w:tag w:val="MR-response-23"/>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bookmarkStart w:id="356" w:name="MR_09"/>
      <w:pPr>
        <w:pStyle w:val="Heading1"/>
        <w:keepNext/>
        <w:pageBreakBefore/>
      </w:pPr>
      <w:r>
        <w:rPr>
          <w:rFonts w:ascii="Arial" w:hAnsi="Arial" w:eastAsia="Arial" w:cs="Arial"/>
          <w:b w:val="0"/>
          <w:color w:val="215F52"/>
          <w:sz w:val="38"/>
        </w:rPr>
        <w:t>09  Control de calidad, custodia y observaciones faltantes</w:t>
      </w:r>
      <w:bookmarkEnd w:id="356"/>
    </w:p>
    <w:p>
      <w:pPr>
        <w:keepNext/>
        <w:spacing w:after="100"/>
      </w:pPr>
      <w:r>
        <w:rPr>
          <w:rFonts w:ascii="Arial" w:hAnsi="Arial" w:eastAsia="Arial" w:cs="Arial"/>
          <w:b w:val="0"/>
          <w:color w:val="62716E"/>
          <w:sz w:val="16"/>
        </w:rPr>
        <w:t>[1] P-03; P-04; T-04; T-06; F-01; A-05</w:t>
      </w:r>
    </w:p>
    <w:p>
      <w:pPr>
        <w:spacing w:after="100"/>
      </w:pPr>
      <w:r>
        <w:rPr>
          <w:rFonts w:ascii="Arial" w:hAnsi="Arial" w:eastAsia="Arial" w:cs="Arial"/>
          <w:b w:val="0"/>
          <w:color w:val="243A36"/>
          <w:sz w:val="19"/>
        </w:rPr>
        <w:t>Trazar registros de campo, instrumentos, lotes de laboratorio, calibración, procesamiento, ajustes manuales y salidas archivadas. Identificar quién recolectó, comprobó y aceptó cada conjunto. Conservar originales y versiones sustituidas.</w:t>
      </w:r>
    </w:p>
    <w:p>
      <w:pPr>
        <w:keepNext/>
        <w:spacing w:after="100"/>
      </w:pPr>
      <w:r>
        <w:rPr>
          <w:rFonts w:ascii="Arial" w:hAnsi="Arial" w:eastAsia="Arial" w:cs="Arial"/>
          <w:b/>
          <w:color w:val="215F52"/>
          <w:sz w:val="20"/>
        </w:rPr>
        <w:t>MR-09-T01 / Aceptación de instrumentos, lotes y datos</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Datos / instrumento / lote / custodio</w:t>
            </w:r>
          </w:p>
        </w:tc>
        <w:tc>
          <w:tcPr>
            <w:tcW w:type="dxa" w:w="3572"/>
            <w:vAlign w:val="center"/>
            <w:shd w:fill="F1F5F2"/>
          </w:tcPr>
          <w:p>
            <w:pPr>
              <w:keepNext/>
              <w:spacing w:after="20"/>
            </w:pPr>
            <w:r>
              <w:rPr>
                <w:rFonts w:ascii="Arial" w:hAnsi="Arial" w:eastAsia="Arial" w:cs="Arial"/>
                <w:b/>
                <w:color w:val="215F52"/>
                <w:sz w:val="17"/>
              </w:rPr>
              <w:t>Calibración y criterio; resultado real</w:t>
            </w:r>
          </w:p>
        </w:tc>
        <w:tc>
          <w:tcPr>
            <w:tcW w:type="dxa" w:w="3390"/>
            <w:vAlign w:val="center"/>
            <w:shd w:fill="F1F5F2"/>
          </w:tcPr>
          <w:p>
            <w:pPr>
              <w:keepNext/>
              <w:spacing w:after="20"/>
            </w:pPr>
            <w:r>
              <w:rPr>
                <w:rFonts w:ascii="Arial" w:hAnsi="Arial" w:eastAsia="Arial" w:cs="Arial"/>
                <w:b/>
                <w:color w:val="215F52"/>
                <w:sz w:val="17"/>
              </w:rPr>
              <w:t>Aceptación, limitación o acción correctiva</w:t>
            </w:r>
          </w:p>
        </w:tc>
      </w:tr>
      <w:tr>
        <w:trPr>
          <w:trHeight w:val="442" w:hRule="atLeast"/>
        </w:trPr>
        <w:tc>
          <w:tcPr>
            <w:tcW w:type="dxa" w:w="2778"/>
            <w:vAlign w:val="top"/>
          </w:tcPr>
          <w:p>
            <w:pPr>
              <w:keepNext w:val="0"/>
              <w:spacing w:after="20"/>
            </w:pPr>
            <w:sdt>
              <w:sdtPr>
                <w:id w:val="1625"/>
                <w:alias w:val="MR-09-T01-R1-C1"/>
                <w:tag w:val="MR-09-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626"/>
                <w:alias w:val="MR-09-T01-R1-C2"/>
                <w:tag w:val="MR-09-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627"/>
                <w:alias w:val="MR-09-T01-R1-C3"/>
                <w:tag w:val="MR-09-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28"/>
                <w:alias w:val="MR-09-T01-R2-C1"/>
                <w:tag w:val="MR-09-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629"/>
                <w:alias w:val="MR-09-T01-R2-C2"/>
                <w:tag w:val="MR-09-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630"/>
                <w:alias w:val="MR-09-T01-R2-C3"/>
                <w:tag w:val="MR-09-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31"/>
                <w:alias w:val="MR-09-T01-R3-C1"/>
                <w:tag w:val="MR-09-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632"/>
                <w:alias w:val="MR-09-T01-R3-C2"/>
                <w:tag w:val="MR-09-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633"/>
                <w:alias w:val="MR-09-T01-R3-C3"/>
                <w:tag w:val="MR-09-T01-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MR-09-T02 / Registro de datos faltantes y sustituciones</w:t>
      </w:r>
    </w:p>
    <w:p>
      <w:pPr>
        <w:keepNext/>
        <w:spacing w:after="100"/>
      </w:pPr>
      <w:r>
        <w:rPr>
          <w:rFonts w:ascii="Arial" w:hAnsi="Arial" w:eastAsia="Arial" w:cs="Arial"/>
          <w:b/>
          <w:color w:val="215F52"/>
          <w:sz w:val="17"/>
        </w:rPr>
        <w:t>MR-09-T02 / Notación de cálculo</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es la observación, entrada o salida identificada; u_l es su unidad declarada. Registrar ecuación exacta, archivo, hoja, celda/rango, período y estado. Esta notación no prescribe un estimador.</w:t>
      </w:r>
    </w:p>
    <w:p>
      <w:pPr>
        <w:keepNext/>
        <w:spacing w:after="80"/>
      </w:pPr>
      <w:r>
        <w:rPr>
          <w:rFonts w:ascii="Arial" w:hAnsi="Arial" w:eastAsia="Arial" w:cs="Arial"/>
          <w:b w:val="0"/>
          <w:color w:val="62716E"/>
          <w:sz w:val="16"/>
        </w:rPr>
        <w:t>Base: F-01; T-01. Ubicación del cálculo: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Variable / período / soporte faltante</w:t>
            </w:r>
          </w:p>
        </w:tc>
        <w:tc>
          <w:tcPr>
            <w:tcW w:type="dxa" w:w="3572"/>
            <w:vAlign w:val="center"/>
            <w:shd w:fill="F1F5F2"/>
          </w:tcPr>
          <w:p>
            <w:pPr>
              <w:keepNext/>
              <w:spacing w:after="20"/>
            </w:pPr>
            <w:r>
              <w:rPr>
                <w:rFonts w:ascii="Arial" w:hAnsi="Arial" w:eastAsia="Arial" w:cs="Arial"/>
                <w:b/>
                <w:color w:val="215F52"/>
                <w:sz w:val="17"/>
              </w:rPr>
              <w:t>Sustitución o cota; unidad; incertidumbre</w:t>
            </w:r>
          </w:p>
        </w:tc>
        <w:tc>
          <w:tcPr>
            <w:tcW w:type="dxa" w:w="3390"/>
            <w:vAlign w:val="center"/>
            <w:shd w:fill="F1F5F2"/>
          </w:tcPr>
          <w:p>
            <w:pPr>
              <w:keepNext/>
              <w:spacing w:after="20"/>
            </w:pPr>
            <w:r>
              <w:rPr>
                <w:rFonts w:ascii="Arial" w:hAnsi="Arial" w:eastAsia="Arial" w:cs="Arial"/>
                <w:b/>
                <w:color w:val="215F52"/>
                <w:sz w:val="17"/>
              </w:rPr>
              <w:t>Aprobación, efecto en cuentas comparables y vacío</w:t>
            </w:r>
          </w:p>
        </w:tc>
      </w:tr>
      <w:tr>
        <w:trPr>
          <w:trHeight w:val="442" w:hRule="atLeast"/>
        </w:trPr>
        <w:tc>
          <w:tcPr>
            <w:tcW w:type="dxa" w:w="2778"/>
            <w:vAlign w:val="top"/>
          </w:tcPr>
          <w:p>
            <w:pPr>
              <w:keepNext w:val="0"/>
              <w:spacing w:after="20"/>
            </w:pPr>
            <w:sdt>
              <w:sdtPr>
                <w:id w:val="1634"/>
                <w:alias w:val="MR-09-T02-R1-C1"/>
                <w:tag w:val="MR-09-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635"/>
                <w:alias w:val="MR-09-T02-R1-C2"/>
                <w:tag w:val="MR-09-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636"/>
                <w:alias w:val="MR-09-T02-R1-C3"/>
                <w:tag w:val="MR-09-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37"/>
                <w:alias w:val="MR-09-T02-R2-C1"/>
                <w:tag w:val="MR-09-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638"/>
                <w:alias w:val="MR-09-T02-R2-C2"/>
                <w:tag w:val="MR-09-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639"/>
                <w:alias w:val="MR-09-T02-R2-C3"/>
                <w:tag w:val="MR-09-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40"/>
                <w:alias w:val="MR-09-T02-R3-C1"/>
                <w:tag w:val="MR-09-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641"/>
                <w:alias w:val="MR-09-T02-R3-C2"/>
                <w:tag w:val="MR-09-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642"/>
                <w:alias w:val="MR-09-T02-R3-C3"/>
                <w:tag w:val="MR-09-T02-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Explicar cómo límites de detección, áreas inaccesibles, nubes, muestras perdidas o fallas de monitoreo afectan el resultado. Interpretar la no detección según cobertura y capacidad del método, no automáticamente como cero.</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643"/>
                <w:alias w:val="MR-response-26"/>
                <w:tag w:val="MR-response-26"/>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bookmarkStart w:id="369" w:name="MR_10"/>
      <w:pPr>
        <w:pStyle w:val="Heading1"/>
        <w:keepNext/>
        <w:pageBreakBefore/>
      </w:pPr>
      <w:r>
        <w:rPr>
          <w:rFonts w:ascii="Arial" w:hAnsi="Arial" w:eastAsia="Arial" w:cs="Arial"/>
          <w:b w:val="0"/>
          <w:color w:val="215F52"/>
          <w:sz w:val="38"/>
        </w:rPr>
        <w:t>10  Desviaciones, correcciones y cambios de parámetros</w:t>
      </w:r>
      <w:bookmarkEnd w:id="369"/>
    </w:p>
    <w:p>
      <w:pPr>
        <w:keepNext/>
        <w:spacing w:after="100"/>
      </w:pPr>
      <w:r>
        <w:rPr>
          <w:rFonts w:ascii="Arial" w:hAnsi="Arial" w:eastAsia="Arial" w:cs="Arial"/>
          <w:b w:val="0"/>
          <w:color w:val="62716E"/>
          <w:sz w:val="16"/>
        </w:rPr>
        <w:t>[1] S-18; CYC-06; P-03; P-13; P-14; FRM-05</w:t>
      </w:r>
    </w:p>
    <w:p>
      <w:pPr>
        <w:spacing w:after="100"/>
      </w:pPr>
      <w:r>
        <w:rPr>
          <w:rFonts w:ascii="Arial" w:hAnsi="Arial" w:eastAsia="Arial" w:cs="Arial"/>
          <w:b w:val="0"/>
          <w:color w:val="243A36"/>
          <w:sz w:val="19"/>
        </w:rPr>
        <w:t>Separar desviación de ejecución, corrección de datos, cambio metodológico y cambio propuesto todavía no autorizado. Conservar PD original y pronóstico fijado, con vínculo fechado a cada modificación aprobada.</w:t>
      </w:r>
    </w:p>
    <w:p>
      <w:pPr>
        <w:keepNext/>
        <w:spacing w:after="100"/>
      </w:pPr>
      <w:r>
        <w:rPr>
          <w:rFonts w:ascii="Arial" w:hAnsi="Arial" w:eastAsia="Arial" w:cs="Arial"/>
          <w:b/>
          <w:color w:val="215F52"/>
          <w:sz w:val="20"/>
        </w:rPr>
        <w:t>MR-10-T01 / Registro de desviaciones y decisiones</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Disposición PD / enfoque previsto / fecha</w:t>
            </w:r>
          </w:p>
        </w:tc>
        <w:tc>
          <w:tcPr>
            <w:tcW w:type="dxa" w:w="3572"/>
            <w:vAlign w:val="center"/>
            <w:shd w:fill="F1F5F2"/>
          </w:tcPr>
          <w:p>
            <w:pPr>
              <w:keepNext/>
              <w:spacing w:after="20"/>
            </w:pPr>
            <w:r>
              <w:rPr>
                <w:rFonts w:ascii="Arial" w:hAnsi="Arial" w:eastAsia="Arial" w:cs="Arial"/>
                <w:b/>
                <w:color w:val="215F52"/>
                <w:sz w:val="17"/>
              </w:rPr>
              <w:t>Enfoque real, motivo y variables afectadas</w:t>
            </w:r>
          </w:p>
        </w:tc>
        <w:tc>
          <w:tcPr>
            <w:tcW w:type="dxa" w:w="3390"/>
            <w:vAlign w:val="center"/>
            <w:shd w:fill="F1F5F2"/>
          </w:tcPr>
          <w:p>
            <w:pPr>
              <w:keepNext/>
              <w:spacing w:after="20"/>
            </w:pPr>
            <w:r>
              <w:rPr>
                <w:rFonts w:ascii="Arial" w:hAnsi="Arial" w:eastAsia="Arial" w:cs="Arial"/>
                <w:b/>
                <w:color w:val="215F52"/>
                <w:sz w:val="17"/>
              </w:rPr>
              <w:t>Aprobación, período efectivo, hallazgo y remedio</w:t>
            </w:r>
          </w:p>
        </w:tc>
      </w:tr>
      <w:tr>
        <w:trPr>
          <w:trHeight w:val="442" w:hRule="atLeast"/>
        </w:trPr>
        <w:tc>
          <w:tcPr>
            <w:tcW w:type="dxa" w:w="2778"/>
            <w:vAlign w:val="top"/>
          </w:tcPr>
          <w:p>
            <w:pPr>
              <w:keepNext w:val="0"/>
              <w:spacing w:after="20"/>
            </w:pPr>
            <w:sdt>
              <w:sdtPr>
                <w:id w:val="1644"/>
                <w:alias w:val="MR-10-T01-R1-C1"/>
                <w:tag w:val="MR-10-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645"/>
                <w:alias w:val="MR-10-T01-R1-C2"/>
                <w:tag w:val="MR-10-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646"/>
                <w:alias w:val="MR-10-T01-R1-C3"/>
                <w:tag w:val="MR-10-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47"/>
                <w:alias w:val="MR-10-T01-R2-C1"/>
                <w:tag w:val="MR-10-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648"/>
                <w:alias w:val="MR-10-T01-R2-C2"/>
                <w:tag w:val="MR-10-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649"/>
                <w:alias w:val="MR-10-T01-R2-C3"/>
                <w:tag w:val="MR-10-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50"/>
                <w:alias w:val="MR-10-T01-R3-C1"/>
                <w:tag w:val="MR-10-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651"/>
                <w:alias w:val="MR-10-T01-R3-C2"/>
                <w:tag w:val="MR-10-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652"/>
                <w:alias w:val="MR-10-T01-R3-C3"/>
                <w:tag w:val="MR-10-T01-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MR-10-T02 / Cambio de parámetro y efecto contable</w:t>
      </w:r>
    </w:p>
    <w:p>
      <w:pPr>
        <w:keepNext/>
        <w:spacing w:after="100"/>
      </w:pPr>
      <w:r>
        <w:rPr>
          <w:rFonts w:ascii="Arial" w:hAnsi="Arial" w:eastAsia="Arial" w:cs="Arial"/>
          <w:b/>
          <w:color w:val="215F52"/>
          <w:sz w:val="17"/>
        </w:rPr>
        <w:t>MR-10-T02 / Notación de cálculo</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es la observación, entrada o salida identificada; u_l es su unidad declarada. Registrar ecuación exacta, archivo, hoja, celda/rango, período y estado. Esta notación no prescribe un estimador.</w:t>
      </w:r>
    </w:p>
    <w:p>
      <w:pPr>
        <w:keepNext/>
        <w:spacing w:after="80"/>
      </w:pPr>
      <w:r>
        <w:rPr>
          <w:rFonts w:ascii="Arial" w:hAnsi="Arial" w:eastAsia="Arial" w:cs="Arial"/>
          <w:b w:val="0"/>
          <w:color w:val="62716E"/>
          <w:sz w:val="16"/>
        </w:rPr>
        <w:t>Base: F-01; T-01. Ubicación del cálculo: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Símbolo / unidad / campo FRM-05</w:t>
            </w:r>
          </w:p>
        </w:tc>
        <w:tc>
          <w:tcPr>
            <w:tcW w:type="dxa" w:w="3572"/>
            <w:vAlign w:val="center"/>
            <w:shd w:fill="F1F5F2"/>
          </w:tcPr>
          <w:p>
            <w:pPr>
              <w:keepNext/>
              <w:spacing w:after="20"/>
            </w:pPr>
            <w:r>
              <w:rPr>
                <w:rFonts w:ascii="Arial" w:hAnsi="Arial" w:eastAsia="Arial" w:cs="Arial"/>
                <w:b/>
                <w:color w:val="215F52"/>
                <w:sz w:val="17"/>
              </w:rPr>
              <w:t>Valores previos/nuevos, versiones y evidencia</w:t>
            </w:r>
          </w:p>
        </w:tc>
        <w:tc>
          <w:tcPr>
            <w:tcW w:type="dxa" w:w="3390"/>
            <w:vAlign w:val="center"/>
            <w:shd w:fill="F1F5F2"/>
          </w:tcPr>
          <w:p>
            <w:pPr>
              <w:keepNext/>
              <w:spacing w:after="20"/>
            </w:pPr>
            <w:r>
              <w:rPr>
                <w:rFonts w:ascii="Arial" w:hAnsi="Arial" w:eastAsia="Arial" w:cs="Arial"/>
                <w:b/>
                <w:color w:val="215F52"/>
                <w:sz w:val="17"/>
              </w:rPr>
              <w:t>Efectos en línea base, proyecto, fugas y neto</w:t>
            </w:r>
          </w:p>
        </w:tc>
      </w:tr>
      <w:tr>
        <w:trPr>
          <w:trHeight w:val="442" w:hRule="atLeast"/>
        </w:trPr>
        <w:tc>
          <w:tcPr>
            <w:tcW w:type="dxa" w:w="2778"/>
            <w:vAlign w:val="top"/>
          </w:tcPr>
          <w:p>
            <w:pPr>
              <w:keepNext w:val="0"/>
              <w:spacing w:after="20"/>
            </w:pPr>
            <w:sdt>
              <w:sdtPr>
                <w:id w:val="1653"/>
                <w:alias w:val="MR-10-T02-R1-C1"/>
                <w:tag w:val="MR-10-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654"/>
                <w:alias w:val="MR-10-T02-R1-C2"/>
                <w:tag w:val="MR-10-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655"/>
                <w:alias w:val="MR-10-T02-R1-C3"/>
                <w:tag w:val="MR-10-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56"/>
                <w:alias w:val="MR-10-T02-R2-C1"/>
                <w:tag w:val="MR-10-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657"/>
                <w:alias w:val="MR-10-T02-R2-C2"/>
                <w:tag w:val="MR-10-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658"/>
                <w:alias w:val="MR-10-T02-R2-C3"/>
                <w:tag w:val="MR-10-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59"/>
                <w:alias w:val="MR-10-T02-R3-C1"/>
                <w:tag w:val="MR-10-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660"/>
                <w:alias w:val="MR-10-T02-R3-C2"/>
                <w:tag w:val="MR-10-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661"/>
                <w:alias w:val="MR-10-T02-R3-C3"/>
                <w:tag w:val="MR-10-T02-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Registrar AP-01 a AP-12 según aplicabilidad, incluida referencia exacta al perfil sin cambios cuando se conserve. Indicar si las reglas rectoras exigen revalidación o restricción. La validación previa no cierra un error nuevo identificado.</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662"/>
                <w:alias w:val="MR-response-29"/>
                <w:tag w:val="MR-response-29"/>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bookmarkStart w:id="382" w:name="MR_11"/>
      <w:pPr>
        <w:pStyle w:val="Heading1"/>
        <w:keepNext/>
        <w:pageBreakBefore/>
      </w:pPr>
      <w:r>
        <w:rPr>
          <w:rFonts w:ascii="Arial" w:hAnsi="Arial" w:eastAsia="Arial" w:cs="Arial"/>
          <w:b w:val="0"/>
          <w:color w:val="215F52"/>
          <w:sz w:val="38"/>
        </w:rPr>
        <w:t>11  Contrafactual del intervalo monitoreado</w:t>
      </w:r>
      <w:bookmarkEnd w:id="382"/>
    </w:p>
    <w:p>
      <w:pPr>
        <w:keepNext/>
        <w:spacing w:after="100"/>
      </w:pPr>
      <w:r>
        <w:rPr>
          <w:rFonts w:ascii="Arial" w:hAnsi="Arial" w:eastAsia="Arial" w:cs="Arial"/>
          <w:b w:val="0"/>
          <w:color w:val="62716E"/>
          <w:sz w:val="16"/>
        </w:rPr>
        <w:t>[1] S-07; S-08; S-18; AO-05; F-B01; F-B02; P-13; MIG-05</w:t>
      </w:r>
    </w:p>
    <w:p>
      <w:pPr>
        <w:spacing w:after="100"/>
      </w:pPr>
      <w:r>
        <w:rPr>
          <w:rFonts w:ascii="Arial" w:hAnsi="Arial" w:eastAsia="Arial" w:cs="Arial"/>
          <w:b w:val="0"/>
          <w:color w:val="243A36"/>
          <w:sz w:val="19"/>
        </w:rPr>
        <w:t>Identificar la línea base aprobada aplicable al intervalo, con región de referencia, causas, reservorios, gases y distribución. Distinguir condiciones observadas y contrafactual; la línea base no se convierte en observación por tratarse de una cuenta ex post.</w:t>
      </w:r>
    </w:p>
    <w:p>
      <w:pPr>
        <w:keepNext/>
        <w:spacing w:after="100"/>
      </w:pPr>
      <w:r>
        <w:rPr>
          <w:rFonts w:ascii="Arial" w:hAnsi="Arial" w:eastAsia="Arial" w:cs="Arial"/>
          <w:b/>
          <w:color w:val="215F52"/>
          <w:sz w:val="20"/>
        </w:rPr>
        <w:t>MR-11-T01 / Componentes de línea base retenidos</w:t>
      </w:r>
    </w:p>
    <w:p>
      <w:pPr>
        <w:keepNext/>
        <w:spacing w:after="100"/>
      </w:pPr>
      <w:r>
        <w:rPr>
          <w:rFonts w:ascii="Arial" w:hAnsi="Arial" w:eastAsia="Arial" w:cs="Arial"/>
          <w:b/>
          <w:color w:val="215F52"/>
          <w:sz w:val="17"/>
        </w:rPr>
        <w:t>MR-11-T01 / Notación de cálculo</w:t>
      </w:r>
    </w:p>
    <w:p>
      <w:pPr>
        <w:keepNext/>
        <w:spacing w:after="60" w:before="20"/>
        <w:jc w:val="center"/>
      </w:pPr>
      <m:oMath>
        <m:sSub>
          <m:e>
            <m:r>
              <w:rPr>
                <w:sz w:val="20"/>
                <w:rFonts w:ascii="Cambria Math" w:hAnsi="Cambria Math"/>
              </w:rPr>
              <m:t>N</m:t>
            </m:r>
          </m:e>
          <m:sub>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nary>
          <m:naryPr>
            <m:chr m:val="∑"/>
            <m:limLoc m:val="undOvr"/>
            <m:subHide m:val="off"/>
            <m:supHide m:val="on"/>
          </m:naryPr>
          <m:sub>
            <m:r>
              <w:rPr>
                <w:sz w:val="20"/>
                <w:rFonts w:ascii="Cambria Math" w:hAnsi="Cambria Math"/>
              </w:rPr>
              <m:rPr>
                <m:sty m:val="p"/>
              </m:rPr>
              <m:t>ℓ</m:t>
            </m:r>
            <m:r>
              <w:rPr>
                <w:sz w:val="20"/>
                <w:rFonts w:ascii="Cambria Math" w:hAnsi="Cambria Math"/>
              </w:rPr>
              <m:rPr>
                <m:sty m:val="p"/>
              </m:rPr>
              <m:t>∈</m:t>
            </m:r>
            <m:sSub>
              <m:e>
                <m:r>
                  <w:rPr>
                    <w:sz w:val="20"/>
                    <w:rFonts w:ascii="Cambria Math" w:hAnsi="Cambria Math"/>
                  </w:rPr>
                  <m:rPr>
                    <m:sty m:val="p"/>
                    <m:scr m:val="script"/>
                  </m:rPr>
                  <m:t>I</m:t>
                </m:r>
              </m:e>
              <m:sub>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Sub>
          </m:sub>
          <m:sup>
            <m:r>
              <w:rPr>
                <w:sz w:val="20"/>
                <w:rFonts w:ascii="Cambria Math" w:hAnsi="Cambria Math"/>
              </w:rPr>
              <m:t>​</m:t>
            </m:r>
          </m:sup>
          <m:e>
            <m:sSub>
              <m:e>
                <m:r>
                  <w:rPr>
                    <w:sz w:val="20"/>
                    <w:rFonts w:ascii="Cambria Math" w:hAnsi="Cambria Math"/>
                  </w:rPr>
                  <m:t>q</m:t>
                </m:r>
              </m:e>
              <m:sub>
                <m:r>
                  <w:rPr>
                    <w:sz w:val="20"/>
                    <w:rFonts w:ascii="Cambria Math" w:hAnsi="Cambria Math"/>
                  </w:rPr>
                  <m:rPr>
                    <m:sty m:val="p"/>
                  </m:rPr>
                  <m:t>ℓ</m:t>
                </m:r>
                <m:r>
                  <w:rPr>
                    <w:sz w:val="20"/>
                    <w:rFonts w:ascii="Cambria Math" w:hAnsi="Cambria Math"/>
                  </w:rPr>
                  <m:rPr>
                    <m:sty m:val="p"/>
                  </m:rPr>
                  <m:t>,</m:t>
                </m:r>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Sub>
          </m:e>
        </m:nary>
      </m:oMath>
    </w:p>
    <w:p>
      <w:pPr>
        <w:keepNext/>
        <w:spacing w:after="60"/>
      </w:pPr>
      <w:r>
        <w:rPr>
          <w:rFonts w:ascii="Arial" w:hAnsi="Arial" w:eastAsia="Arial" w:cs="Arial"/>
          <w:b w:val="0"/>
          <w:color w:val="215F52"/>
          <w:sz w:val="17"/>
        </w:rPr>
        <w:t>Las entradas de línea base pertenecen al contrafactual aprobado y período comparable. No ingresar como N_BL un subtotal que ya descuenta emisiones del proyecto para restarlas otra vez. Definir impulsor, reservorio y gas y conservar expresión de celda original.</w:t>
      </w:r>
    </w:p>
    <w:p>
      <w:pPr>
        <w:keepNext/>
        <w:spacing w:after="80"/>
      </w:pPr>
      <w:r>
        <w:rPr>
          <w:rFonts w:ascii="Arial" w:hAnsi="Arial" w:eastAsia="Arial" w:cs="Arial"/>
          <w:b w:val="0"/>
          <w:color w:val="62716E"/>
          <w:sz w:val="16"/>
        </w:rPr>
        <w:t>Base: M04.4; M04.5; P-13. Ubicación del cálculo: Components!D=BL; ExAnte!F; ExPost!F.</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Causa / reservorio / gas / período</w:t>
            </w:r>
          </w:p>
        </w:tc>
        <w:tc>
          <w:tcPr>
            <w:tcW w:type="dxa" w:w="3572"/>
            <w:vAlign w:val="center"/>
            <w:shd w:fill="F1F5F2"/>
          </w:tcPr>
          <w:p>
            <w:pPr>
              <w:keepNext/>
              <w:spacing w:after="20"/>
            </w:pPr>
            <w:r>
              <w:rPr>
                <w:rFonts w:ascii="Arial" w:hAnsi="Arial" w:eastAsia="Arial" w:cs="Arial"/>
                <w:b/>
                <w:color w:val="215F52"/>
                <w:sz w:val="17"/>
              </w:rPr>
              <w:t>Entrada, factor y masa neta del componente</w:t>
            </w:r>
          </w:p>
        </w:tc>
        <w:tc>
          <w:tcPr>
            <w:tcW w:type="dxa" w:w="3390"/>
            <w:vAlign w:val="center"/>
            <w:shd w:fill="F1F5F2"/>
          </w:tcPr>
          <w:p>
            <w:pPr>
              <w:keepNext/>
              <w:spacing w:after="20"/>
            </w:pPr>
            <w:r>
              <w:rPr>
                <w:rFonts w:ascii="Arial" w:hAnsi="Arial" w:eastAsia="Arial" w:cs="Arial"/>
                <w:b/>
                <w:color w:val="215F52"/>
                <w:sz w:val="17"/>
              </w:rPr>
              <w:t>Ecuación, celda fuente y fundamento aprobado</w:t>
            </w:r>
          </w:p>
        </w:tc>
      </w:tr>
      <w:tr>
        <w:trPr>
          <w:trHeight w:val="442" w:hRule="atLeast"/>
        </w:trPr>
        <w:tc>
          <w:tcPr>
            <w:tcW w:type="dxa" w:w="2778"/>
            <w:vAlign w:val="top"/>
          </w:tcPr>
          <w:p>
            <w:pPr>
              <w:keepNext w:val="0"/>
              <w:spacing w:after="20"/>
            </w:pPr>
            <w:sdt>
              <w:sdtPr>
                <w:id w:val="1663"/>
                <w:alias w:val="MR-11-T01-R1-C1"/>
                <w:tag w:val="MR-11-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664"/>
                <w:alias w:val="MR-11-T01-R1-C2"/>
                <w:tag w:val="MR-11-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665"/>
                <w:alias w:val="MR-11-T01-R1-C3"/>
                <w:tag w:val="MR-11-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66"/>
                <w:alias w:val="MR-11-T01-R2-C1"/>
                <w:tag w:val="MR-11-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667"/>
                <w:alias w:val="MR-11-T01-R2-C2"/>
                <w:tag w:val="MR-11-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668"/>
                <w:alias w:val="MR-11-T01-R2-C3"/>
                <w:tag w:val="MR-11-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69"/>
                <w:alias w:val="MR-11-T01-R3-C1"/>
                <w:tag w:val="MR-11-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670"/>
                <w:alias w:val="MR-11-T01-R3-C2"/>
                <w:tag w:val="MR-11-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671"/>
                <w:alias w:val="MR-11-T01-R3-C3"/>
                <w:tag w:val="MR-11-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72"/>
                <w:alias w:val="MR-11-T01-R4-C1"/>
                <w:tag w:val="MR-11-T01-R4-C1"/>
                <w:text w:multiLine="1"/>
              </w:sdtPr>
              <w:sdtContent>
                <w:r>
                  <w:rPr>
                    <w:rFonts w:ascii="Arial" w:hAnsi="Arial"/>
                    <w:color w:val="62716E"/>
                    <w:sz w:val="18"/>
                  </w:rPr>
                  <w:t>[Completar]</w:t>
                </w:r>
              </w:sdtContent>
            </w:sdt>
          </w:p>
        </w:tc>
        <w:tc>
          <w:tcPr>
            <w:tcW w:type="dxa" w:w="3572"/>
            <w:vAlign w:val="top"/>
          </w:tcPr>
          <w:p>
            <w:pPr>
              <w:keepNext w:val="0"/>
              <w:spacing w:after="20"/>
            </w:pPr>
            <w:sdt>
              <w:sdtPr>
                <w:id w:val="1673"/>
                <w:alias w:val="MR-11-T01-R4-C2"/>
                <w:tag w:val="MR-11-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674"/>
                <w:alias w:val="MR-11-T01-R4-C3"/>
                <w:tag w:val="MR-11-T01-R4-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Explicar si se mantiene o modifica el contrafactual original, con decisión rectora y efecto comparable en proyecto y fugas. Un subtotal ya neto de emisiones del proyecto no es una entrada bruta de línea base. Registrar obligaciones nacionales o de anidamiento mediante el perfil fechado.</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675"/>
                <w:alias w:val="MR-response-31"/>
                <w:tag w:val="MR-response-31"/>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bookmarkStart w:id="393" w:name="MR_12"/>
      <w:pPr>
        <w:pStyle w:val="Heading1"/>
        <w:keepNext/>
        <w:pageBreakBefore/>
      </w:pPr>
      <w:r>
        <w:rPr>
          <w:rFonts w:ascii="Arial" w:hAnsi="Arial" w:eastAsia="Arial" w:cs="Arial"/>
          <w:b w:val="0"/>
          <w:color w:val="215F52"/>
          <w:sz w:val="38"/>
        </w:rPr>
        <w:t>12  Emisiones y remociones reales del proyecto</w:t>
      </w:r>
      <w:bookmarkEnd w:id="393"/>
    </w:p>
    <w:p>
      <w:pPr>
        <w:keepNext/>
        <w:spacing w:after="100"/>
      </w:pPr>
      <w:r>
        <w:rPr>
          <w:rFonts w:ascii="Arial" w:hAnsi="Arial" w:eastAsia="Arial" w:cs="Arial"/>
          <w:b w:val="0"/>
          <w:color w:val="62716E"/>
          <w:sz w:val="16"/>
        </w:rPr>
        <w:t>[1] M04.4; M04.5; F-C01; F-C02; T-08; AP-07; P-02</w:t>
      </w:r>
    </w:p>
    <w:p>
      <w:pPr>
        <w:spacing w:after="100"/>
      </w:pPr>
      <w:r>
        <w:rPr>
          <w:rFonts w:ascii="Arial" w:hAnsi="Arial" w:eastAsia="Arial" w:cs="Arial"/>
          <w:b w:val="0"/>
          <w:color w:val="243A36"/>
          <w:sz w:val="19"/>
        </w:rPr>
        <w:t>Reportar actividad observada del proyecto y conversiones sustentadas, incluidas emisiones de implementación y remociones dentro del alcance aprobado. Identificar fuentes incluidas, excluidas bajo regla explícita o pendientes. No sustituir observaciones por efectividad ex ante supuesta.</w:t>
      </w:r>
    </w:p>
    <w:p>
      <w:pPr>
        <w:keepNext/>
        <w:spacing w:after="100"/>
      </w:pPr>
      <w:r>
        <w:rPr>
          <w:rFonts w:ascii="Arial" w:hAnsi="Arial" w:eastAsia="Arial" w:cs="Arial"/>
          <w:b/>
          <w:color w:val="215F52"/>
          <w:sz w:val="20"/>
        </w:rPr>
        <w:t>MR-12-T01 / Cuenta por gas y fuente</w:t>
      </w:r>
    </w:p>
    <w:p>
      <w:pPr>
        <w:keepNext/>
        <w:spacing w:after="100"/>
      </w:pPr>
      <w:r>
        <w:rPr>
          <w:rFonts w:ascii="Arial" w:hAnsi="Arial" w:eastAsia="Arial" w:cs="Arial"/>
          <w:b/>
          <w:color w:val="215F52"/>
          <w:sz w:val="17"/>
        </w:rPr>
        <w:t>MR-12-T01 / Notación de cálculo</w:t>
      </w:r>
    </w:p>
    <w:p>
      <w:pPr>
        <w:keepNext/>
        <w:spacing w:after="60" w:before="20"/>
        <w:jc w:val="center"/>
      </w:pPr>
      <m:oMath>
        <m:sSub>
          <m:e>
            <m:r>
              <w:rPr>
                <w:sz w:val="20"/>
                <w:rFonts w:ascii="Cambria Math" w:hAnsi="Cambria Math"/>
              </w:rPr>
              <m:t>N</m:t>
            </m:r>
          </m:e>
          <m:sub>
            <m:r>
              <w:rPr>
                <w:sz w:val="20"/>
                <w:rFonts w:ascii="Cambria Math" w:hAnsi="Cambria Math"/>
              </w:rPr>
              <m:t>s</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sSub>
          <m:e>
            <m:r>
              <w:rPr>
                <w:sz w:val="20"/>
                <w:rFonts w:ascii="Cambria Math" w:hAnsi="Cambria Math"/>
              </w:rPr>
              <m:t>E</m:t>
            </m:r>
          </m:e>
          <m:sub>
            <m:r>
              <w:rPr>
                <w:sz w:val="20"/>
                <w:rFonts w:ascii="Cambria Math" w:hAnsi="Cambria Math"/>
              </w:rPr>
              <m:rPr>
                <m:sty m:val="p"/>
              </m:rPr>
              <m:t>C</m:t>
            </m:r>
            <m:sSub>
              <m:e>
                <m:r>
                  <w:rPr>
                    <w:sz w:val="20"/>
                    <w:rFonts w:ascii="Cambria Math" w:hAnsi="Cambria Math"/>
                  </w:rPr>
                  <m:rPr>
                    <m:sty m:val="p"/>
                  </m:rPr>
                  <m:t>O</m:t>
                </m:r>
              </m:e>
              <m:sub>
                <m:r>
                  <w:rPr>
                    <w:sz w:val="20"/>
                    <w:rFonts w:ascii="Cambria Math" w:hAnsi="Cambria Math"/>
                  </w:rPr>
                  <m:rPr>
                    <m:sty m:val="p"/>
                  </m:rPr>
                  <m:t>2</m:t>
                </m:r>
              </m:sub>
            </m:sSub>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sSub>
          <m:e>
            <m:r>
              <w:rPr>
                <w:sz w:val="20"/>
                <w:rFonts w:ascii="Cambria Math" w:hAnsi="Cambria Math"/>
              </w:rPr>
              <m:t>R</m:t>
            </m:r>
          </m:e>
          <m:sub>
            <m:r>
              <w:rPr>
                <w:sz w:val="20"/>
                <w:rFonts w:ascii="Cambria Math" w:hAnsi="Cambria Math"/>
              </w:rPr>
              <m:rPr>
                <m:sty m:val="p"/>
              </m:rPr>
              <m:t>C</m:t>
            </m:r>
            <m:sSub>
              <m:e>
                <m:r>
                  <w:rPr>
                    <w:sz w:val="20"/>
                    <w:rFonts w:ascii="Cambria Math" w:hAnsi="Cambria Math"/>
                  </w:rPr>
                  <m:rPr>
                    <m:sty m:val="p"/>
                  </m:rPr>
                  <m:t>O</m:t>
                </m:r>
              </m:e>
              <m:sub>
                <m:r>
                  <w:rPr>
                    <w:sz w:val="20"/>
                    <w:rFonts w:ascii="Cambria Math" w:hAnsi="Cambria Math"/>
                  </w:rPr>
                  <m:rPr>
                    <m:sty m:val="p"/>
                  </m:rPr>
                  <m:t>2</m:t>
                </m:r>
              </m:sub>
            </m:sSub>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nary>
          <m:naryPr>
            <m:chr m:val="∑"/>
            <m:limLoc m:val="undOvr"/>
            <m:subHide m:val="off"/>
            <m:supHide m:val="on"/>
          </m:naryPr>
          <m:sub>
            <m:r>
              <w:rPr>
                <w:sz w:val="20"/>
                <w:rFonts w:ascii="Cambria Math" w:hAnsi="Cambria Math"/>
              </w:rPr>
              <m:t>g</m:t>
            </m:r>
            <m:r>
              <w:rPr>
                <w:sz w:val="20"/>
                <w:rFonts w:ascii="Cambria Math" w:hAnsi="Cambria Math"/>
              </w:rPr>
              <m:rPr>
                <m:sty m:val="p"/>
              </m:rPr>
              <m:t>≠</m:t>
            </m:r>
            <m:r>
              <w:rPr>
                <w:sz w:val="20"/>
                <w:rFonts w:ascii="Cambria Math" w:hAnsi="Cambria Math"/>
              </w:rPr>
              <m:rPr>
                <m:sty m:val="p"/>
              </m:rPr>
              <m:t>C</m:t>
            </m:r>
            <m:sSub>
              <m:e>
                <m:r>
                  <w:rPr>
                    <w:sz w:val="20"/>
                    <w:rFonts w:ascii="Cambria Math" w:hAnsi="Cambria Math"/>
                  </w:rPr>
                  <m:rPr>
                    <m:sty m:val="p"/>
                  </m:rPr>
                  <m:t>O</m:t>
                </m:r>
              </m:e>
              <m:sub>
                <m:r>
                  <w:rPr>
                    <w:sz w:val="20"/>
                    <w:rFonts w:ascii="Cambria Math" w:hAnsi="Cambria Math"/>
                  </w:rPr>
                  <m:rPr>
                    <m:sty m:val="p"/>
                  </m:rPr>
                  <m:t>2</m:t>
                </m:r>
              </m:sub>
            </m:sSub>
          </m:sub>
          <m:sup>
            <m:r>
              <w:rPr>
                <w:sz w:val="20"/>
                <w:rFonts w:ascii="Cambria Math" w:hAnsi="Cambria Math"/>
              </w:rPr>
              <m:t>​</m:t>
            </m:r>
          </m:sup>
          <m:e>
            <m:sSub>
              <m:e>
                <m:r>
                  <w:rPr>
                    <w:sz w:val="20"/>
                    <w:rFonts w:ascii="Cambria Math" w:hAnsi="Cambria Math"/>
                  </w:rPr>
                  <m:rPr>
                    <m:sty m:val="p"/>
                  </m:rPr>
                  <m:t>G</m:t>
                </m:r>
                <m:r>
                  <w:rPr>
                    <w:sz w:val="20"/>
                    <w:rFonts w:ascii="Cambria Math" w:hAnsi="Cambria Math"/>
                  </w:rPr>
                  <m:rPr>
                    <m:sty m:val="p"/>
                  </m:rPr>
                  <m:t>W</m:t>
                </m:r>
                <m:r>
                  <w:rPr>
                    <w:sz w:val="20"/>
                    <w:rFonts w:ascii="Cambria Math" w:hAnsi="Cambria Math"/>
                  </w:rPr>
                  <m:rPr>
                    <m:sty m:val="p"/>
                  </m:rPr>
                  <m:t>P</m:t>
                </m:r>
              </m:e>
              <m:sub>
                <m:r>
                  <w:rPr>
                    <w:sz w:val="20"/>
                    <w:rFonts w:ascii="Cambria Math" w:hAnsi="Cambria Math"/>
                  </w:rPr>
                  <m:t>g</m:t>
                </m:r>
              </m:sub>
            </m:sSub>
          </m:e>
        </m:nary>
        <m:sSub>
          <m:e>
            <m:r>
              <w:rPr>
                <w:sz w:val="20"/>
                <w:rFonts w:ascii="Cambria Math" w:hAnsi="Cambria Math"/>
              </w:rPr>
              <m:t>E</m:t>
            </m:r>
          </m:e>
          <m:sub>
            <m:r>
              <w:rPr>
                <w:sz w:val="20"/>
                <w:rFonts w:ascii="Cambria Math" w:hAnsi="Cambria Math"/>
              </w:rPr>
              <m:t>g</m:t>
            </m:r>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oMath>
    </w:p>
    <w:p>
      <w:pPr>
        <w:keepNext/>
        <w:spacing w:after="60"/>
      </w:pPr>
      <w:r>
        <w:rPr>
          <w:rFonts w:ascii="Arial" w:hAnsi="Arial" w:eastAsia="Arial" w:cs="Arial"/>
          <w:b w:val="0"/>
          <w:color w:val="215F52"/>
          <w:sz w:val="17"/>
        </w:rPr>
        <w:t>s es BL o PJ; E son emisiones y R remociones de CO2. Registrar masas por gas, fuente y horizonte de caracterización adoptados. No caracterizar de nuevo CO2e ya caracterizado. El libro importa estos cálculos de componentes calificados.</w:t>
      </w:r>
    </w:p>
    <w:p>
      <w:pPr>
        <w:keepNext/>
        <w:spacing w:after="80"/>
      </w:pPr>
      <w:r>
        <w:rPr>
          <w:rFonts w:ascii="Arial" w:hAnsi="Arial" w:eastAsia="Arial" w:cs="Arial"/>
          <w:b w:val="0"/>
          <w:color w:val="62716E"/>
          <w:sz w:val="16"/>
        </w:rPr>
        <w:t>Base: M04.4; AP-07. Ubicación del cálculo: Components!F:L; Profile!B17.</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Fuente / sumidero / gas / período</w:t>
            </w:r>
          </w:p>
        </w:tc>
        <w:tc>
          <w:tcPr>
            <w:tcW w:type="dxa" w:w="3572"/>
            <w:vAlign w:val="center"/>
            <w:shd w:fill="F1F5F2"/>
          </w:tcPr>
          <w:p>
            <w:pPr>
              <w:keepNext/>
              <w:spacing w:after="20"/>
            </w:pPr>
            <w:r>
              <w:rPr>
                <w:rFonts w:ascii="Arial" w:hAnsi="Arial" w:eastAsia="Arial" w:cs="Arial"/>
                <w:b/>
                <w:color w:val="215F52"/>
                <w:sz w:val="17"/>
              </w:rPr>
              <w:t>Cantidad original, unidad, factor y contribución neta</w:t>
            </w:r>
          </w:p>
        </w:tc>
        <w:tc>
          <w:tcPr>
            <w:tcW w:type="dxa" w:w="3390"/>
            <w:vAlign w:val="center"/>
            <w:shd w:fill="F1F5F2"/>
          </w:tcPr>
          <w:p>
            <w:pPr>
              <w:keepNext/>
              <w:spacing w:after="20"/>
            </w:pPr>
            <w:r>
              <w:rPr>
                <w:rFonts w:ascii="Arial" w:hAnsi="Arial" w:eastAsia="Arial" w:cs="Arial"/>
                <w:b/>
                <w:color w:val="215F52"/>
                <w:sz w:val="17"/>
              </w:rPr>
              <w:t>Fuente/horizonte PCG, conversión y evidencia</w:t>
            </w:r>
          </w:p>
        </w:tc>
      </w:tr>
      <w:tr>
        <w:trPr>
          <w:trHeight w:val="442" w:hRule="atLeast"/>
        </w:trPr>
        <w:tc>
          <w:tcPr>
            <w:tcW w:type="dxa" w:w="2778"/>
            <w:vAlign w:val="top"/>
          </w:tcPr>
          <w:p>
            <w:pPr>
              <w:keepNext w:val="0"/>
              <w:spacing w:after="20"/>
            </w:pPr>
            <w:sdt>
              <w:sdtPr>
                <w:id w:val="1676"/>
                <w:alias w:val="MR-12-T01-R1-C1"/>
                <w:tag w:val="MR-12-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677"/>
                <w:alias w:val="MR-12-T01-R1-C2"/>
                <w:tag w:val="MR-12-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678"/>
                <w:alias w:val="MR-12-T01-R1-C3"/>
                <w:tag w:val="MR-12-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79"/>
                <w:alias w:val="MR-12-T01-R2-C1"/>
                <w:tag w:val="MR-12-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680"/>
                <w:alias w:val="MR-12-T01-R2-C2"/>
                <w:tag w:val="MR-12-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681"/>
                <w:alias w:val="MR-12-T01-R2-C3"/>
                <w:tag w:val="MR-12-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82"/>
                <w:alias w:val="MR-12-T01-R3-C1"/>
                <w:tag w:val="MR-12-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683"/>
                <w:alias w:val="MR-12-T01-R3-C2"/>
                <w:tag w:val="MR-12-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684"/>
                <w:alias w:val="MR-12-T01-R3-C3"/>
                <w:tag w:val="MR-12-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85"/>
                <w:alias w:val="MR-12-T01-R4-C1"/>
                <w:tag w:val="MR-12-T01-R4-C1"/>
                <w:text w:multiLine="1"/>
              </w:sdtPr>
              <w:sdtContent>
                <w:r>
                  <w:rPr>
                    <w:rFonts w:ascii="Arial" w:hAnsi="Arial"/>
                    <w:color w:val="62716E"/>
                    <w:sz w:val="18"/>
                  </w:rPr>
                  <w:t>[Completar]</w:t>
                </w:r>
              </w:sdtContent>
            </w:sdt>
          </w:p>
        </w:tc>
        <w:tc>
          <w:tcPr>
            <w:tcW w:type="dxa" w:w="3572"/>
            <w:vAlign w:val="top"/>
          </w:tcPr>
          <w:p>
            <w:pPr>
              <w:keepNext w:val="0"/>
              <w:spacing w:after="20"/>
            </w:pPr>
            <w:sdt>
              <w:sdtPr>
                <w:id w:val="1686"/>
                <w:alias w:val="MR-12-T01-R4-C2"/>
                <w:tag w:val="MR-12-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687"/>
                <w:alias w:val="MR-12-T01-R4-C3"/>
                <w:tag w:val="MR-12-T01-R4-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MR-12-T02 / Cálculo de componentes y exclusiones</w:t>
      </w:r>
    </w:p>
    <w:p>
      <w:pPr>
        <w:keepNext/>
        <w:spacing w:after="100"/>
      </w:pPr>
      <w:r>
        <w:rPr>
          <w:rFonts w:ascii="Arial" w:hAnsi="Arial" w:eastAsia="Arial" w:cs="Arial"/>
          <w:b/>
          <w:color w:val="215F52"/>
          <w:sz w:val="17"/>
        </w:rPr>
        <w:t>MR-12-T02 / Notación de cálculo</w:t>
      </w:r>
    </w:p>
    <w:p>
      <w:pPr>
        <w:keepNext/>
        <w:spacing w:after="60" w:before="20"/>
        <w:jc w:val="center"/>
      </w:pPr>
      <m:oMath>
        <m:sSub>
          <m:e>
            <m:r>
              <w:rPr>
                <w:sz w:val="20"/>
                <w:rFonts w:ascii="Cambria Math" w:hAnsi="Cambria Math"/>
              </w:rPr>
              <m:t>q</m:t>
            </m:r>
          </m:e>
          <m:sub>
            <m:r>
              <w:rPr>
                <w:sz w:val="20"/>
                <w:rFonts w:ascii="Cambria Math" w:hAnsi="Cambria Math"/>
              </w:rPr>
              <m:rPr>
                <m:sty m:val="p"/>
              </m:rPr>
              <m:t>ℓ</m:t>
            </m:r>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sSub>
          <m:e>
            <m:r>
              <w:rPr>
                <w:sz w:val="20"/>
                <w:rFonts w:ascii="Cambria Math" w:hAnsi="Cambria Math"/>
              </w:rPr>
              <m:t>x</m:t>
            </m:r>
          </m:e>
          <m:sub>
            <m:r>
              <w:rPr>
                <w:sz w:val="20"/>
                <w:rFonts w:ascii="Cambria Math" w:hAnsi="Cambria Math"/>
              </w:rPr>
              <m:rPr>
                <m:sty m:val="p"/>
              </m:rPr>
              <m:t>ℓ</m:t>
            </m:r>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sSub>
          <m:e>
            <m:r>
              <w:rPr>
                <w:sz w:val="20"/>
                <w:rFonts w:ascii="Cambria Math" w:hAnsi="Cambria Math"/>
              </w:rPr>
              <m:t>f</m:t>
            </m:r>
          </m:e>
          <m:sub>
            <m:r>
              <w:rPr>
                <w:sz w:val="20"/>
                <w:rFonts w:ascii="Cambria Math" w:hAnsi="Cambria Math"/>
              </w:rPr>
              <m:rPr>
                <m:sty m:val="p"/>
              </m:rPr>
              <m:t>ℓ</m:t>
            </m:r>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oMath>
    </w:p>
    <w:p>
      <w:pPr>
        <w:keepNext/>
        <w:spacing w:after="60" w:before="20"/>
        <w:jc w:val="center"/>
      </w:pPr>
      <m:oMath>
        <m:sSub>
          <m:e>
            <m:r>
              <w:rPr>
                <w:sz w:val="20"/>
                <w:rFonts w:ascii="Cambria Math" w:hAnsi="Cambria Math"/>
              </w:rPr>
              <m:t>N</m:t>
            </m:r>
          </m:e>
          <m:sub>
            <m:r>
              <w:rPr>
                <w:sz w:val="20"/>
                <w:rFonts w:ascii="Cambria Math" w:hAnsi="Cambria Math"/>
              </w:rPr>
              <m:t>s</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nary>
          <m:naryPr>
            <m:chr m:val="∑"/>
            <m:limLoc m:val="undOvr"/>
            <m:subHide m:val="off"/>
            <m:supHide m:val="on"/>
          </m:naryPr>
          <m:sub>
            <m:r>
              <w:rPr>
                <w:sz w:val="20"/>
                <w:rFonts w:ascii="Cambria Math" w:hAnsi="Cambria Math"/>
              </w:rPr>
              <m:rPr>
                <m:sty m:val="p"/>
              </m:rPr>
              <m:t>ℓ</m:t>
            </m:r>
            <m:r>
              <w:rPr>
                <w:sz w:val="20"/>
                <w:rFonts w:ascii="Cambria Math" w:hAnsi="Cambria Math"/>
              </w:rPr>
              <m:rPr>
                <m:sty m:val="p"/>
              </m:rPr>
              <m:t>∈</m:t>
            </m:r>
            <m:sSub>
              <m:e>
                <m:r>
                  <w:rPr>
                    <w:sz w:val="20"/>
                    <w:rFonts w:ascii="Cambria Math" w:hAnsi="Cambria Math"/>
                  </w:rPr>
                  <m:rPr>
                    <m:sty m:val="p"/>
                    <m:scr m:val="script"/>
                  </m:rPr>
                  <m:t>I</m:t>
                </m:r>
              </m:e>
              <m:sub>
                <m:r>
                  <w:rPr>
                    <w:sz w:val="20"/>
                    <w:rFonts w:ascii="Cambria Math" w:hAnsi="Cambria Math"/>
                  </w:rPr>
                  <m:t>s</m:t>
                </m:r>
                <m:r>
                  <w:rPr>
                    <w:sz w:val="20"/>
                    <w:rFonts w:ascii="Cambria Math" w:hAnsi="Cambria Math"/>
                  </w:rPr>
                  <m:rPr>
                    <m:sty m:val="p"/>
                  </m:rPr>
                  <m:t>,</m:t>
                </m:r>
                <m:r>
                  <w:rPr>
                    <w:sz w:val="20"/>
                    <w:rFonts w:ascii="Cambria Math" w:hAnsi="Cambria Math"/>
                  </w:rPr>
                  <m:t>t</m:t>
                </m:r>
              </m:sub>
            </m:sSub>
          </m:sub>
          <m:sup>
            <m:r>
              <w:rPr>
                <w:sz w:val="20"/>
                <w:rFonts w:ascii="Cambria Math" w:hAnsi="Cambria Math"/>
              </w:rPr>
              <m:t>​</m:t>
            </m:r>
          </m:sup>
          <m:e>
            <m:sSub>
              <m:e>
                <m:r>
                  <w:rPr>
                    <w:sz w:val="20"/>
                    <w:rFonts w:ascii="Cambria Math" w:hAnsi="Cambria Math"/>
                  </w:rPr>
                  <m:t>q</m:t>
                </m:r>
              </m:e>
              <m:sub>
                <m:r>
                  <w:rPr>
                    <w:sz w:val="20"/>
                    <w:rFonts w:ascii="Cambria Math" w:hAnsi="Cambria Math"/>
                  </w:rPr>
                  <m:rPr>
                    <m:sty m:val="p"/>
                  </m:rPr>
                  <m:t>ℓ</m:t>
                </m:r>
                <m:r>
                  <w:rPr>
                    <w:sz w:val="20"/>
                    <w:rFonts w:ascii="Cambria Math" w:hAnsi="Cambria Math"/>
                  </w:rPr>
                  <m:rPr>
                    <m:sty m:val="p"/>
                  </m:rPr>
                  <m:t>,</m:t>
                </m:r>
                <m:r>
                  <w:rPr>
                    <w:sz w:val="20"/>
                    <w:rFonts w:ascii="Cambria Math" w:hAnsi="Cambria Math"/>
                  </w:rPr>
                  <m:t>s</m:t>
                </m:r>
                <m:r>
                  <w:rPr>
                    <w:sz w:val="20"/>
                    <w:rFonts w:ascii="Cambria Math" w:hAnsi="Cambria Math"/>
                  </w:rPr>
                  <m:rPr>
                    <m:sty m:val="p"/>
                  </m:rPr>
                  <m:t>,</m:t>
                </m:r>
                <m:r>
                  <w:rPr>
                    <w:sz w:val="20"/>
                    <w:rFonts w:ascii="Cambria Math" w:hAnsi="Cambria Math"/>
                  </w:rPr>
                  <m:t>t</m:t>
                </m:r>
              </m:sub>
            </m:sSub>
          </m:e>
        </m:nary>
      </m:oMath>
    </w:p>
    <w:p>
      <w:pPr>
        <w:keepNext/>
        <w:spacing w:after="60"/>
      </w:pPr>
      <w:r>
        <w:rPr>
          <w:rFonts w:ascii="Arial" w:hAnsi="Arial" w:eastAsia="Arial" w:cs="Arial"/>
          <w:b w:val="0"/>
          <w:color w:val="215F52"/>
          <w:sz w:val="17"/>
        </w:rPr>
        <w:t>Las unidades de x y f producen t CO2e por período. I contiene componentes incluidos, sustentados y disjuntos de igual base, período y cuenta. Para masa precalculada, f=1 se ingresa explícitamente con su significado. BL y PJ son emisiones netas; LK es fuga atribuible.</w:t>
      </w:r>
    </w:p>
    <w:p>
      <w:pPr>
        <w:keepNext/>
        <w:spacing w:after="80"/>
      </w:pPr>
      <w:r>
        <w:rPr>
          <w:rFonts w:ascii="Arial" w:hAnsi="Arial" w:eastAsia="Arial" w:cs="Arial"/>
          <w:b w:val="0"/>
          <w:color w:val="62716E"/>
          <w:sz w:val="16"/>
        </w:rPr>
        <w:t>Base: M04.4; M04.5; T-08; implementación aritmética. Ubicación del cálculo: Components!G:I; ExAnte!F:H; ExPost!F:H.</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Componente / símbolo / estado de inclusión</w:t>
            </w:r>
          </w:p>
        </w:tc>
        <w:tc>
          <w:tcPr>
            <w:tcW w:type="dxa" w:w="3572"/>
            <w:vAlign w:val="center"/>
            <w:shd w:fill="F1F5F2"/>
          </w:tcPr>
          <w:p>
            <w:pPr>
              <w:keepNext/>
              <w:spacing w:after="20"/>
            </w:pPr>
            <w:r>
              <w:rPr>
                <w:rFonts w:ascii="Arial" w:hAnsi="Arial" w:eastAsia="Arial" w:cs="Arial"/>
                <w:b/>
                <w:color w:val="215F52"/>
                <w:sz w:val="17"/>
              </w:rPr>
              <w:t>Actividad, factor y unidad de salida</w:t>
            </w:r>
          </w:p>
        </w:tc>
        <w:tc>
          <w:tcPr>
            <w:tcW w:type="dxa" w:w="3390"/>
            <w:vAlign w:val="center"/>
            <w:shd w:fill="F1F5F2"/>
          </w:tcPr>
          <w:p>
            <w:pPr>
              <w:keepNext/>
              <w:spacing w:after="20"/>
            </w:pPr>
            <w:r>
              <w:rPr>
                <w:rFonts w:ascii="Arial" w:hAnsi="Arial" w:eastAsia="Arial" w:cs="Arial"/>
                <w:b/>
                <w:color w:val="215F52"/>
                <w:sz w:val="17"/>
              </w:rPr>
              <w:t>Celda, fundamento de cero/exclusión y revisión</w:t>
            </w:r>
          </w:p>
        </w:tc>
      </w:tr>
      <w:tr>
        <w:trPr>
          <w:trHeight w:val="442" w:hRule="atLeast"/>
        </w:trPr>
        <w:tc>
          <w:tcPr>
            <w:tcW w:type="dxa" w:w="2778"/>
            <w:vAlign w:val="top"/>
          </w:tcPr>
          <w:p>
            <w:pPr>
              <w:keepNext w:val="0"/>
              <w:spacing w:after="20"/>
            </w:pPr>
            <w:sdt>
              <w:sdtPr>
                <w:id w:val="1688"/>
                <w:alias w:val="MR-12-T02-R1-C1"/>
                <w:tag w:val="MR-12-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689"/>
                <w:alias w:val="MR-12-T02-R1-C2"/>
                <w:tag w:val="MR-12-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690"/>
                <w:alias w:val="MR-12-T02-R1-C3"/>
                <w:tag w:val="MR-12-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91"/>
                <w:alias w:val="MR-12-T02-R2-C1"/>
                <w:tag w:val="MR-12-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692"/>
                <w:alias w:val="MR-12-T02-R2-C2"/>
                <w:tag w:val="MR-12-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693"/>
                <w:alias w:val="MR-12-T02-R2-C3"/>
                <w:tag w:val="MR-12-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694"/>
                <w:alias w:val="MR-12-T02-R3-C1"/>
                <w:tag w:val="MR-12-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695"/>
                <w:alias w:val="MR-12-T02-R3-C2"/>
                <w:tag w:val="MR-12-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696"/>
                <w:alias w:val="MR-12-T02-R3-C3"/>
                <w:tag w:val="MR-12-T02-R3-C3"/>
                <w:text w:multiLine="1"/>
              </w:sdtPr>
              <w:sdtContent>
                <w:r>
                  <w:rPr>
                    <w:rFonts w:ascii="Arial" w:hAnsi="Arial"/>
                    <w:color w:val="62716E"/>
                    <w:sz w:val="18"/>
                  </w:rPr>
                  <w:t>[Completar]</w:t>
                </w:r>
              </w:sdtContent>
            </w:sdt>
          </w:p>
        </w:tc>
      </w:tr>
    </w:tbl>
    <w:p>
      <w:pPr>
        <w:spacing w:after="20" w:before="0" w:line="40" w:lineRule="exact"/>
      </w:pPr>
      <w:r>
        <w:rPr>
          <w:sz w:val="4"/>
        </w:rPr>
      </w:r>
    </w:p>
    <w:p>
      <w:bookmarkStart w:id="409" w:name="MR_13"/>
      <w:pPr>
        <w:pStyle w:val="Heading1"/>
        <w:keepNext/>
        <w:pageBreakBefore/>
      </w:pPr>
      <w:r>
        <w:rPr>
          <w:rFonts w:ascii="Arial" w:hAnsi="Arial" w:eastAsia="Arial" w:cs="Arial"/>
          <w:b w:val="0"/>
          <w:color w:val="215F52"/>
          <w:sz w:val="38"/>
        </w:rPr>
        <w:t>13  Actividad externa y fugas atribuibles</w:t>
      </w:r>
      <w:bookmarkEnd w:id="409"/>
    </w:p>
    <w:p>
      <w:pPr>
        <w:keepNext/>
        <w:spacing w:after="100"/>
      </w:pPr>
      <w:r>
        <w:rPr>
          <w:rFonts w:ascii="Arial" w:hAnsi="Arial" w:eastAsia="Arial" w:cs="Arial"/>
          <w:b w:val="0"/>
          <w:color w:val="62716E"/>
          <w:sz w:val="16"/>
        </w:rPr>
        <w:t>[1] S-09; F-L01; T-08; T-16; P-03; P-04</w:t>
      </w:r>
    </w:p>
    <w:p>
      <w:pPr>
        <w:spacing w:after="100"/>
      </w:pPr>
      <w:r>
        <w:rPr>
          <w:rFonts w:ascii="Arial" w:hAnsi="Arial" w:eastAsia="Arial" w:cs="Arial"/>
          <w:b w:val="0"/>
          <w:color w:val="243A36"/>
          <w:sz w:val="19"/>
        </w:rPr>
        <w:t>Distinguir pérdida externa observada de desplazamiento atribuible al proyecto. Usar soporte comparable en las cuentas externas con y sin proyecto, e identificar ajustes de atribución y restricciones.</w:t>
      </w:r>
    </w:p>
    <w:p>
      <w:pPr>
        <w:keepNext/>
        <w:spacing w:after="100"/>
      </w:pPr>
      <w:r>
        <w:rPr>
          <w:rFonts w:ascii="Arial" w:hAnsi="Arial" w:eastAsia="Arial" w:cs="Arial"/>
          <w:b/>
          <w:color w:val="215F52"/>
          <w:sz w:val="20"/>
        </w:rPr>
        <w:t>MR-13-T01 / Evidencia de fugas y cuenta comparable</w:t>
      </w:r>
    </w:p>
    <w:p>
      <w:pPr>
        <w:keepNext/>
        <w:spacing w:after="100"/>
      </w:pPr>
      <w:r>
        <w:rPr>
          <w:rFonts w:ascii="Arial" w:hAnsi="Arial" w:eastAsia="Arial" w:cs="Arial"/>
          <w:b/>
          <w:color w:val="215F52"/>
          <w:sz w:val="17"/>
        </w:rPr>
        <w:t>MR-13-T01 / Notación de cálculo</w:t>
      </w:r>
    </w:p>
    <w:p>
      <w:pPr>
        <w:keepNext/>
        <w:spacing w:after="60" w:before="20"/>
        <w:jc w:val="center"/>
      </w:pPr>
      <m:oMath>
        <m:sSub>
          <m:e>
            <m:acc>
              <m:accPr>
                <m:chr m:val="̂"/>
              </m:accPr>
              <m:e>
                <m:r>
                  <w:rPr>
                    <w:sz w:val="20"/>
                    <w:rFonts w:ascii="Cambria Math" w:hAnsi="Cambria Math"/>
                  </w:rPr>
                  <m:t>L</m:t>
                </m:r>
              </m:e>
            </m:acc>
          </m:e>
          <m:sub>
            <m:r>
              <w:rPr>
                <w:sz w:val="20"/>
                <w:rFonts w:ascii="Cambria Math" w:hAnsi="Cambria Math"/>
              </w:rPr>
              <m:t>t</m:t>
            </m:r>
          </m:sub>
        </m:sSub>
        <m:r>
          <w:rPr>
            <w:sz w:val="20"/>
            <w:rFonts w:ascii="Cambria Math" w:hAnsi="Cambria Math"/>
          </w:rPr>
          <m:rPr>
            <m:sty m:val="p"/>
          </m:rPr>
          <m:t>=</m:t>
        </m:r>
        <m:sSub>
          <m:e>
            <m:r>
              <w:rPr>
                <w:sz w:val="20"/>
                <w:rFonts w:ascii="Cambria Math" w:hAnsi="Cambria Math"/>
              </w:rPr>
              <m:t>N</m:t>
            </m:r>
          </m:e>
          <m:sub>
            <m:r>
              <w:rPr>
                <w:sz w:val="20"/>
                <w:rFonts w:ascii="Cambria Math" w:hAnsi="Cambria Math"/>
              </w:rPr>
              <m:rPr>
                <m:sty m:val="p"/>
              </m:rPr>
              <m:t>P</m:t>
            </m:r>
            <m:r>
              <w:rPr>
                <w:sz w:val="20"/>
                <w:rFonts w:ascii="Cambria Math" w:hAnsi="Cambria Math"/>
              </w:rPr>
              <m:rPr>
                <m:sty m:val="p"/>
              </m:rPr>
              <m:t>L</m:t>
            </m:r>
            <m:r>
              <w:rPr>
                <w:sz w:val="20"/>
                <w:rFonts w:ascii="Cambria Math" w:hAnsi="Cambria Math"/>
              </w:rPr>
              <m:rPr>
                <m:sty m:val="p"/>
              </m:rPr>
              <m:t>K</m:t>
            </m:r>
            <m:r>
              <w:rPr>
                <w:sz w:val="20"/>
                <w:rFonts w:ascii="Cambria Math" w:hAnsi="Cambria Math"/>
              </w:rPr>
              <m:rPr>
                <m:sty m:val="p"/>
              </m:rPr>
              <m:t>A</m:t>
            </m:r>
            <m:r>
              <w:rPr>
                <w:sz w:val="20"/>
                <w:rFonts w:ascii="Cambria Math" w:hAnsi="Cambria Math"/>
              </w:rPr>
              <m:rPr>
                <m:sty m:val="p"/>
              </m:rPr>
              <m:t>,</m:t>
            </m:r>
            <m:r>
              <w:rPr>
                <w:sz w:val="20"/>
                <w:rFonts w:ascii="Cambria Math" w:hAnsi="Cambria Math"/>
              </w:rPr>
              <m:rPr>
                <m:sty m:val="p"/>
              </m:rPr>
              <m:t>w</m:t>
            </m:r>
            <m:r>
              <w:rPr>
                <w:sz w:val="20"/>
                <w:rFonts w:ascii="Cambria Math" w:hAnsi="Cambria Math"/>
              </w:rPr>
              <m:rPr>
                <m:sty m:val="p"/>
              </m:rPr>
              <m:t>i</m:t>
            </m:r>
            <m:r>
              <w:rPr>
                <w:sz w:val="20"/>
                <w:rFonts w:ascii="Cambria Math" w:hAnsi="Cambria Math"/>
              </w:rPr>
              <m:rPr>
                <m:sty m:val="p"/>
              </m:rPr>
              <m:t>t</m:t>
            </m:r>
            <m:r>
              <w:rPr>
                <w:sz w:val="20"/>
                <w:rFonts w:ascii="Cambria Math" w:hAnsi="Cambria Math"/>
              </w:rPr>
              <m:rPr>
                <m:sty m:val="p"/>
              </m:rPr>
              <m:t>h</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sSub>
          <m:e>
            <m:r>
              <w:rPr>
                <w:sz w:val="20"/>
                <w:rFonts w:ascii="Cambria Math" w:hAnsi="Cambria Math"/>
              </w:rPr>
              <m:t>N</m:t>
            </m:r>
          </m:e>
          <m:sub>
            <m:r>
              <w:rPr>
                <w:sz w:val="20"/>
                <w:rFonts w:ascii="Cambria Math" w:hAnsi="Cambria Math"/>
              </w:rPr>
              <m:rPr>
                <m:sty m:val="p"/>
              </m:rPr>
              <m:t>P</m:t>
            </m:r>
            <m:r>
              <w:rPr>
                <w:sz w:val="20"/>
                <w:rFonts w:ascii="Cambria Math" w:hAnsi="Cambria Math"/>
              </w:rPr>
              <m:rPr>
                <m:sty m:val="p"/>
              </m:rPr>
              <m:t>L</m:t>
            </m:r>
            <m:r>
              <w:rPr>
                <w:sz w:val="20"/>
                <w:rFonts w:ascii="Cambria Math" w:hAnsi="Cambria Math"/>
              </w:rPr>
              <m:rPr>
                <m:sty m:val="p"/>
              </m:rPr>
              <m:t>K</m:t>
            </m:r>
            <m:r>
              <w:rPr>
                <w:sz w:val="20"/>
                <w:rFonts w:ascii="Cambria Math" w:hAnsi="Cambria Math"/>
              </w:rPr>
              <m:rPr>
                <m:sty m:val="p"/>
              </m:rPr>
              <m:t>A</m:t>
            </m:r>
            <m:r>
              <w:rPr>
                <w:sz w:val="20"/>
                <w:rFonts w:ascii="Cambria Math" w:hAnsi="Cambria Math"/>
              </w:rPr>
              <m:rPr>
                <m:sty m:val="p"/>
              </m:rPr>
              <m:t>,</m:t>
            </m:r>
            <m:r>
              <w:rPr>
                <w:sz w:val="20"/>
                <w:rFonts w:ascii="Cambria Math" w:hAnsi="Cambria Math"/>
              </w:rPr>
              <m:rPr>
                <m:sty m:val="p"/>
              </m:rPr>
              <m:t>w</m:t>
            </m:r>
            <m:r>
              <w:rPr>
                <w:sz w:val="20"/>
                <w:rFonts w:ascii="Cambria Math" w:hAnsi="Cambria Math"/>
              </w:rPr>
              <m:rPr>
                <m:sty m:val="p"/>
              </m:rPr>
              <m:t>i</m:t>
            </m:r>
            <m:r>
              <w:rPr>
                <w:sz w:val="20"/>
                <w:rFonts w:ascii="Cambria Math" w:hAnsi="Cambria Math"/>
              </w:rPr>
              <m:rPr>
                <m:sty m:val="p"/>
              </m:rPr>
              <m:t>t</m:t>
            </m:r>
            <m:r>
              <w:rPr>
                <w:sz w:val="20"/>
                <w:rFonts w:ascii="Cambria Math" w:hAnsi="Cambria Math"/>
              </w:rPr>
              <m:rPr>
                <m:sty m:val="p"/>
              </m:rPr>
              <m:t>h</m:t>
            </m:r>
            <m:r>
              <w:rPr>
                <w:sz w:val="20"/>
                <w:rFonts w:ascii="Cambria Math" w:hAnsi="Cambria Math"/>
              </w:rPr>
              <m:rPr>
                <m:sty m:val="p"/>
              </m:rPr>
              <m:t>o</m:t>
            </m:r>
            <m:r>
              <w:rPr>
                <w:sz w:val="20"/>
                <w:rFonts w:ascii="Cambria Math" w:hAnsi="Cambria Math"/>
              </w:rPr>
              <m:rPr>
                <m:sty m:val="p"/>
              </m:rPr>
              <m:t>u</m:t>
            </m:r>
            <m:r>
              <w:rPr>
                <w:sz w:val="20"/>
                <w:rFonts w:ascii="Cambria Math" w:hAnsi="Cambria Math"/>
              </w:rPr>
              <m:rPr>
                <m:sty m:val="p"/>
              </m:rPr>
              <m:t>t</m:t>
            </m:r>
            <m:r>
              <w:rPr>
                <w:sz w:val="20"/>
                <w:rFonts w:ascii="Cambria Math" w:hAnsi="Cambria Math"/>
              </w:rPr>
              <m:rPr>
                <m:sty m:val="p"/>
              </m:rPr>
              <m:t>,</m:t>
            </m:r>
            <m:r>
              <w:rPr>
                <w:sz w:val="20"/>
                <w:rFonts w:ascii="Cambria Math" w:hAnsi="Cambria Math"/>
              </w:rPr>
              <m:t>t</m:t>
            </m:r>
          </m:sub>
        </m:sSub>
      </m:oMath>
    </w:p>
    <w:p>
      <w:pPr>
        <w:keepNext/>
        <w:spacing w:after="60"/>
      </w:pPr>
      <w:r>
        <w:rPr>
          <w:rFonts w:ascii="Arial" w:hAnsi="Arial" w:eastAsia="Arial" w:cs="Arial"/>
          <w:b w:val="0"/>
          <w:color w:val="215F52"/>
          <w:sz w:val="17"/>
        </w:rPr>
        <w:t>Las cuentas comparten geografía, actividades, gases e intervalos. Toda razón fuente conserva numerador/denominador explícitos, no porcentaje supuesto. Un diagnóstico con signo no autoriza automáticamente beneficio extra; rige el perfil de atribución aplicable.</w:t>
      </w:r>
    </w:p>
    <w:p>
      <w:pPr>
        <w:keepNext/>
        <w:spacing w:after="80"/>
      </w:pPr>
      <w:r>
        <w:rPr>
          <w:rFonts w:ascii="Arial" w:hAnsi="Arial" w:eastAsia="Arial" w:cs="Arial"/>
          <w:b w:val="0"/>
          <w:color w:val="62716E"/>
          <w:sz w:val="16"/>
        </w:rPr>
        <w:t>Base: F-L01; T-08. Ubicación del cálculo: Components!D=LK; ExAnte!H; ExPost!H.</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Actividad / dominio externo / intervalo</w:t>
            </w:r>
          </w:p>
        </w:tc>
        <w:tc>
          <w:tcPr>
            <w:tcW w:type="dxa" w:w="3572"/>
            <w:vAlign w:val="center"/>
            <w:shd w:fill="F1F5F2"/>
          </w:tcPr>
          <w:p>
            <w:pPr>
              <w:keepNext/>
              <w:spacing w:after="20"/>
            </w:pPr>
            <w:r>
              <w:rPr>
                <w:rFonts w:ascii="Arial" w:hAnsi="Arial" w:eastAsia="Arial" w:cs="Arial"/>
                <w:b/>
                <w:color w:val="215F52"/>
                <w:sz w:val="17"/>
              </w:rPr>
              <w:t>Cantidades con/sin proyecto; unidad</w:t>
            </w:r>
          </w:p>
        </w:tc>
        <w:tc>
          <w:tcPr>
            <w:tcW w:type="dxa" w:w="3390"/>
            <w:vAlign w:val="center"/>
            <w:shd w:fill="F1F5F2"/>
          </w:tcPr>
          <w:p>
            <w:pPr>
              <w:keepNext/>
              <w:spacing w:after="20"/>
            </w:pPr>
            <w:r>
              <w:rPr>
                <w:rFonts w:ascii="Arial" w:hAnsi="Arial" w:eastAsia="Arial" w:cs="Arial"/>
                <w:b/>
                <w:color w:val="215F52"/>
                <w:sz w:val="17"/>
              </w:rPr>
              <w:t>Fuga atribuida, ajuste y evidencia fuente</w:t>
            </w:r>
          </w:p>
        </w:tc>
      </w:tr>
      <w:tr>
        <w:trPr>
          <w:trHeight w:val="442" w:hRule="atLeast"/>
        </w:trPr>
        <w:tc>
          <w:tcPr>
            <w:tcW w:type="dxa" w:w="2778"/>
            <w:vAlign w:val="top"/>
          </w:tcPr>
          <w:p>
            <w:pPr>
              <w:keepNext w:val="0"/>
              <w:spacing w:after="20"/>
            </w:pPr>
            <w:sdt>
              <w:sdtPr>
                <w:id w:val="1697"/>
                <w:alias w:val="MR-13-T01-R1-C1"/>
                <w:tag w:val="MR-13-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698"/>
                <w:alias w:val="MR-13-T01-R1-C2"/>
                <w:tag w:val="MR-13-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699"/>
                <w:alias w:val="MR-13-T01-R1-C3"/>
                <w:tag w:val="MR-13-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00"/>
                <w:alias w:val="MR-13-T01-R2-C1"/>
                <w:tag w:val="MR-13-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701"/>
                <w:alias w:val="MR-13-T01-R2-C2"/>
                <w:tag w:val="MR-13-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702"/>
                <w:alias w:val="MR-13-T01-R2-C3"/>
                <w:tag w:val="MR-13-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03"/>
                <w:alias w:val="MR-13-T01-R3-C1"/>
                <w:tag w:val="MR-13-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704"/>
                <w:alias w:val="MR-13-T01-R3-C2"/>
                <w:tag w:val="MR-13-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705"/>
                <w:alias w:val="MR-13-T01-R3-C3"/>
                <w:tag w:val="MR-13-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06"/>
                <w:alias w:val="MR-13-T01-R4-C1"/>
                <w:tag w:val="MR-13-T01-R4-C1"/>
                <w:text w:multiLine="1"/>
              </w:sdtPr>
              <w:sdtContent>
                <w:r>
                  <w:rPr>
                    <w:rFonts w:ascii="Arial" w:hAnsi="Arial"/>
                    <w:color w:val="62716E"/>
                    <w:sz w:val="18"/>
                  </w:rPr>
                  <w:t>[Completar]</w:t>
                </w:r>
              </w:sdtContent>
            </w:sdt>
          </w:p>
        </w:tc>
        <w:tc>
          <w:tcPr>
            <w:tcW w:type="dxa" w:w="3572"/>
            <w:vAlign w:val="top"/>
          </w:tcPr>
          <w:p>
            <w:pPr>
              <w:keepNext w:val="0"/>
              <w:spacing w:after="20"/>
            </w:pPr>
            <w:sdt>
              <w:sdtPr>
                <w:id w:val="1707"/>
                <w:alias w:val="MR-13-T01-R4-C2"/>
                <w:tag w:val="MR-13-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708"/>
                <w:alias w:val="MR-13-T01-R4-C3"/>
                <w:tag w:val="MR-13-T01-R4-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Registrar encuestas reales, evidencia de referencia, causas, reservorios/gases, distribución temporal, incertidumbre restante y regla para diagnósticos con signo. Explicar cada cero o exclusión. No deducir otra vez como fugas componentes incluidos en emisiones del proyecto.</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709"/>
                <w:alias w:val="MR-response-35"/>
                <w:tag w:val="MR-response-35"/>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bookmarkStart w:id="420" w:name="MR_14"/>
      <w:pPr>
        <w:pStyle w:val="Heading1"/>
        <w:keepNext/>
        <w:pageBreakBefore/>
      </w:pPr>
      <w:r>
        <w:rPr>
          <w:rFonts w:ascii="Arial" w:hAnsi="Arial" w:eastAsia="Arial" w:cs="Arial"/>
          <w:b w:val="0"/>
          <w:color w:val="215F52"/>
          <w:sz w:val="38"/>
        </w:rPr>
        <w:t>14  Existencias, liberaciones diferidas y continuidad de cohortes</w:t>
      </w:r>
      <w:bookmarkEnd w:id="420"/>
    </w:p>
    <w:p>
      <w:pPr>
        <w:keepNext/>
        <w:spacing w:after="100"/>
      </w:pPr>
      <w:r>
        <w:rPr>
          <w:rFonts w:ascii="Arial" w:hAnsi="Arial" w:eastAsia="Arial" w:cs="Arial"/>
          <w:b w:val="0"/>
          <w:color w:val="62716E"/>
          <w:sz w:val="16"/>
        </w:rPr>
        <w:t>[1] M04.1; M04.2; M04.3; F-C03a; F-C03b; F-C04; T-08; MIG-07</w:t>
      </w:r>
    </w:p>
    <w:p>
      <w:pPr>
        <w:spacing w:after="100"/>
      </w:pPr>
      <w:r>
        <w:rPr>
          <w:rFonts w:ascii="Arial" w:hAnsi="Arial" w:eastAsia="Arial" w:cs="Arial"/>
          <w:b w:val="0"/>
          <w:color w:val="243A36"/>
          <w:sz w:val="19"/>
        </w:rPr>
        <w:t>Conciliar la misma pérdida física mediante una ruta coherente de cambio de existencias o liberación por evento. Conservar cohortes previas al intervalo o a la migración si todavía liberan material. Distinguir biomasa, carbono, CO2 y CO2e.</w:t>
      </w:r>
    </w:p>
    <w:p>
      <w:pPr>
        <w:keepNext/>
        <w:spacing w:after="100"/>
      </w:pPr>
      <w:r>
        <w:rPr>
          <w:rFonts w:ascii="Arial" w:hAnsi="Arial" w:eastAsia="Arial" w:cs="Arial"/>
          <w:b/>
          <w:color w:val="215F52"/>
          <w:sz w:val="20"/>
        </w:rPr>
        <w:t>MR-14-T01 / Liberación por cohorte y material remanente</w:t>
      </w:r>
    </w:p>
    <w:p>
      <w:pPr>
        <w:keepNext/>
        <w:spacing w:after="100"/>
      </w:pPr>
      <w:r>
        <w:rPr>
          <w:rFonts w:ascii="Arial" w:hAnsi="Arial" w:eastAsia="Arial" w:cs="Arial"/>
          <w:b/>
          <w:color w:val="215F52"/>
          <w:sz w:val="17"/>
        </w:rPr>
        <w:t>MR-14-T01 / Notación de cálculo</w:t>
      </w:r>
    </w:p>
    <w:p>
      <w:pPr>
        <w:keepNext/>
        <w:spacing w:after="60" w:before="20"/>
        <w:jc w:val="center"/>
      </w:pPr>
      <m:oMath>
        <m:sSubSup>
          <m:e>
            <m:r>
              <w:rPr>
                <w:sz w:val="20"/>
                <w:rFonts w:ascii="Cambria Math" w:hAnsi="Cambria Math"/>
              </w:rPr>
              <m:t>E</m:t>
            </m:r>
          </m:e>
          <m:sub>
            <m:r>
              <w:rPr>
                <w:sz w:val="20"/>
                <w:rFonts w:ascii="Cambria Math" w:hAnsi="Cambria Math"/>
              </w:rPr>
              <m:t>i</m:t>
            </m:r>
            <m:r>
              <w:rPr>
                <w:sz w:val="20"/>
                <w:rFonts w:ascii="Cambria Math" w:hAnsi="Cambria Math"/>
              </w:rPr>
              <m:rPr>
                <m:sty m:val="p"/>
              </m:rPr>
              <m:t>,</m:t>
            </m:r>
            <m:r>
              <w:rPr>
                <w:sz w:val="20"/>
                <w:rFonts w:ascii="Cambria Math" w:hAnsi="Cambria Math"/>
              </w:rPr>
              <m:t>t</m:t>
            </m:r>
          </m:sub>
          <m:sup>
            <m:r>
              <w:rPr>
                <w:sz w:val="20"/>
                <w:rFonts w:ascii="Cambria Math" w:hAnsi="Cambria Math"/>
              </w:rPr>
              <m:rPr>
                <m:sty m:val="p"/>
              </m:rPr>
              <m:t>C</m:t>
            </m:r>
            <m:sSub>
              <m:e>
                <m:r>
                  <w:rPr>
                    <w:sz w:val="20"/>
                    <w:rFonts w:ascii="Cambria Math" w:hAnsi="Cambria Math"/>
                  </w:rPr>
                  <m:rPr>
                    <m:sty m:val="p"/>
                  </m:rPr>
                  <m:t>O</m:t>
                </m:r>
              </m:e>
              <m:sub>
                <m:r>
                  <w:rPr>
                    <w:sz w:val="20"/>
                    <w:rFonts w:ascii="Cambria Math" w:hAnsi="Cambria Math"/>
                  </w:rPr>
                  <m:rPr>
                    <m:sty m:val="p"/>
                  </m:rPr>
                  <m:t>2</m:t>
                </m:r>
              </m:sub>
            </m:sSub>
          </m:sup>
        </m:sSubSup>
        <m:r>
          <w:rPr>
            <w:sz w:val="20"/>
            <w:rFonts w:ascii="Cambria Math" w:hAnsi="Cambria Math"/>
          </w:rPr>
          <m:rPr>
            <m:sty m:val="p"/>
          </m:rPr>
          <m:t>=</m:t>
        </m:r>
        <m:f>
          <m:fPr>
            <m:type m:val="bar"/>
          </m:fPr>
          <m:num>
            <m:r>
              <w:rPr>
                <w:sz w:val="20"/>
                <w:rFonts w:ascii="Cambria Math" w:hAnsi="Cambria Math"/>
              </w:rPr>
              <m:t>44</m:t>
            </m:r>
          </m:num>
          <m:den>
            <m:r>
              <w:rPr>
                <w:sz w:val="20"/>
                <w:rFonts w:ascii="Cambria Math" w:hAnsi="Cambria Math"/>
              </w:rPr>
              <m:t>12</m:t>
            </m:r>
          </m:den>
        </m:f>
        <m:nary>
          <m:naryPr>
            <m:chr m:val="∑"/>
            <m:limLoc m:val="undOvr"/>
            <m:subHide m:val="off"/>
            <m:supHide m:val="on"/>
          </m:naryPr>
          <m:sub>
            <m:r>
              <w:rPr>
                <w:sz w:val="20"/>
                <w:rFonts w:ascii="Cambria Math" w:hAnsi="Cambria Math"/>
              </w:rPr>
              <m:t>τ</m:t>
            </m:r>
            <m:r>
              <w:rPr>
                <w:sz w:val="20"/>
                <w:rFonts w:ascii="Cambria Math" w:hAnsi="Cambria Math"/>
              </w:rPr>
              <m:rPr>
                <m:sty m:val="p"/>
              </m:rPr>
              <m:t>≤</m:t>
            </m:r>
            <m:r>
              <w:rPr>
                <w:sz w:val="20"/>
                <w:rFonts w:ascii="Cambria Math" w:hAnsi="Cambria Math"/>
              </w:rPr>
              <m:t>t</m:t>
            </m:r>
          </m:sub>
          <m:sup>
            <m:r>
              <w:rPr>
                <w:sz w:val="20"/>
                <w:rFonts w:ascii="Cambria Math" w:hAnsi="Cambria Math"/>
              </w:rPr>
              <m:t>​</m:t>
            </m:r>
          </m:sup>
          <m:e>
            <m:nary>
              <m:naryPr>
                <m:chr m:val="∑"/>
                <m:limLoc m:val="undOvr"/>
                <m:subHide m:val="off"/>
                <m:supHide m:val="on"/>
              </m:naryPr>
              <m:sub>
                <m:r>
                  <w:rPr>
                    <w:sz w:val="20"/>
                    <w:rFonts w:ascii="Cambria Math" w:hAnsi="Cambria Math"/>
                  </w:rPr>
                  <m:t>o</m:t>
                </m:r>
              </m:sub>
              <m:sup>
                <m:r>
                  <w:rPr>
                    <w:sz w:val="20"/>
                    <w:rFonts w:ascii="Cambria Math" w:hAnsi="Cambria Math"/>
                  </w:rPr>
                  <m:t>​</m:t>
                </m:r>
              </m:sup>
              <m:e>
                <m:sSub>
                  <m:e>
                    <m:r>
                      <w:rPr>
                        <w:sz w:val="20"/>
                        <w:rFonts w:ascii="Cambria Math" w:hAnsi="Cambria Math"/>
                      </w:rPr>
                      <m:t>A</m:t>
                    </m:r>
                  </m:e>
                  <m:sub>
                    <m:r>
                      <w:rPr>
                        <w:sz w:val="20"/>
                        <w:rFonts w:ascii="Cambria Math" w:hAnsi="Cambria Math"/>
                      </w:rPr>
                      <m:t>i</m:t>
                    </m:r>
                    <m:r>
                      <w:rPr>
                        <w:sz w:val="20"/>
                        <w:rFonts w:ascii="Cambria Math" w:hAnsi="Cambria Math"/>
                      </w:rPr>
                      <m:rPr>
                        <m:sty m:val="p"/>
                      </m:rPr>
                      <m:t>,</m:t>
                    </m:r>
                    <m:r>
                      <w:rPr>
                        <w:sz w:val="20"/>
                        <w:rFonts w:ascii="Cambria Math" w:hAnsi="Cambria Math"/>
                      </w:rPr>
                      <m:t>τ</m:t>
                    </m:r>
                  </m:sub>
                </m:sSub>
              </m:e>
            </m:nary>
          </m:e>
        </m:nary>
        <m:sSub>
          <m:e>
            <m:r>
              <w:rPr>
                <w:sz w:val="20"/>
                <w:rFonts w:ascii="Cambria Math" w:hAnsi="Cambria Math"/>
              </w:rPr>
              <m:rPr>
                <m:sty m:val="p"/>
              </m:rPr>
              <m:t>ℓ</m:t>
            </m:r>
          </m:e>
          <m:sub>
            <m:r>
              <w:rPr>
                <w:sz w:val="20"/>
                <w:rFonts w:ascii="Cambria Math" w:hAnsi="Cambria Math"/>
              </w:rPr>
              <m:t>i</m:t>
            </m:r>
            <m:r>
              <w:rPr>
                <w:sz w:val="20"/>
                <w:rFonts w:ascii="Cambria Math" w:hAnsi="Cambria Math"/>
              </w:rPr>
              <m:t>o</m:t>
            </m:r>
            <m:r>
              <w:rPr>
                <w:sz w:val="20"/>
                <w:rFonts w:ascii="Cambria Math" w:hAnsi="Cambria Math"/>
              </w:rPr>
              <m:rPr>
                <m:sty m:val="p"/>
              </m:rPr>
              <m:t>,</m:t>
            </m:r>
            <m:r>
              <w:rPr>
                <w:sz w:val="20"/>
                <w:rFonts w:ascii="Cambria Math" w:hAnsi="Cambria Math"/>
              </w:rPr>
              <m:t>τ</m:t>
            </m:r>
          </m:sub>
        </m:sSub>
        <m:sSub>
          <m:e>
            <m:r>
              <w:rPr>
                <w:sz w:val="20"/>
                <w:rFonts w:ascii="Cambria Math" w:hAnsi="Cambria Math"/>
              </w:rPr>
              <m:t>k</m:t>
            </m:r>
          </m:e>
          <m:sub>
            <m:r>
              <w:rPr>
                <w:sz w:val="20"/>
                <w:rFonts w:ascii="Cambria Math" w:hAnsi="Cambria Math"/>
              </w:rPr>
              <m:t>i</m:t>
            </m:r>
            <m:r>
              <w:rPr>
                <w:sz w:val="20"/>
                <w:rFonts w:ascii="Cambria Math" w:hAnsi="Cambria Math"/>
              </w:rPr>
              <m:t>o</m:t>
            </m:r>
            <m:r>
              <w:rPr>
                <w:sz w:val="20"/>
                <w:rFonts w:ascii="Cambria Math" w:hAnsi="Cambria Math"/>
              </w:rPr>
              <m:rPr>
                <m:sty m:val="p"/>
              </m:rPr>
              <m:t>,</m:t>
            </m:r>
            <m:r>
              <w:rPr>
                <w:sz w:val="20"/>
                <w:rFonts w:ascii="Cambria Math" w:hAnsi="Cambria Math"/>
              </w:rPr>
              <m:t>τ</m:t>
            </m:r>
          </m:sub>
        </m:sSub>
        <m:d>
          <m:dPr>
            <m:begChr m:val="("/>
            <m:endChr m:val=")"/>
            <m:sepChr m:val=""/>
            <m:grow/>
          </m:dPr>
          <m:e>
            <m:r>
              <w:rPr>
                <w:sz w:val="20"/>
                <w:rFonts w:ascii="Cambria Math" w:hAnsi="Cambria Math"/>
              </w:rPr>
              <m:t>t</m:t>
            </m:r>
          </m:e>
        </m:d>
      </m:oMath>
    </w:p>
    <w:p>
      <w:pPr>
        <w:keepNext/>
        <w:spacing w:after="60"/>
      </w:pPr>
      <w:r>
        <w:rPr>
          <w:rFonts w:ascii="Arial" w:hAnsi="Arial" w:eastAsia="Arial" w:cs="Arial"/>
          <w:b w:val="0"/>
          <w:color w:val="215F52"/>
          <w:sz w:val="17"/>
        </w:rPr>
        <w:t>A es ha recién afectadas, ell es Mg C/ha asignados y k es fracción liberada como CO2 durante t. La suma de fracciones no excede su asignación definida. Cohortes y reservorios son disjuntos; conservar material remanente y cohortes anteriores. Usar intervalos exactos.</w:t>
      </w:r>
    </w:p>
    <w:p>
      <w:pPr>
        <w:keepNext/>
        <w:spacing w:after="80"/>
      </w:pPr>
      <w:r>
        <w:rPr>
          <w:rFonts w:ascii="Arial" w:hAnsi="Arial" w:eastAsia="Arial" w:cs="Arial"/>
          <w:b w:val="0"/>
          <w:color w:val="62716E"/>
          <w:sz w:val="16"/>
        </w:rPr>
        <w:t>Base: M04.2; F-C03a; F-C03b; F-C04. Ubicación del cálculo: Cronograma previo de cohortes;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Estrato / reservorio / intervalo del evento</w:t>
            </w:r>
          </w:p>
        </w:tc>
        <w:tc>
          <w:tcPr>
            <w:tcW w:type="dxa" w:w="3572"/>
            <w:vAlign w:val="center"/>
            <w:shd w:fill="F1F5F2"/>
          </w:tcPr>
          <w:p>
            <w:pPr>
              <w:keepNext/>
              <w:spacing w:after="20"/>
            </w:pPr>
            <w:r>
              <w:rPr>
                <w:rFonts w:ascii="Arial" w:hAnsi="Arial" w:eastAsia="Arial" w:cs="Arial"/>
                <w:b/>
                <w:color w:val="215F52"/>
                <w:sz w:val="17"/>
              </w:rPr>
              <w:t>Carbono asignado, función de liberación y emisión actual</w:t>
            </w:r>
          </w:p>
        </w:tc>
        <w:tc>
          <w:tcPr>
            <w:tcW w:type="dxa" w:w="3390"/>
            <w:vAlign w:val="center"/>
            <w:shd w:fill="F1F5F2"/>
          </w:tcPr>
          <w:p>
            <w:pPr>
              <w:keepNext/>
              <w:spacing w:after="20"/>
            </w:pPr>
            <w:r>
              <w:rPr>
                <w:rFonts w:ascii="Arial" w:hAnsi="Arial" w:eastAsia="Arial" w:cs="Arial"/>
                <w:b/>
                <w:color w:val="215F52"/>
                <w:sz w:val="17"/>
              </w:rPr>
              <w:t>Asignación remanente, balance y evidencia</w:t>
            </w:r>
          </w:p>
        </w:tc>
      </w:tr>
      <w:tr>
        <w:trPr>
          <w:trHeight w:val="442" w:hRule="atLeast"/>
        </w:trPr>
        <w:tc>
          <w:tcPr>
            <w:tcW w:type="dxa" w:w="2778"/>
            <w:vAlign w:val="top"/>
          </w:tcPr>
          <w:p>
            <w:pPr>
              <w:keepNext w:val="0"/>
              <w:spacing w:after="20"/>
            </w:pPr>
            <w:sdt>
              <w:sdtPr>
                <w:id w:val="1710"/>
                <w:alias w:val="MR-14-T01-R1-C1"/>
                <w:tag w:val="MR-14-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711"/>
                <w:alias w:val="MR-14-T01-R1-C2"/>
                <w:tag w:val="MR-14-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712"/>
                <w:alias w:val="MR-14-T01-R1-C3"/>
                <w:tag w:val="MR-14-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13"/>
                <w:alias w:val="MR-14-T01-R2-C1"/>
                <w:tag w:val="MR-14-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714"/>
                <w:alias w:val="MR-14-T01-R2-C2"/>
                <w:tag w:val="MR-14-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715"/>
                <w:alias w:val="MR-14-T01-R2-C3"/>
                <w:tag w:val="MR-14-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16"/>
                <w:alias w:val="MR-14-T01-R3-C1"/>
                <w:tag w:val="MR-14-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717"/>
                <w:alias w:val="MR-14-T01-R3-C2"/>
                <w:tag w:val="MR-14-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718"/>
                <w:alias w:val="MR-14-T01-R3-C3"/>
                <w:tag w:val="MR-14-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19"/>
                <w:alias w:val="MR-14-T01-R4-C1"/>
                <w:tag w:val="MR-14-T01-R4-C1"/>
                <w:text w:multiLine="1"/>
              </w:sdtPr>
              <w:sdtContent>
                <w:r>
                  <w:rPr>
                    <w:rFonts w:ascii="Arial" w:hAnsi="Arial"/>
                    <w:color w:val="62716E"/>
                    <w:sz w:val="18"/>
                  </w:rPr>
                  <w:t>[Completar]</w:t>
                </w:r>
              </w:sdtContent>
            </w:sdt>
          </w:p>
        </w:tc>
        <w:tc>
          <w:tcPr>
            <w:tcW w:type="dxa" w:w="3572"/>
            <w:vAlign w:val="top"/>
          </w:tcPr>
          <w:p>
            <w:pPr>
              <w:keepNext w:val="0"/>
              <w:spacing w:after="20"/>
            </w:pPr>
            <w:sdt>
              <w:sdtPr>
                <w:id w:val="1720"/>
                <w:alias w:val="MR-14-T01-R4-C2"/>
                <w:tag w:val="MR-14-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721"/>
                <w:alias w:val="MR-14-T01-R4-C3"/>
                <w:tag w:val="MR-14-T01-R4-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Explicar transferencias, material extraído, descomposición, quema y caracterización de gases cuando apliquen. Comprobar que liberaciones reconocidas no se dupliquen y que la secuencia no exceda la asignación documentada. Una existencia revisada no es por sí misma remoción nueva observada.</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722"/>
                <w:alias w:val="MR-response-37"/>
                <w:tag w:val="MR-response-37"/>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bookmarkStart w:id="431" w:name="MR_15"/>
      <w:pPr>
        <w:pStyle w:val="Heading1"/>
        <w:keepNext/>
        <w:pageBreakBefore/>
      </w:pPr>
      <w:r>
        <w:rPr>
          <w:rFonts w:ascii="Arial" w:hAnsi="Arial" w:eastAsia="Arial" w:cs="Arial"/>
          <w:b w:val="0"/>
          <w:color w:val="215F52"/>
          <w:sz w:val="38"/>
        </w:rPr>
        <w:t>15  Cuenta ex post con signo y totales reportados</w:t>
      </w:r>
      <w:bookmarkEnd w:id="431"/>
    </w:p>
    <w:p>
      <w:pPr>
        <w:keepNext/>
        <w:spacing w:after="100"/>
      </w:pPr>
      <w:r>
        <w:rPr>
          <w:rFonts w:ascii="Arial" w:hAnsi="Arial" w:eastAsia="Arial" w:cs="Arial"/>
          <w:b w:val="0"/>
          <w:color w:val="62716E"/>
          <w:sz w:val="16"/>
        </w:rPr>
        <w:t>[1] M04.5; F-R01; F-R03; P-04; P-13; FRM-02</w:t>
      </w:r>
    </w:p>
    <w:p>
      <w:pPr>
        <w:keepNext/>
        <w:spacing w:after="100"/>
      </w:pPr>
      <w:r>
        <w:rPr>
          <w:rFonts w:ascii="Arial" w:hAnsi="Arial" w:eastAsia="Arial" w:cs="Arial"/>
          <w:b/>
          <w:color w:val="215F52"/>
          <w:sz w:val="20"/>
        </w:rPr>
        <w:t>MR-15-T01 / Cuenta por período y estrato</w:t>
      </w:r>
    </w:p>
    <w:p>
      <w:pPr>
        <w:keepNext/>
        <w:spacing w:after="100"/>
      </w:pPr>
      <w:r>
        <w:rPr>
          <w:rFonts w:ascii="Arial" w:hAnsi="Arial" w:eastAsia="Arial" w:cs="Arial"/>
          <w:b/>
          <w:color w:val="215F52"/>
          <w:sz w:val="17"/>
        </w:rPr>
        <w:t>MR-15-T01 / Notación de cálculo</w:t>
      </w:r>
    </w:p>
    <w:p>
      <w:pPr>
        <w:keepNext/>
        <w:spacing w:after="60" w:before="20"/>
        <w:jc w:val="center"/>
      </w:pPr>
      <m:oMath>
        <m:sSubSup>
          <m:e>
            <m:acc>
              <m:accPr>
                <m:chr m:val="̂"/>
              </m:accPr>
              <m:e>
                <m:r>
                  <w:rPr>
                    <w:sz w:val="20"/>
                    <w:rFonts w:ascii="Cambria Math" w:hAnsi="Cambria Math"/>
                  </w:rPr>
                  <m:t>Q</m:t>
                </m:r>
              </m:e>
            </m:acc>
          </m:e>
          <m:sub>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sSubSup>
          <m:e>
            <m:r>
              <w:rPr>
                <w:sz w:val="20"/>
                <w:rFonts w:ascii="Cambria Math" w:hAnsi="Cambria Math"/>
              </w:rPr>
              <m:t>N</m:t>
            </m:r>
          </m:e>
          <m:sub>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sSubSup>
          <m:e>
            <m:r>
              <w:rPr>
                <w:sz w:val="20"/>
                <w:rFonts w:ascii="Cambria Math" w:hAnsi="Cambria Math"/>
              </w:rPr>
              <m:t>N</m:t>
            </m:r>
          </m:e>
          <m:sub>
            <m:r>
              <w:rPr>
                <w:sz w:val="20"/>
                <w:rFonts w:ascii="Cambria Math" w:hAnsi="Cambria Math"/>
              </w:rPr>
              <m:rPr>
                <m:sty m:val="p"/>
              </m:rPr>
              <m:t>P</m:t>
            </m:r>
            <m:r>
              <w:rPr>
                <w:sz w:val="20"/>
                <w:rFonts w:ascii="Cambria Math" w:hAnsi="Cambria Math"/>
              </w:rPr>
              <m:rPr>
                <m:sty m:val="p"/>
              </m:rPr>
              <m:t>J</m:t>
            </m:r>
            <m:r>
              <w:rPr>
                <w:sz w:val="20"/>
                <w:rFonts w:ascii="Cambria Math" w:hAnsi="Cambria Math"/>
              </w:rPr>
              <m:rPr>
                <m:sty m:val="p"/>
              </m:rPr>
              <m:t>,</m:t>
            </m:r>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sSubSup>
          <m:e>
            <m:r>
              <w:rPr>
                <w:sz w:val="20"/>
                <w:rFonts w:ascii="Cambria Math" w:hAnsi="Cambria Math"/>
              </w:rPr>
              <m:t>L</m:t>
            </m:r>
          </m:e>
          <m:sub>
            <m:r>
              <w:rPr>
                <w:sz w:val="20"/>
                <w:rFonts w:ascii="Cambria Math" w:hAnsi="Cambria Math"/>
              </w:rPr>
              <m:t>t</m:t>
            </m:r>
          </m:sub>
          <m:sup>
            <m:r>
              <w:rPr>
                <w:sz w:val="20"/>
                <w:rFonts w:ascii="Cambria Math" w:hAnsi="Cambria Math"/>
              </w:rPr>
              <m:t>z</m:t>
            </m:r>
          </m:sup>
        </m:sSubSup>
        <m:r>
          <w:rPr>
            <w:sz w:val="20"/>
            <w:rFonts w:ascii="Cambria Math" w:hAnsi="Cambria Math"/>
          </w:rPr>
          <m:rPr>
            <m:sty m:val="p"/>
          </m:rPr>
          <m:t>,</m:t>
        </m:r>
        <m:r>
          <w:rPr>
            <w:sz w:val="20"/>
            <w:rFonts w:ascii="Cambria Math" w:hAnsi="Cambria Math"/>
          </w:rPr>
          <m:t>  </m:t>
        </m:r>
        <m:r>
          <w:rPr>
            <w:sz w:val="20"/>
            <w:rFonts w:ascii="Cambria Math" w:hAnsi="Cambria Math"/>
          </w:rPr>
          <m:t>z</m:t>
        </m:r>
        <m:r>
          <w:rPr>
            <w:sz w:val="20"/>
            <w:rFonts w:ascii="Cambria Math" w:hAnsi="Cambria Math"/>
          </w:rPr>
          <m:rPr>
            <m:sty m:val="p"/>
          </m:rPr>
          <m:t>∈</m:t>
        </m:r>
        <m:r>
          <w:rPr>
            <w:sz w:val="20"/>
            <w:rFonts w:ascii="Cambria Math" w:hAnsi="Cambria Math"/>
          </w:rPr>
          <m:rPr>
            <m:sty m:val="p"/>
          </m:rPr>
          <m:t>{</m:t>
        </m:r>
        <m:r>
          <w:rPr>
            <w:sz w:val="20"/>
            <w:rFonts w:ascii="Cambria Math" w:hAnsi="Cambria Math"/>
          </w:rPr>
          <m:rPr>
            <m:sty m:val="p"/>
          </m:rPr>
          <m:t>E</m:t>
        </m:r>
        <m:r>
          <w:rPr>
            <w:sz w:val="20"/>
            <w:rFonts w:ascii="Cambria Math" w:hAnsi="Cambria Math"/>
          </w:rPr>
          <m:rPr>
            <m:sty m:val="p"/>
          </m:rPr>
          <m:t>A</m:t>
        </m:r>
        <m:r>
          <w:rPr>
            <w:sz w:val="20"/>
            <w:rFonts w:ascii="Cambria Math" w:hAnsi="Cambria Math"/>
          </w:rPr>
          <m:rPr>
            <m:sty m:val="p"/>
          </m:rPr>
          <m:t>,</m:t>
        </m:r>
        <m:r>
          <w:rPr>
            <w:sz w:val="20"/>
            <w:rFonts w:ascii="Cambria Math" w:hAnsi="Cambria Math"/>
          </w:rPr>
          <m:rPr>
            <m:sty m:val="p"/>
          </m:rPr>
          <m:t>E</m:t>
        </m:r>
        <m:r>
          <w:rPr>
            <w:sz w:val="20"/>
            <w:rFonts w:ascii="Cambria Math" w:hAnsi="Cambria Math"/>
          </w:rPr>
          <m:rPr>
            <m:sty m:val="p"/>
          </m:rPr>
          <m:t>P</m:t>
        </m:r>
        <m:r>
          <w:rPr>
            <w:sz w:val="20"/>
            <w:rFonts w:ascii="Cambria Math" w:hAnsi="Cambria Math"/>
          </w:rPr>
          <m:rPr>
            <m:sty m:val="p"/>
          </m:rPr>
          <m:t>}</m:t>
        </m:r>
      </m:oMath>
    </w:p>
    <w:p>
      <w:pPr>
        <w:keepNext/>
        <w:spacing w:after="60"/>
      </w:pPr>
      <w:r>
        <w:rPr>
          <w:rFonts w:ascii="Arial" w:hAnsi="Arial" w:eastAsia="Arial" w:cs="Arial"/>
          <w:b w:val="0"/>
          <w:color w:val="215F52"/>
          <w:sz w:val="17"/>
        </w:rPr>
        <w:t>EA denota pronóstico fechado; EP denota cuenta del período reportado, no verificación automática. Todos los términos son masas del período con signo y soporte comparable. La cantidad precede incertidumbre, obligaciones previas, reserva y denominación.</w:t>
      </w:r>
    </w:p>
    <w:p>
      <w:pPr>
        <w:keepNext/>
        <w:spacing w:after="80"/>
      </w:pPr>
      <w:r>
        <w:rPr>
          <w:rFonts w:ascii="Arial" w:hAnsi="Arial" w:eastAsia="Arial" w:cs="Arial"/>
          <w:b w:val="0"/>
          <w:color w:val="62716E"/>
          <w:sz w:val="16"/>
        </w:rPr>
        <w:t>Base: M04.5; F-R01. Ubicación del cálculo: ExAnte!F:I; ExPost!F:I.</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Período / estrato / categoría</w:t>
            </w:r>
          </w:p>
        </w:tc>
        <w:tc>
          <w:tcPr>
            <w:tcW w:type="dxa" w:w="3572"/>
            <w:vAlign w:val="center"/>
            <w:shd w:fill="F1F5F2"/>
          </w:tcPr>
          <w:p>
            <w:pPr>
              <w:keepNext/>
              <w:spacing w:after="20"/>
            </w:pPr>
            <w:r>
              <w:rPr>
                <w:rFonts w:ascii="Arial" w:hAnsi="Arial" w:eastAsia="Arial" w:cs="Arial"/>
                <w:b/>
                <w:color w:val="215F52"/>
                <w:sz w:val="17"/>
              </w:rPr>
              <w:t>Masas de línea base, proyecto y fugas (t CO2e)</w:t>
            </w:r>
          </w:p>
        </w:tc>
        <w:tc>
          <w:tcPr>
            <w:tcW w:type="dxa" w:w="3390"/>
            <w:vAlign w:val="center"/>
            <w:shd w:fill="F1F5F2"/>
          </w:tcPr>
          <w:p>
            <w:pPr>
              <w:keepNext/>
              <w:spacing w:after="20"/>
            </w:pPr>
            <w:r>
              <w:rPr>
                <w:rFonts w:ascii="Arial" w:hAnsi="Arial" w:eastAsia="Arial" w:cs="Arial"/>
                <w:b/>
                <w:color w:val="215F52"/>
                <w:sz w:val="17"/>
              </w:rPr>
              <w:t>Resultado con signo y fila exacta del libro</w:t>
            </w:r>
          </w:p>
        </w:tc>
      </w:tr>
      <w:tr>
        <w:trPr>
          <w:trHeight w:val="442" w:hRule="atLeast"/>
        </w:trPr>
        <w:tc>
          <w:tcPr>
            <w:tcW w:type="dxa" w:w="2778"/>
            <w:vAlign w:val="top"/>
          </w:tcPr>
          <w:p>
            <w:pPr>
              <w:keepNext w:val="0"/>
              <w:spacing w:after="20"/>
            </w:pPr>
            <w:sdt>
              <w:sdtPr>
                <w:id w:val="1723"/>
                <w:alias w:val="MR-15-T01-R1-C1"/>
                <w:tag w:val="MR-15-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724"/>
                <w:alias w:val="MR-15-T01-R1-C2"/>
                <w:tag w:val="MR-15-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725"/>
                <w:alias w:val="MR-15-T01-R1-C3"/>
                <w:tag w:val="MR-15-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26"/>
                <w:alias w:val="MR-15-T01-R2-C1"/>
                <w:tag w:val="MR-15-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727"/>
                <w:alias w:val="MR-15-T01-R2-C2"/>
                <w:tag w:val="MR-15-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728"/>
                <w:alias w:val="MR-15-T01-R2-C3"/>
                <w:tag w:val="MR-15-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29"/>
                <w:alias w:val="MR-15-T01-R3-C1"/>
                <w:tag w:val="MR-15-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730"/>
                <w:alias w:val="MR-15-T01-R3-C2"/>
                <w:tag w:val="MR-15-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731"/>
                <w:alias w:val="MR-15-T01-R3-C3"/>
                <w:tag w:val="MR-15-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32"/>
                <w:alias w:val="MR-15-T01-R4-C1"/>
                <w:tag w:val="MR-15-T01-R4-C1"/>
                <w:text w:multiLine="1"/>
              </w:sdtPr>
              <w:sdtContent>
                <w:r>
                  <w:rPr>
                    <w:rFonts w:ascii="Arial" w:hAnsi="Arial"/>
                    <w:color w:val="62716E"/>
                    <w:sz w:val="18"/>
                  </w:rPr>
                  <w:t>[Completar]</w:t>
                </w:r>
              </w:sdtContent>
            </w:sdt>
          </w:p>
        </w:tc>
        <w:tc>
          <w:tcPr>
            <w:tcW w:type="dxa" w:w="3572"/>
            <w:vAlign w:val="top"/>
          </w:tcPr>
          <w:p>
            <w:pPr>
              <w:keepNext w:val="0"/>
              <w:spacing w:after="20"/>
            </w:pPr>
            <w:sdt>
              <w:sdtPr>
                <w:id w:val="1733"/>
                <w:alias w:val="MR-15-T01-R4-C2"/>
                <w:tag w:val="MR-15-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734"/>
                <w:alias w:val="MR-15-T01-R4-C3"/>
                <w:tag w:val="MR-15-T01-R4-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Identificar componentes incluidos no duplicados y su agregación. Conciliar el total con el anexo ex post rector y el libro. Conservar contribuciones negativas, alcance excluido e insumos pendientes antes de la porción elegible no negativa.</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735"/>
                <w:alias w:val="MR-response-39"/>
                <w:tag w:val="MR-response-39"/>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pPr>
        <w:keepNext/>
        <w:spacing w:after="100"/>
      </w:pPr>
      <w:r>
        <w:rPr>
          <w:rFonts w:ascii="Arial" w:hAnsi="Arial" w:eastAsia="Arial" w:cs="Arial"/>
          <w:b/>
          <w:color w:val="215F52"/>
          <w:sz w:val="20"/>
        </w:rPr>
        <w:t>MR-15-T02 / Intervalo actual frente a historia acumulada</w:t>
      </w:r>
    </w:p>
    <w:p>
      <w:pPr>
        <w:keepNext/>
        <w:spacing w:after="100"/>
      </w:pPr>
      <w:r>
        <w:rPr>
          <w:rFonts w:ascii="Arial" w:hAnsi="Arial" w:eastAsia="Arial" w:cs="Arial"/>
          <w:b/>
          <w:color w:val="215F52"/>
          <w:sz w:val="17"/>
        </w:rPr>
        <w:t>MR-15-T02 / Notación de cálculo</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es la observación, entrada o salida identificada; u_l es su unidad declarada. Registrar ecuación exacta, archivo, hoja, celda/rango, período y estado. Esta notación no prescribe un estimador.</w:t>
      </w:r>
    </w:p>
    <w:p>
      <w:pPr>
        <w:keepNext/>
        <w:spacing w:after="80"/>
      </w:pPr>
      <w:r>
        <w:rPr>
          <w:rFonts w:ascii="Arial" w:hAnsi="Arial" w:eastAsia="Arial" w:cs="Arial"/>
          <w:b w:val="0"/>
          <w:color w:val="62716E"/>
          <w:sz w:val="16"/>
        </w:rPr>
        <w:t>Base: F-01; T-01. Ubicación del cálculo: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Magnitud / base / intervalo</w:t>
            </w:r>
          </w:p>
        </w:tc>
        <w:tc>
          <w:tcPr>
            <w:tcW w:type="dxa" w:w="3572"/>
            <w:vAlign w:val="center"/>
            <w:shd w:fill="F1F5F2"/>
          </w:tcPr>
          <w:p>
            <w:pPr>
              <w:keepNext/>
              <w:spacing w:after="20"/>
            </w:pPr>
            <w:r>
              <w:rPr>
                <w:rFonts w:ascii="Arial" w:hAnsi="Arial" w:eastAsia="Arial" w:cs="Arial"/>
                <w:b/>
                <w:color w:val="215F52"/>
                <w:sz w:val="17"/>
              </w:rPr>
              <w:t>Intervalo actual; períodos reconocidos previos; unidad</w:t>
            </w:r>
          </w:p>
        </w:tc>
        <w:tc>
          <w:tcPr>
            <w:tcW w:type="dxa" w:w="3390"/>
            <w:vAlign w:val="center"/>
            <w:shd w:fill="F1F5F2"/>
          </w:tcPr>
          <w:p>
            <w:pPr>
              <w:keepNext/>
              <w:spacing w:after="20"/>
            </w:pPr>
            <w:r>
              <w:rPr>
                <w:rFonts w:ascii="Arial" w:hAnsi="Arial" w:eastAsia="Arial" w:cs="Arial"/>
                <w:b/>
                <w:color w:val="215F52"/>
                <w:sz w:val="17"/>
              </w:rPr>
              <w:t>Método acumulativo, control de duplicación y evidencia</w:t>
            </w:r>
          </w:p>
        </w:tc>
      </w:tr>
      <w:tr>
        <w:trPr>
          <w:trHeight w:val="442" w:hRule="atLeast"/>
        </w:trPr>
        <w:tc>
          <w:tcPr>
            <w:tcW w:type="dxa" w:w="2778"/>
            <w:vAlign w:val="top"/>
          </w:tcPr>
          <w:p>
            <w:pPr>
              <w:keepNext w:val="0"/>
              <w:spacing w:after="20"/>
            </w:pPr>
            <w:sdt>
              <w:sdtPr>
                <w:id w:val="1736"/>
                <w:alias w:val="MR-15-T02-R1-C1"/>
                <w:tag w:val="MR-15-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737"/>
                <w:alias w:val="MR-15-T02-R1-C2"/>
                <w:tag w:val="MR-15-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738"/>
                <w:alias w:val="MR-15-T02-R1-C3"/>
                <w:tag w:val="MR-15-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39"/>
                <w:alias w:val="MR-15-T02-R2-C1"/>
                <w:tag w:val="MR-15-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740"/>
                <w:alias w:val="MR-15-T02-R2-C2"/>
                <w:tag w:val="MR-15-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741"/>
                <w:alias w:val="MR-15-T02-R2-C3"/>
                <w:tag w:val="MR-15-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42"/>
                <w:alias w:val="MR-15-T02-R3-C1"/>
                <w:tag w:val="MR-15-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743"/>
                <w:alias w:val="MR-15-T02-R3-C2"/>
                <w:tag w:val="MR-15-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744"/>
                <w:alias w:val="MR-15-T02-R3-C3"/>
                <w:tag w:val="MR-15-T02-R3-C3"/>
                <w:text w:multiLine="1"/>
              </w:sdtPr>
              <w:sdtContent>
                <w:r>
                  <w:rPr>
                    <w:rFonts w:ascii="Arial" w:hAnsi="Arial"/>
                    <w:color w:val="62716E"/>
                    <w:sz w:val="18"/>
                  </w:rPr>
                  <w:t>[Completar]</w:t>
                </w:r>
              </w:sdtContent>
            </w:sdt>
          </w:p>
        </w:tc>
      </w:tr>
    </w:tbl>
    <w:p>
      <w:pPr>
        <w:spacing w:after="20" w:before="0" w:line="40" w:lineRule="exact"/>
      </w:pPr>
      <w:r>
        <w:rPr>
          <w:sz w:val="4"/>
        </w:rPr>
      </w:r>
    </w:p>
    <w:p>
      <w:pPr>
        <w:spacing w:after="100"/>
      </w:pPr>
      <w:r>
        <w:rPr>
          <w:rFonts w:ascii="Arial" w:hAnsi="Arial" w:eastAsia="Arial" w:cs="Arial"/>
          <w:b w:val="0"/>
          <w:color w:val="243A36"/>
          <w:sz w:val="19"/>
        </w:rPr>
        <w:t>Los resultados acumulados son historia de soporte, no una afirmación adicional. No sumar el total con sus componentes, totales anuales con asignaciones mensuales ni este informe con su informe ex post adjunto.</w:t>
      </w:r>
    </w:p>
    <w:p>
      <w:bookmarkStart w:id="448" w:name="MR_16"/>
      <w:pPr>
        <w:pStyle w:val="Heading1"/>
        <w:keepNext/>
        <w:pageBreakBefore/>
      </w:pPr>
      <w:r>
        <w:rPr>
          <w:rFonts w:ascii="Arial" w:hAnsi="Arial" w:eastAsia="Arial" w:cs="Arial"/>
          <w:b w:val="0"/>
          <w:color w:val="215F52"/>
          <w:sz w:val="38"/>
        </w:rPr>
        <w:t>16  Incertidumbre, conservadurismo y materialidad</w:t>
      </w:r>
      <w:bookmarkEnd w:id="448"/>
    </w:p>
    <w:p>
      <w:pPr>
        <w:keepNext/>
        <w:spacing w:after="100"/>
      </w:pPr>
      <w:r>
        <w:rPr>
          <w:rFonts w:ascii="Arial" w:hAnsi="Arial" w:eastAsia="Arial" w:cs="Arial"/>
          <w:b w:val="0"/>
          <w:color w:val="62716E"/>
          <w:sz w:val="16"/>
        </w:rPr>
        <w:t>[1] M05.1; M05.2; M05.3; F-U01; F-A01; F-A02; T-14; T-16; P-13; AP-08; AP-10</w:t>
      </w:r>
    </w:p>
    <w:p>
      <w:pPr>
        <w:keepNext/>
        <w:spacing w:after="100"/>
      </w:pPr>
      <w:r>
        <w:rPr>
          <w:rFonts w:ascii="Arial" w:hAnsi="Arial" w:eastAsia="Arial" w:cs="Arial"/>
          <w:b/>
          <w:color w:val="215F52"/>
          <w:sz w:val="20"/>
        </w:rPr>
        <w:t>MR-16-T01 / Componentes de incertidumbre y dependencia</w:t>
      </w:r>
    </w:p>
    <w:p>
      <w:pPr>
        <w:keepNext/>
        <w:spacing w:after="100"/>
      </w:pPr>
      <w:r>
        <w:rPr>
          <w:rFonts w:ascii="Arial" w:hAnsi="Arial" w:eastAsia="Arial" w:cs="Arial"/>
          <w:b/>
          <w:color w:val="215F52"/>
          <w:sz w:val="17"/>
        </w:rPr>
        <w:t>MR-16-T01 / Notación de cálculo</w:t>
      </w:r>
    </w:p>
    <w:p>
      <w:pPr>
        <w:keepNext/>
        <w:spacing w:after="60" w:before="20"/>
        <w:jc w:val="center"/>
      </w:pPr>
      <m:oMath>
        <m:sSubSup>
          <m:e>
            <m:r>
              <w:rPr>
                <w:sz w:val="20"/>
                <w:rFonts w:ascii="Cambria Math" w:hAnsi="Cambria Math"/>
              </w:rPr>
              <m:t>u</m:t>
            </m:r>
          </m:e>
          <m:sub>
            <m:r>
              <w:rPr>
                <w:sz w:val="20"/>
                <w:rFonts w:ascii="Cambria Math" w:hAnsi="Cambria Math"/>
              </w:rPr>
              <m:t>Q</m:t>
            </m:r>
          </m:sub>
          <m:sup>
            <m:r>
              <w:rPr>
                <w:sz w:val="20"/>
                <w:rFonts w:ascii="Cambria Math" w:hAnsi="Cambria Math"/>
              </w:rPr>
              <m:t>2</m:t>
            </m:r>
          </m:sup>
        </m:sSubSup>
        <m:r>
          <w:rPr>
            <w:sz w:val="20"/>
            <w:rFonts w:ascii="Cambria Math" w:hAnsi="Cambria Math"/>
          </w:rPr>
          <m:rPr>
            <m:sty m:val="p"/>
          </m:rPr>
          <m:t>=</m:t>
        </m:r>
        <m:sSubSup>
          <m:e>
            <m:r>
              <w:rPr>
                <w:sz w:val="20"/>
                <w:rFonts w:ascii="Cambria Math" w:hAnsi="Cambria Math"/>
              </w:rPr>
              <m:t>u</m:t>
            </m:r>
          </m:e>
          <m:sub>
            <m:r>
              <w:rPr>
                <w:sz w:val="20"/>
                <w:rFonts w:ascii="Cambria Math" w:hAnsi="Cambria Math"/>
              </w:rPr>
              <m:t>B</m:t>
            </m:r>
          </m:sub>
          <m:sup>
            <m:r>
              <w:rPr>
                <w:sz w:val="20"/>
                <w:rFonts w:ascii="Cambria Math" w:hAnsi="Cambria Math"/>
              </w:rPr>
              <m:t>2</m:t>
            </m:r>
          </m:sup>
        </m:sSubSup>
        <m:r>
          <w:rPr>
            <w:sz w:val="20"/>
            <w:rFonts w:ascii="Cambria Math" w:hAnsi="Cambria Math"/>
          </w:rPr>
          <m:rPr>
            <m:sty m:val="p"/>
          </m:rPr>
          <m:t>+</m:t>
        </m:r>
        <m:sSubSup>
          <m:e>
            <m:r>
              <w:rPr>
                <w:sz w:val="20"/>
                <w:rFonts w:ascii="Cambria Math" w:hAnsi="Cambria Math"/>
              </w:rPr>
              <m:t>u</m:t>
            </m:r>
          </m:e>
          <m:sub>
            <m:r>
              <w:rPr>
                <w:sz w:val="20"/>
                <w:rFonts w:ascii="Cambria Math" w:hAnsi="Cambria Math"/>
              </w:rPr>
              <m:t>P</m:t>
            </m:r>
          </m:sub>
          <m:sup>
            <m:r>
              <w:rPr>
                <w:sz w:val="20"/>
                <w:rFonts w:ascii="Cambria Math" w:hAnsi="Cambria Math"/>
              </w:rPr>
              <m:t>2</m:t>
            </m:r>
          </m:sup>
        </m:sSubSup>
        <m:r>
          <w:rPr>
            <w:sz w:val="20"/>
            <w:rFonts w:ascii="Cambria Math" w:hAnsi="Cambria Math"/>
          </w:rPr>
          <m:rPr>
            <m:sty m:val="p"/>
          </m:rPr>
          <m:t>+</m:t>
        </m:r>
        <m:sSubSup>
          <m:e>
            <m:r>
              <w:rPr>
                <w:sz w:val="20"/>
                <w:rFonts w:ascii="Cambria Math" w:hAnsi="Cambria Math"/>
              </w:rPr>
              <m:t>u</m:t>
            </m:r>
          </m:e>
          <m:sub>
            <m:r>
              <w:rPr>
                <w:sz w:val="20"/>
                <w:rFonts w:ascii="Cambria Math" w:hAnsi="Cambria Math"/>
              </w:rPr>
              <m:t>L</m:t>
            </m:r>
          </m:sub>
          <m:sup>
            <m:r>
              <w:rPr>
                <w:sz w:val="20"/>
                <w:rFonts w:ascii="Cambria Math" w:hAnsi="Cambria Math"/>
              </w:rPr>
              <m:t>2</m:t>
            </m:r>
          </m:sup>
        </m:sSubSup>
        <m:r>
          <w:rPr>
            <w:sz w:val="20"/>
            <w:rFonts w:ascii="Cambria Math" w:hAnsi="Cambria Math"/>
          </w:rPr>
          <m:rPr>
            <m:sty m:val="p"/>
          </m:rPr>
          <m:t>−</m:t>
        </m:r>
        <m:r>
          <w:rPr>
            <w:sz w:val="20"/>
            <w:rFonts w:ascii="Cambria Math" w:hAnsi="Cambria Math"/>
          </w:rPr>
          <m:t>2</m:t>
        </m:r>
        <m:r>
          <w:rPr>
            <w:sz w:val="20"/>
            <w:rFonts w:ascii="Cambria Math" w:hAnsi="Cambria Math"/>
          </w:rPr>
          <m:rPr>
            <m:sty m:val="p"/>
          </m:rPr>
          <m:t>Cov</m:t>
        </m:r>
        <m:d>
          <m:dPr>
            <m:begChr m:val="("/>
            <m:endChr m:val=")"/>
            <m:sepChr m:val=""/>
            <m:grow/>
          </m:dPr>
          <m:e>
            <m:r>
              <w:rPr>
                <w:sz w:val="20"/>
                <w:rFonts w:ascii="Cambria Math" w:hAnsi="Cambria Math"/>
              </w:rPr>
              <m:t>B</m:t>
            </m:r>
            <m:r>
              <w:rPr>
                <w:sz w:val="20"/>
                <w:rFonts w:ascii="Cambria Math" w:hAnsi="Cambria Math"/>
              </w:rPr>
              <m:rPr>
                <m:sty m:val="p"/>
              </m:rPr>
              <m:t>,</m:t>
            </m:r>
            <m:r>
              <w:rPr>
                <w:sz w:val="20"/>
                <w:rFonts w:ascii="Cambria Math" w:hAnsi="Cambria Math"/>
              </w:rPr>
              <m:t>P</m:t>
            </m:r>
          </m:e>
        </m:d>
        <m:r>
          <w:rPr>
            <w:sz w:val="20"/>
            <w:rFonts w:ascii="Cambria Math" w:hAnsi="Cambria Math"/>
          </w:rPr>
          <m:rPr>
            <m:sty m:val="p"/>
          </m:rPr>
          <m:t>−</m:t>
        </m:r>
        <m:r>
          <w:rPr>
            <w:sz w:val="20"/>
            <w:rFonts w:ascii="Cambria Math" w:hAnsi="Cambria Math"/>
          </w:rPr>
          <m:t>2</m:t>
        </m:r>
        <m:r>
          <w:rPr>
            <w:sz w:val="20"/>
            <w:rFonts w:ascii="Cambria Math" w:hAnsi="Cambria Math"/>
          </w:rPr>
          <m:rPr>
            <m:sty m:val="p"/>
          </m:rPr>
          <m:t>Cov</m:t>
        </m:r>
        <m:d>
          <m:dPr>
            <m:begChr m:val="("/>
            <m:endChr m:val=")"/>
            <m:sepChr m:val=""/>
            <m:grow/>
          </m:dPr>
          <m:e>
            <m:r>
              <w:rPr>
                <w:sz w:val="20"/>
                <w:rFonts w:ascii="Cambria Math" w:hAnsi="Cambria Math"/>
              </w:rPr>
              <m:t>B</m:t>
            </m:r>
            <m:r>
              <w:rPr>
                <w:sz w:val="20"/>
                <w:rFonts w:ascii="Cambria Math" w:hAnsi="Cambria Math"/>
              </w:rPr>
              <m:rPr>
                <m:sty m:val="p"/>
              </m:rPr>
              <m:t>,</m:t>
            </m:r>
            <m:r>
              <w:rPr>
                <w:sz w:val="20"/>
                <w:rFonts w:ascii="Cambria Math" w:hAnsi="Cambria Math"/>
              </w:rPr>
              <m:t>L</m:t>
            </m:r>
          </m:e>
        </m:d>
        <m:r>
          <w:rPr>
            <w:sz w:val="20"/>
            <w:rFonts w:ascii="Cambria Math" w:hAnsi="Cambria Math"/>
          </w:rPr>
          <m:rPr>
            <m:sty m:val="p"/>
          </m:rPr>
          <m:t>+</m:t>
        </m:r>
        <m:r>
          <w:rPr>
            <w:sz w:val="20"/>
            <w:rFonts w:ascii="Cambria Math" w:hAnsi="Cambria Math"/>
          </w:rPr>
          <m:t>2</m:t>
        </m:r>
        <m:r>
          <w:rPr>
            <w:sz w:val="20"/>
            <w:rFonts w:ascii="Cambria Math" w:hAnsi="Cambria Math"/>
          </w:rPr>
          <m:rPr>
            <m:sty m:val="p"/>
          </m:rPr>
          <m:t>Cov</m:t>
        </m:r>
        <m:d>
          <m:dPr>
            <m:begChr m:val="("/>
            <m:endChr m:val=")"/>
            <m:sepChr m:val=""/>
            <m:grow/>
          </m:dPr>
          <m:e>
            <m:r>
              <w:rPr>
                <w:sz w:val="20"/>
                <w:rFonts w:ascii="Cambria Math" w:hAnsi="Cambria Math"/>
              </w:rPr>
              <m:t>P</m:t>
            </m:r>
            <m:r>
              <w:rPr>
                <w:sz w:val="20"/>
                <w:rFonts w:ascii="Cambria Math" w:hAnsi="Cambria Math"/>
              </w:rPr>
              <m:rPr>
                <m:sty m:val="p"/>
              </m:rPr>
              <m:t>,</m:t>
            </m:r>
            <m:r>
              <w:rPr>
                <w:sz w:val="20"/>
                <w:rFonts w:ascii="Cambria Math" w:hAnsi="Cambria Math"/>
              </w:rPr>
              <m:t>L</m:t>
            </m:r>
          </m:e>
        </m:d>
      </m:oMath>
    </w:p>
    <w:p>
      <w:pPr>
        <w:keepNext/>
        <w:spacing w:after="60"/>
      </w:pPr>
      <w:r>
        <w:rPr>
          <w:rFonts w:ascii="Arial" w:hAnsi="Arial" w:eastAsia="Arial" w:cs="Arial"/>
          <w:b w:val="0"/>
          <w:color w:val="215F52"/>
          <w:sz w:val="17"/>
        </w:rPr>
        <w:t>B, P y L en esta identidad de varianza denotan estimadores de línea base, proyecto y fugas, no reserva B_t. Incertidumbres estándar en t CO2e; varianzas y covarianzas en unidades al cuadrado. Conservar dependencia compartida y matriz válida.</w:t>
      </w:r>
    </w:p>
    <w:p>
      <w:pPr>
        <w:keepNext/>
        <w:spacing w:after="80"/>
      </w:pPr>
      <w:r>
        <w:rPr>
          <w:rFonts w:ascii="Arial" w:hAnsi="Arial" w:eastAsia="Arial" w:cs="Arial"/>
          <w:b w:val="0"/>
          <w:color w:val="62716E"/>
          <w:sz w:val="16"/>
        </w:rPr>
        <w:t>Base: F-U01; M05.1; M05.2. Ubicación del cálculo: Cálculo calificado de incertidumbre; ExAnte!J:L; ExPost!J:L.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Estimador / componente / unidad</w:t>
            </w:r>
          </w:p>
        </w:tc>
        <w:tc>
          <w:tcPr>
            <w:tcW w:type="dxa" w:w="3572"/>
            <w:vAlign w:val="center"/>
            <w:shd w:fill="F1F5F2"/>
          </w:tcPr>
          <w:p>
            <w:pPr>
              <w:keepNext/>
              <w:spacing w:after="20"/>
            </w:pPr>
            <w:r>
              <w:rPr>
                <w:rFonts w:ascii="Arial" w:hAnsi="Arial" w:eastAsia="Arial" w:cs="Arial"/>
                <w:b/>
                <w:color w:val="215F52"/>
                <w:sz w:val="17"/>
              </w:rPr>
              <w:t>Incertidumbre, covarianza y tratamiento de sesgo</w:t>
            </w:r>
          </w:p>
        </w:tc>
        <w:tc>
          <w:tcPr>
            <w:tcW w:type="dxa" w:w="3390"/>
            <w:vAlign w:val="center"/>
            <w:shd w:fill="F1F5F2"/>
          </w:tcPr>
          <w:p>
            <w:pPr>
              <w:keepNext/>
              <w:spacing w:after="20"/>
            </w:pPr>
            <w:r>
              <w:rPr>
                <w:rFonts w:ascii="Arial" w:hAnsi="Arial" w:eastAsia="Arial" w:cs="Arial"/>
                <w:b/>
                <w:color w:val="215F52"/>
                <w:sz w:val="17"/>
              </w:rPr>
              <w:t>Evidencia, propagación y restricción pendiente</w:t>
            </w:r>
          </w:p>
        </w:tc>
      </w:tr>
      <w:tr>
        <w:trPr>
          <w:trHeight w:val="442" w:hRule="atLeast"/>
        </w:trPr>
        <w:tc>
          <w:tcPr>
            <w:tcW w:type="dxa" w:w="2778"/>
            <w:vAlign w:val="top"/>
          </w:tcPr>
          <w:p>
            <w:pPr>
              <w:keepNext w:val="0"/>
              <w:spacing w:after="20"/>
            </w:pPr>
            <w:sdt>
              <w:sdtPr>
                <w:id w:val="1745"/>
                <w:alias w:val="MR-16-T01-R1-C1"/>
                <w:tag w:val="MR-16-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746"/>
                <w:alias w:val="MR-16-T01-R1-C2"/>
                <w:tag w:val="MR-16-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747"/>
                <w:alias w:val="MR-16-T01-R1-C3"/>
                <w:tag w:val="MR-16-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48"/>
                <w:alias w:val="MR-16-T01-R2-C1"/>
                <w:tag w:val="MR-16-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749"/>
                <w:alias w:val="MR-16-T01-R2-C2"/>
                <w:tag w:val="MR-16-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750"/>
                <w:alias w:val="MR-16-T01-R2-C3"/>
                <w:tag w:val="MR-16-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51"/>
                <w:alias w:val="MR-16-T01-R3-C1"/>
                <w:tag w:val="MR-16-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752"/>
                <w:alias w:val="MR-16-T01-R3-C2"/>
                <w:tag w:val="MR-16-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753"/>
                <w:alias w:val="MR-16-T01-R3-C3"/>
                <w:tag w:val="MR-16-T01-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MR-16-T02 / Resultado conservador y decisión separada de materialidad</w:t>
      </w:r>
    </w:p>
    <w:p>
      <w:pPr>
        <w:keepNext/>
        <w:spacing w:after="100"/>
      </w:pPr>
      <w:r>
        <w:rPr>
          <w:rFonts w:ascii="Arial" w:hAnsi="Arial" w:eastAsia="Arial" w:cs="Arial"/>
          <w:b/>
          <w:color w:val="215F52"/>
          <w:sz w:val="17"/>
        </w:rPr>
        <w:t>MR-16-T02 / Notación de cálculo</w:t>
      </w:r>
    </w:p>
    <w:p>
      <w:pPr>
        <w:keepNext/>
        <w:spacing w:after="60" w:before="20"/>
        <w:jc w:val="center"/>
      </w:pPr>
      <m:oMath>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w</m:t>
            </m:r>
          </m:sup>
        </m:sSubSup>
        <m:r>
          <w:rPr>
            <w:sz w:val="20"/>
            <w:rFonts w:ascii="Cambria Math" w:hAnsi="Cambria Math"/>
          </w:rPr>
          <m:rPr>
            <m:sty m:val="p"/>
          </m:rPr>
          <m:t>=</m:t>
        </m:r>
        <m:sSub>
          <m:e>
            <m:acc>
              <m:accPr>
                <m:chr m:val="̂"/>
              </m:accPr>
              <m:e>
                <m:r>
                  <w:rPr>
                    <w:sz w:val="20"/>
                    <w:rFonts w:ascii="Cambria Math" w:hAnsi="Cambria Math"/>
                  </w:rPr>
                  <m:t>Q</m:t>
                </m:r>
              </m:e>
            </m:acc>
          </m:e>
          <m:sub>
            <m:r>
              <w:rPr>
                <w:sz w:val="20"/>
                <w:rFonts w:ascii="Cambria Math" w:hAnsi="Cambria Math"/>
              </w:rPr>
              <m:t>t</m:t>
            </m:r>
          </m:sub>
        </m:sSub>
        <m:r>
          <w:rPr>
            <w:sz w:val="20"/>
            <w:rFonts w:ascii="Cambria Math" w:hAnsi="Cambria Math"/>
          </w:rPr>
          <m:rPr>
            <m:sty m:val="p"/>
          </m:rPr>
          <m:t>−</m:t>
        </m:r>
        <m:sSub>
          <m:e>
            <m:r>
              <w:rPr>
                <w:sz w:val="20"/>
                <w:rFonts w:ascii="Cambria Math" w:hAnsi="Cambria Math"/>
              </w:rPr>
              <m:t>k</m:t>
            </m:r>
          </m:e>
          <m:sub>
            <m:r>
              <w:rPr>
                <w:sz w:val="20"/>
                <w:rFonts w:ascii="Cambria Math" w:hAnsi="Cambria Math"/>
              </w:rPr>
              <m:t>1</m:t>
            </m:r>
            <m:r>
              <w:rPr>
                <w:sz w:val="20"/>
                <w:rFonts w:ascii="Cambria Math" w:hAnsi="Cambria Math"/>
              </w:rPr>
              <m:rPr>
                <m:sty m:val="p"/>
              </m:rPr>
              <m:t>−</m:t>
            </m:r>
            <m:r>
              <w:rPr>
                <w:sz w:val="20"/>
                <w:rFonts w:ascii="Cambria Math" w:hAnsi="Cambria Math"/>
              </w:rPr>
              <m:t>α</m:t>
            </m:r>
          </m:sub>
        </m:sSub>
        <m:sSub>
          <m:e>
            <m:r>
              <w:rPr>
                <w:sz w:val="20"/>
                <w:rFonts w:ascii="Cambria Math" w:hAnsi="Cambria Math"/>
              </w:rPr>
              <m:t>u</m:t>
            </m:r>
          </m:e>
          <m:sub>
            <m:sSub>
              <m:e>
                <m:r>
                  <w:rPr>
                    <w:sz w:val="20"/>
                    <w:rFonts w:ascii="Cambria Math" w:hAnsi="Cambria Math"/>
                  </w:rPr>
                  <m:t>Q</m:t>
                </m:r>
              </m:e>
              <m:sub>
                <m:r>
                  <w:rPr>
                    <w:sz w:val="20"/>
                    <w:rFonts w:ascii="Cambria Math" w:hAnsi="Cambria Math"/>
                  </w:rPr>
                  <m:t>t</m:t>
                </m:r>
              </m:sub>
            </m:sSub>
          </m:sub>
        </m:sSub>
      </m:oMath>
    </w:p>
    <w:p>
      <w:pPr>
        <w:keepNext/>
        <w:spacing w:after="60" w:before="20"/>
        <w:jc w:val="center"/>
      </w:pPr>
      <m:oMath>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w</m:t>
            </m:r>
          </m:sup>
        </m:sSubSup>
        <m:r>
          <w:rPr>
            <w:sz w:val="20"/>
            <w:rFonts w:ascii="Cambria Math" w:hAnsi="Cambria Math"/>
          </w:rPr>
          <m:rPr>
            <m:sty m:val="p"/>
          </m:rPr>
          <m:t>=</m:t>
        </m:r>
        <m:sSub>
          <m:e>
            <m:acc>
              <m:accPr>
                <m:chr m:val="̂"/>
              </m:accPr>
              <m:e>
                <m:r>
                  <w:rPr>
                    <w:sz w:val="20"/>
                    <w:rFonts w:ascii="Cambria Math" w:hAnsi="Cambria Math"/>
                  </w:rPr>
                  <m:t>Q</m:t>
                </m:r>
              </m:e>
            </m:acc>
          </m:e>
          <m:sub>
            <m:r>
              <w:rPr>
                <w:sz w:val="20"/>
                <w:rFonts w:ascii="Cambria Math" w:hAnsi="Cambria Math"/>
              </w:rPr>
              <m:t>t</m:t>
            </m:r>
          </m:sub>
        </m:sSub>
        <m:r>
          <w:rPr>
            <w:sz w:val="20"/>
            <w:rFonts w:ascii="Cambria Math" w:hAnsi="Cambria Math"/>
          </w:rPr>
          <m:rPr>
            <m:sty m:val="p"/>
          </m:rPr>
          <m:t>−</m:t>
        </m:r>
        <m:sSub>
          <m:e>
            <m:r>
              <w:rPr>
                <w:sz w:val="20"/>
                <w:rFonts w:ascii="Cambria Math" w:hAnsi="Cambria Math"/>
              </w:rPr>
              <m:t>δ</m:t>
            </m:r>
          </m:e>
          <m:sub>
            <m:r>
              <w:rPr>
                <w:sz w:val="20"/>
                <w:rFonts w:ascii="Cambria Math" w:hAnsi="Cambria Math"/>
              </w:rPr>
              <m:t>t</m:t>
            </m:r>
          </m:sub>
        </m:sSub>
        <m:r>
          <w:rPr>
            <w:sz w:val="20"/>
            <w:rFonts w:ascii="Cambria Math" w:hAnsi="Cambria Math"/>
          </w:rPr>
          <m:t> </m:t>
        </m:r>
        <m:d>
          <m:dPr>
            <m:begChr m:val="("/>
            <m:endChr m:val=")"/>
            <m:sepChr m:val=""/>
            <m:grow/>
          </m:dPr>
          <m:e>
            <m:r>
              <w:rPr>
                <w:sz w:val="20"/>
                <w:rFonts w:ascii="Cambria Math" w:hAnsi="Cambria Math"/>
              </w:rPr>
              <m:rPr>
                <m:sty m:val="p"/>
              </m:rPr>
              <m:t>D</m:t>
            </m:r>
            <m:r>
              <w:rPr>
                <w:sz w:val="20"/>
                <w:rFonts w:ascii="Cambria Math" w:hAnsi="Cambria Math"/>
              </w:rPr>
              <m:rPr>
                <m:sty m:val="p"/>
              </m:rPr>
              <m:t>E</m:t>
            </m:r>
            <m:r>
              <w:rPr>
                <w:sz w:val="20"/>
                <w:rFonts w:ascii="Cambria Math" w:hAnsi="Cambria Math"/>
              </w:rPr>
              <m:rPr>
                <m:sty m:val="p"/>
              </m:rPr>
              <m:t>D</m:t>
            </m:r>
            <m:r>
              <w:rPr>
                <w:sz w:val="20"/>
                <w:rFonts w:ascii="Cambria Math" w:hAnsi="Cambria Math"/>
              </w:rPr>
              <m:rPr>
                <m:sty m:val="p"/>
              </m:rPr>
              <m:t>U</m:t>
            </m:r>
            <m:r>
              <w:rPr>
                <w:sz w:val="20"/>
                <w:rFonts w:ascii="Cambria Math" w:hAnsi="Cambria Math"/>
              </w:rPr>
              <m:rPr>
                <m:sty m:val="p"/>
              </m:rPr>
              <m:t>C</m:t>
            </m:r>
            <m:r>
              <w:rPr>
                <w:sz w:val="20"/>
                <w:rFonts w:ascii="Cambria Math" w:hAnsi="Cambria Math"/>
              </w:rPr>
              <m:rPr>
                <m:sty m:val="p"/>
              </m:rPr>
              <m:t>T</m:t>
            </m:r>
            <m:r>
              <w:rPr>
                <w:sz w:val="20"/>
                <w:rFonts w:ascii="Cambria Math" w:hAnsi="Cambria Math"/>
              </w:rPr>
              <m:rPr>
                <m:sty m:val="p"/>
              </m:rPr>
              <m:t>I</m:t>
            </m:r>
            <m:r>
              <w:rPr>
                <w:sz w:val="20"/>
                <w:rFonts w:ascii="Cambria Math" w:hAnsi="Cambria Math"/>
              </w:rPr>
              <m:rPr>
                <m:sty m:val="p"/>
              </m:rPr>
              <m:t>O</m:t>
            </m:r>
            <m:r>
              <w:rPr>
                <w:sz w:val="20"/>
                <w:rFonts w:ascii="Cambria Math" w:hAnsi="Cambria Math"/>
              </w:rPr>
              <m:rPr>
                <m:sty m:val="p"/>
              </m:rPr>
              <m:t>N</m:t>
            </m:r>
          </m:e>
        </m:d>
        <m:r>
          <w:rPr>
            <w:sz w:val="20"/>
            <w:rFonts w:ascii="Cambria Math" w:hAnsi="Cambria Math"/>
          </w:rPr>
          <m:rPr>
            <m:sty m:val="p"/>
          </m:rPr>
          <m:t>;</m:t>
        </m:r>
        <m:r>
          <w:rPr>
            <w:sz w:val="20"/>
            <w:rFonts w:ascii="Cambria Math" w:hAnsi="Cambria Math"/>
          </w:rPr>
          <m:t>  </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w</m:t>
            </m:r>
          </m:sup>
        </m:sSubSup>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b</m:t>
            </m:r>
            <m:r>
              <w:rPr>
                <w:sz w:val="20"/>
                <w:rFonts w:ascii="Cambria Math" w:hAnsi="Cambria Math"/>
              </w:rPr>
              <m:rPr>
                <m:sty m:val="p"/>
              </m:rPr>
              <m:t>o</m:t>
            </m:r>
            <m:r>
              <w:rPr>
                <w:sz w:val="20"/>
                <w:rFonts w:ascii="Cambria Math" w:hAnsi="Cambria Math"/>
              </w:rPr>
              <m:rPr>
                <m:sty m:val="p"/>
              </m:rPr>
              <m:t>u</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t> </m:t>
        </m:r>
        <m:d>
          <m:dPr>
            <m:begChr m:val="("/>
            <m:endChr m:val=")"/>
            <m:sepChr m:val=""/>
            <m:grow/>
          </m:dPr>
          <m:e>
            <m:r>
              <w:rPr>
                <w:sz w:val="20"/>
                <w:rFonts w:ascii="Cambria Math" w:hAnsi="Cambria Math"/>
              </w:rPr>
              <m:rPr>
                <m:sty m:val="p"/>
              </m:rPr>
              <m:t>B</m:t>
            </m:r>
            <m:r>
              <w:rPr>
                <w:sz w:val="20"/>
                <w:rFonts w:ascii="Cambria Math" w:hAnsi="Cambria Math"/>
              </w:rPr>
              <m:rPr>
                <m:sty m:val="p"/>
              </m:rPr>
              <m:t>O</m:t>
            </m:r>
            <m:r>
              <w:rPr>
                <w:sz w:val="20"/>
                <w:rFonts w:ascii="Cambria Math" w:hAnsi="Cambria Math"/>
              </w:rPr>
              <m:rPr>
                <m:sty m:val="p"/>
              </m:rPr>
              <m:t>U</m:t>
            </m:r>
            <m:r>
              <w:rPr>
                <w:sz w:val="20"/>
                <w:rFonts w:ascii="Cambria Math" w:hAnsi="Cambria Math"/>
              </w:rPr>
              <m:rPr>
                <m:sty m:val="p"/>
              </m:rPr>
              <m:t>N</m:t>
            </m:r>
            <m:r>
              <w:rPr>
                <w:sz w:val="20"/>
                <w:rFonts w:ascii="Cambria Math" w:hAnsi="Cambria Math"/>
              </w:rPr>
              <m:rPr>
                <m:sty m:val="p"/>
              </m:rPr>
              <m:t>D</m:t>
            </m:r>
          </m:e>
        </m:d>
      </m:oMath>
    </w:p>
    <w:p>
      <w:pPr>
        <w:keepNext/>
        <w:spacing w:after="60"/>
      </w:pPr>
      <w:r>
        <w:rPr>
          <w:rFonts w:ascii="Arial" w:hAnsi="Arial" w:eastAsia="Arial" w:cs="Arial"/>
          <w:b w:val="0"/>
          <w:color w:val="215F52"/>
          <w:sz w:val="17"/>
        </w:rPr>
        <w:t>delta es descuento justificado (ruta DEDUCTION); BOUND aporta directamente el límite sustentado. La segunda línea describe interfaz del libro, no estimador nuevo aprobado. Registrar procedimiento previo de incertidumbre o límite basado en evidencia y decisión.</w:t>
      </w:r>
    </w:p>
    <w:p>
      <w:pPr>
        <w:keepNext/>
        <w:spacing w:after="80"/>
      </w:pPr>
      <w:r>
        <w:rPr>
          <w:rFonts w:ascii="Arial" w:hAnsi="Arial" w:eastAsia="Arial" w:cs="Arial"/>
          <w:b w:val="0"/>
          <w:color w:val="62716E"/>
          <w:sz w:val="16"/>
        </w:rPr>
        <w:t>Base: M05.3; F-A02; AP-08. Ubicación del cálculo: ExAnte!J:L; ExPost!J:L; ExPost!O.</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Período / método / referencia AP</w:t>
            </w:r>
          </w:p>
        </w:tc>
        <w:tc>
          <w:tcPr>
            <w:tcW w:type="dxa" w:w="3572"/>
            <w:vAlign w:val="center"/>
            <w:shd w:fill="F1F5F2"/>
          </w:tcPr>
          <w:p>
            <w:pPr>
              <w:keepNext/>
              <w:spacing w:after="20"/>
            </w:pPr>
            <w:r>
              <w:rPr>
                <w:rFonts w:ascii="Arial" w:hAnsi="Arial" w:eastAsia="Arial" w:cs="Arial"/>
                <w:b/>
                <w:color w:val="215F52"/>
                <w:sz w:val="17"/>
              </w:rPr>
              <w:t>Entradas, cota o deducción y resultado</w:t>
            </w:r>
          </w:p>
        </w:tc>
        <w:tc>
          <w:tcPr>
            <w:tcW w:type="dxa" w:w="3390"/>
            <w:vAlign w:val="center"/>
            <w:shd w:fill="F1F5F2"/>
          </w:tcPr>
          <w:p>
            <w:pPr>
              <w:keepNext/>
              <w:spacing w:after="20"/>
            </w:pPr>
            <w:r>
              <w:rPr>
                <w:rFonts w:ascii="Arial" w:hAnsi="Arial" w:eastAsia="Arial" w:cs="Arial"/>
                <w:b/>
                <w:color w:val="215F52"/>
                <w:sz w:val="17"/>
              </w:rPr>
              <w:t>Criterio de materialidad, errores y disposición</w:t>
            </w:r>
          </w:p>
        </w:tc>
      </w:tr>
      <w:tr>
        <w:trPr>
          <w:trHeight w:val="442" w:hRule="atLeast"/>
        </w:trPr>
        <w:tc>
          <w:tcPr>
            <w:tcW w:type="dxa" w:w="2778"/>
            <w:vAlign w:val="top"/>
          </w:tcPr>
          <w:p>
            <w:pPr>
              <w:keepNext w:val="0"/>
              <w:spacing w:after="20"/>
            </w:pPr>
            <w:sdt>
              <w:sdtPr>
                <w:id w:val="1754"/>
                <w:alias w:val="MR-16-T02-R1-C1"/>
                <w:tag w:val="MR-16-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755"/>
                <w:alias w:val="MR-16-T02-R1-C2"/>
                <w:tag w:val="MR-16-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756"/>
                <w:alias w:val="MR-16-T02-R1-C3"/>
                <w:tag w:val="MR-16-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57"/>
                <w:alias w:val="MR-16-T02-R2-C1"/>
                <w:tag w:val="MR-16-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758"/>
                <w:alias w:val="MR-16-T02-R2-C2"/>
                <w:tag w:val="MR-16-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759"/>
                <w:alias w:val="MR-16-T02-R2-C3"/>
                <w:tag w:val="MR-16-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60"/>
                <w:alias w:val="MR-16-T02-R3-C1"/>
                <w:tag w:val="MR-16-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761"/>
                <w:alias w:val="MR-16-T02-R3-C2"/>
                <w:tag w:val="MR-16-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762"/>
                <w:alias w:val="MR-16-T02-R3-C3"/>
                <w:tag w:val="MR-16-T02-R3-C3"/>
                <w:text w:multiLine="1"/>
              </w:sdtPr>
              <w:sdtContent>
                <w:r>
                  <w:rPr>
                    <w:rFonts w:ascii="Arial" w:hAnsi="Arial"/>
                    <w:color w:val="62716E"/>
                    <w:sz w:val="18"/>
                  </w:rPr>
                  <w:t>[Completar]</w:t>
                </w:r>
              </w:sdtContent>
            </w:sdt>
          </w:p>
        </w:tc>
      </w:tr>
    </w:tbl>
    <w:p>
      <w:pPr>
        <w:spacing w:after="20" w:before="0" w:line="40" w:lineRule="exact"/>
      </w:pPr>
      <w:r>
        <w:rPr>
          <w:sz w:val="4"/>
        </w:rPr>
      </w:r>
    </w:p>
    <w:p>
      <w:pPr>
        <w:spacing w:after="100"/>
      </w:pPr>
      <w:r>
        <w:rPr>
          <w:rFonts w:ascii="Arial" w:hAnsi="Arial" w:eastAsia="Arial" w:cs="Arial"/>
          <w:b w:val="0"/>
          <w:color w:val="243A36"/>
          <w:sz w:val="19"/>
        </w:rPr>
        <w:t>No se predeterminan confianza, deducción ni umbral de materialidad. Explicar la evidencia conjunta de la cota y evitar deducir dos veces el mismo componente cubierto. Corregir errores aritméticos identificados; estar por debajo de un umbral no valida una entrada errónea.</w:t>
      </w:r>
    </w:p>
    <w:p>
      <w:bookmarkStart w:id="464" w:name="MR_17"/>
      <w:pPr>
        <w:pStyle w:val="Heading1"/>
        <w:keepNext/>
        <w:pageBreakBefore/>
      </w:pPr>
      <w:r>
        <w:rPr>
          <w:rFonts w:ascii="Arial" w:hAnsi="Arial" w:eastAsia="Arial" w:cs="Arial"/>
          <w:b w:val="0"/>
          <w:color w:val="215F52"/>
          <w:sz w:val="38"/>
        </w:rPr>
        <w:t>17  Riesgo, reserva y respuesta a perturbaciones</w:t>
      </w:r>
      <w:bookmarkEnd w:id="464"/>
    </w:p>
    <w:p>
      <w:pPr>
        <w:keepNext/>
        <w:spacing w:after="100"/>
      </w:pPr>
      <w:r>
        <w:rPr>
          <w:rFonts w:ascii="Arial" w:hAnsi="Arial" w:eastAsia="Arial" w:cs="Arial"/>
          <w:b w:val="0"/>
          <w:color w:val="62716E"/>
          <w:sz w:val="16"/>
        </w:rPr>
        <w:t>[1] T-17; T-18; T-19; T-20; F-A03; F-A04; F-A05; P-03; P-10; AP-09; FRM-09</w:t>
      </w:r>
    </w:p>
    <w:p>
      <w:pPr>
        <w:keepNext/>
        <w:spacing w:after="100"/>
      </w:pPr>
      <w:r>
        <w:rPr>
          <w:rFonts w:ascii="Arial" w:hAnsi="Arial" w:eastAsia="Arial" w:cs="Arial"/>
          <w:b/>
          <w:color w:val="215F52"/>
          <w:sz w:val="20"/>
        </w:rPr>
        <w:t>MR-17-T01 / Cuenta de riesgo residual y protección</w:t>
      </w:r>
    </w:p>
    <w:p>
      <w:pPr>
        <w:keepNext/>
        <w:spacing w:after="100"/>
      </w:pPr>
      <w:r>
        <w:rPr>
          <w:rFonts w:ascii="Arial" w:hAnsi="Arial" w:eastAsia="Arial" w:cs="Arial"/>
          <w:b/>
          <w:color w:val="215F52"/>
          <w:sz w:val="17"/>
        </w:rPr>
        <w:t>MR-17-T01 / Notación de cálculo</w:t>
      </w:r>
    </w:p>
    <w:p>
      <w:pPr>
        <w:keepNext/>
        <w:spacing w:after="60" w:before="20"/>
        <w:jc w:val="center"/>
      </w:pPr>
      <m:oMath>
        <m:sSup>
          <m:e>
            <m:r>
              <w:rPr>
                <w:sz w:val="20"/>
                <w:rFonts w:ascii="Cambria Math" w:hAnsi="Cambria Math"/>
              </w:rPr>
              <m:t>B</m:t>
            </m:r>
          </m:e>
          <m:sup>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q</m:t>
            </m:r>
          </m:sup>
        </m:sSup>
        <m:r>
          <w:rPr>
            <w:sz w:val="20"/>
            <w:rFonts w:ascii="Cambria Math" w:hAnsi="Cambria Math"/>
          </w:rPr>
          <m:rPr>
            <m:sty m:val="p"/>
          </m:rPr>
          <m:t>=</m:t>
        </m:r>
        <m:r>
          <w:rPr>
            <w:sz w:val="20"/>
            <w:rFonts w:ascii="Cambria Math" w:hAnsi="Cambria Math"/>
          </w:rPr>
          <m:rPr>
            <m:sty m:val="p"/>
          </m:rPr>
          <m:t>inf</m:t>
        </m:r>
        <m:r>
          <w:rPr>
            <w:sz w:val="20"/>
            <w:rFonts w:ascii="Cambria Math" w:hAnsi="Cambria Math"/>
          </w:rPr>
          <m:rPr>
            <m:sty m:val="p"/>
          </m:rPr>
          <m:t>{</m:t>
        </m:r>
        <m:r>
          <w:rPr>
            <w:sz w:val="20"/>
            <w:rFonts w:ascii="Cambria Math" w:hAnsi="Cambria Math"/>
          </w:rPr>
          <m:rPr>
            <m:sty m:val="p"/>
          </m:rPr>
          <m:t>ℓ</m:t>
        </m:r>
        <m:r>
          <w:rPr>
            <w:sz w:val="20"/>
            <w:rFonts w:ascii="Cambria Math" w:hAnsi="Cambria Math"/>
          </w:rPr>
          <m:rPr>
            <m:sty m:val="p"/>
          </m:rPr>
          <m:t>:</m:t>
        </m:r>
        <m:r>
          <w:rPr>
            <w:sz w:val="20"/>
            <w:rFonts w:ascii="Cambria Math" w:hAnsi="Cambria Math"/>
          </w:rPr>
          <m:rPr>
            <m:sty m:val="p"/>
          </m:rPr>
          <m:t>Pr</m:t>
        </m:r>
        <m:d>
          <m:dPr>
            <m:begChr m:val="("/>
            <m:endChr m:val=")"/>
            <m:sepChr m:val=""/>
            <m:grow/>
          </m:dPr>
          <m:e>
            <m:sSub>
              <m:e>
                <m:r>
                  <w:rPr>
                    <w:sz w:val="20"/>
                    <w:rFonts w:ascii="Cambria Math" w:hAnsi="Cambria Math"/>
                  </w:rPr>
                  <m:t>L</m:t>
                </m:r>
              </m:e>
              <m:sub>
                <m:r>
                  <w:rPr>
                    <w:sz w:val="20"/>
                    <w:rFonts w:ascii="Cambria Math" w:hAnsi="Cambria Math"/>
                  </w:rPr>
                  <m:t>H</m:t>
                </m:r>
              </m:sub>
            </m:sSub>
            <m:r>
              <w:rPr>
                <w:sz w:val="20"/>
                <w:rFonts w:ascii="Cambria Math" w:hAnsi="Cambria Math"/>
              </w:rPr>
              <m:rPr>
                <m:sty m:val="p"/>
              </m:rPr>
              <m:t>≤</m:t>
            </m:r>
            <m:r>
              <w:rPr>
                <w:sz w:val="20"/>
                <w:rFonts w:ascii="Cambria Math" w:hAnsi="Cambria Math"/>
              </w:rPr>
              <m:rPr>
                <m:sty m:val="p"/>
              </m:rPr>
              <m:t>ℓ</m:t>
            </m:r>
            <m:r>
              <w:rPr>
                <w:sz w:val="20"/>
                <w:rFonts w:ascii="Cambria Math" w:hAnsi="Cambria Math"/>
              </w:rPr>
              <m:rPr>
                <m:sty m:val="p"/>
              </m:rPr>
              <m:t>∣</m:t>
            </m:r>
            <m:sSub>
              <m:e>
                <m:r>
                  <w:rPr>
                    <w:sz w:val="20"/>
                    <w:rFonts w:ascii="Cambria Math" w:hAnsi="Cambria Math"/>
                  </w:rPr>
                  <m:rPr>
                    <m:sty m:val="p"/>
                    <m:scr m:val="script"/>
                  </m:rPr>
                  <m:t>D</m:t>
                </m:r>
              </m:e>
              <m:sub>
                <m:r>
                  <w:rPr>
                    <w:sz w:val="20"/>
                    <w:rFonts w:ascii="Cambria Math" w:hAnsi="Cambria Math"/>
                  </w:rPr>
                  <m:t>v</m:t>
                </m:r>
              </m:sub>
            </m:sSub>
          </m:e>
        </m:d>
        <m:r>
          <w:rPr>
            <w:sz w:val="20"/>
            <w:rFonts w:ascii="Cambria Math" w:hAnsi="Cambria Math"/>
          </w:rPr>
          <m:rPr>
            <m:sty m:val="p"/>
          </m:rPr>
          <m:t>≥</m:t>
        </m:r>
        <m:r>
          <w:rPr>
            <w:sz w:val="20"/>
            <w:rFonts w:ascii="Cambria Math" w:hAnsi="Cambria Math"/>
          </w:rPr>
          <m:t>γ</m:t>
        </m:r>
        <m:r>
          <w:rPr>
            <w:sz w:val="20"/>
            <w:rFonts w:ascii="Cambria Math" w:hAnsi="Cambria Math"/>
          </w:rPr>
          <m:rPr>
            <m:sty m:val="p"/>
          </m:rPr>
          <m:t>}</m:t>
        </m:r>
      </m:oMath>
    </w:p>
    <w:p>
      <w:pPr>
        <w:keepNext/>
        <w:spacing w:after="60" w:before="20"/>
        <w:jc w:val="center"/>
      </w:pPr>
      <m:oMath>
        <m:sSup>
          <m:e>
            <m:r>
              <w:rPr>
                <w:sz w:val="20"/>
                <w:rFonts w:ascii="Cambria Math" w:hAnsi="Cambria Math"/>
              </w:rPr>
              <m:t>B</m:t>
            </m:r>
          </m:e>
          <m:sup>
            <m:r>
              <w:rPr>
                <w:sz w:val="20"/>
                <w:rFonts w:ascii="Cambria Math" w:hAnsi="Cambria Math"/>
              </w:rPr>
              <m:rPr>
                <m:sty m:val="p"/>
              </m:rPr>
              <m:t>a</m:t>
            </m:r>
            <m:r>
              <w:rPr>
                <w:sz w:val="20"/>
                <w:rFonts w:ascii="Cambria Math" w:hAnsi="Cambria Math"/>
              </w:rPr>
              <m:rPr>
                <m:sty m:val="p"/>
              </m:rPr>
              <m:t>d</m:t>
            </m:r>
            <m:r>
              <w:rPr>
                <w:sz w:val="20"/>
                <w:rFonts w:ascii="Cambria Math" w:hAnsi="Cambria Math"/>
              </w:rPr>
              <m:rPr>
                <m:sty m:val="p"/>
              </m:rPr>
              <m:t>d</m:t>
            </m:r>
          </m:sup>
        </m:sSup>
        <m:r>
          <w:rPr>
            <w:sz w:val="20"/>
            <w:rFonts w:ascii="Cambria Math" w:hAnsi="Cambria Math"/>
          </w:rPr>
          <m:rPr>
            <m:sty m:val="p"/>
          </m:rPr>
          <m:t>=</m:t>
        </m:r>
        <m:r>
          <w:rPr>
            <w:sz w:val="20"/>
            <w:rFonts w:ascii="Cambria Math" w:hAnsi="Cambria Math"/>
          </w:rPr>
          <m:rPr>
            <m:sty m:val="p"/>
          </m:rPr>
          <m:t>max</m:t>
        </m:r>
        <m:d>
          <m:dPr>
            <m:begChr m:val="("/>
            <m:endChr m:val=")"/>
            <m:sepChr m:val=""/>
            <m:grow/>
          </m:dPr>
          <m:e>
            <m:r>
              <w:rPr>
                <w:sz w:val="20"/>
                <w:rFonts w:ascii="Cambria Math" w:hAnsi="Cambria Math"/>
              </w:rPr>
              <m:t>0</m:t>
            </m:r>
            <m:r>
              <w:rPr>
                <w:sz w:val="20"/>
                <w:rFonts w:ascii="Cambria Math" w:hAnsi="Cambria Math"/>
              </w:rPr>
              <m:rPr>
                <m:sty m:val="p"/>
              </m:rPr>
              <m:t>,</m:t>
            </m:r>
            <m:sSup>
              <m:e>
                <m:r>
                  <w:rPr>
                    <w:sz w:val="20"/>
                    <w:rFonts w:ascii="Cambria Math" w:hAnsi="Cambria Math"/>
                  </w:rPr>
                  <m:t>B</m:t>
                </m:r>
              </m:e>
              <m:sup>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q</m:t>
                </m:r>
              </m:sup>
            </m:sSup>
            <m:r>
              <w:rPr>
                <w:sz w:val="20"/>
                <w:rFonts w:ascii="Cambria Math" w:hAnsi="Cambria Math"/>
              </w:rPr>
              <m:rPr>
                <m:sty m:val="p"/>
              </m:rPr>
              <m:t>−</m:t>
            </m:r>
            <m:sSup>
              <m:e>
                <m:r>
                  <w:rPr>
                    <w:sz w:val="20"/>
                    <w:rFonts w:ascii="Cambria Math" w:hAnsi="Cambria Math"/>
                  </w:rPr>
                  <m:t>B</m:t>
                </m:r>
              </m:e>
              <m:sup>
                <m:r>
                  <w:rPr>
                    <w:sz w:val="20"/>
                    <w:rFonts w:ascii="Cambria Math" w:hAnsi="Cambria Math"/>
                  </w:rPr>
                  <m:rPr>
                    <m:sty m:val="p"/>
                  </m:rPr>
                  <m:t>a</m:t>
                </m:r>
                <m:r>
                  <w:rPr>
                    <w:sz w:val="20"/>
                    <w:rFonts w:ascii="Cambria Math" w:hAnsi="Cambria Math"/>
                  </w:rPr>
                  <m:rPr>
                    <m:sty m:val="p"/>
                  </m:rPr>
                  <m:t>v</m:t>
                </m:r>
                <m:r>
                  <w:rPr>
                    <w:sz w:val="20"/>
                    <w:rFonts w:ascii="Cambria Math" w:hAnsi="Cambria Math"/>
                  </w:rPr>
                  <m:rPr>
                    <m:sty m:val="p"/>
                  </m:rPr>
                  <m:t>a</m:t>
                </m:r>
                <m:r>
                  <w:rPr>
                    <w:sz w:val="20"/>
                    <w:rFonts w:ascii="Cambria Math" w:hAnsi="Cambria Math"/>
                  </w:rPr>
                  <m:rPr>
                    <m:sty m:val="p"/>
                  </m:rPr>
                  <m:t>i</m:t>
                </m:r>
                <m:r>
                  <w:rPr>
                    <w:sz w:val="20"/>
                    <w:rFonts w:ascii="Cambria Math" w:hAnsi="Cambria Math"/>
                  </w:rPr>
                  <m:rPr>
                    <m:sty m:val="p"/>
                  </m:rPr>
                  <m:t>l</m:t>
                </m:r>
              </m:sup>
            </m:sSup>
          </m:e>
        </m:d>
      </m:oMath>
    </w:p>
    <w:p>
      <w:pPr>
        <w:keepNext/>
        <w:spacing w:after="60"/>
      </w:pPr>
      <w:r>
        <w:rPr>
          <w:rFonts w:ascii="Arial" w:hAnsi="Arial" w:eastAsia="Arial" w:cs="Arial"/>
          <w:b w:val="0"/>
          <w:color w:val="215F52"/>
          <w:sz w:val="17"/>
        </w:rPr>
        <w:t>Es F-A04 condicional, no modelo probabilístico predeterminado. Registrar horizonte, nivel de protección y distribución adoptados, o ruta de estrés justificada por separado. Distinguir protección total requerida, reserva compatible disponible y aporte nuevo. No se precarga tasa.</w:t>
      </w:r>
    </w:p>
    <w:p>
      <w:pPr>
        <w:keepNext/>
        <w:spacing w:after="80"/>
      </w:pPr>
      <w:r>
        <w:rPr>
          <w:rFonts w:ascii="Arial" w:hAnsi="Arial" w:eastAsia="Arial" w:cs="Arial"/>
          <w:b w:val="0"/>
          <w:color w:val="62716E"/>
          <w:sz w:val="16"/>
        </w:rPr>
        <w:t>Base: F-A04; F-A05; T-17–T-20; AP-09. Ubicación del cálculo: Cuadro calificado de riesgo; Settlement!J; FRM-09.</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Amenaza / exposición compatible / horizonte</w:t>
            </w:r>
          </w:p>
        </w:tc>
        <w:tc>
          <w:tcPr>
            <w:tcW w:type="dxa" w:w="3572"/>
            <w:vAlign w:val="center"/>
            <w:shd w:fill="F1F5F2"/>
          </w:tcPr>
          <w:p>
            <w:pPr>
              <w:keepNext/>
              <w:spacing w:after="20"/>
            </w:pPr>
            <w:r>
              <w:rPr>
                <w:rFonts w:ascii="Arial" w:hAnsi="Arial" w:eastAsia="Arial" w:cs="Arial"/>
                <w:b/>
                <w:color w:val="215F52"/>
                <w:sz w:val="17"/>
              </w:rPr>
              <w:t>Controles aplicados, pérdidas y regla de protección</w:t>
            </w:r>
          </w:p>
        </w:tc>
        <w:tc>
          <w:tcPr>
            <w:tcW w:type="dxa" w:w="3390"/>
            <w:vAlign w:val="center"/>
            <w:shd w:fill="F1F5F2"/>
          </w:tcPr>
          <w:p>
            <w:pPr>
              <w:keepNext/>
              <w:spacing w:after="20"/>
            </w:pPr>
            <w:r>
              <w:rPr>
                <w:rFonts w:ascii="Arial" w:hAnsi="Arial" w:eastAsia="Arial" w:cs="Arial"/>
                <w:b/>
                <w:color w:val="215F52"/>
                <w:sz w:val="17"/>
              </w:rPr>
              <w:t>Reserva requerida, disponible y adicional; evidencia</w:t>
            </w:r>
          </w:p>
        </w:tc>
      </w:tr>
      <w:tr>
        <w:trPr>
          <w:trHeight w:val="442" w:hRule="atLeast"/>
        </w:trPr>
        <w:tc>
          <w:tcPr>
            <w:tcW w:type="dxa" w:w="2778"/>
            <w:vAlign w:val="top"/>
          </w:tcPr>
          <w:p>
            <w:pPr>
              <w:keepNext w:val="0"/>
              <w:spacing w:after="20"/>
            </w:pPr>
            <w:sdt>
              <w:sdtPr>
                <w:id w:val="1763"/>
                <w:alias w:val="MR-17-T01-R1-C1"/>
                <w:tag w:val="MR-17-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764"/>
                <w:alias w:val="MR-17-T01-R1-C2"/>
                <w:tag w:val="MR-17-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765"/>
                <w:alias w:val="MR-17-T01-R1-C3"/>
                <w:tag w:val="MR-17-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66"/>
                <w:alias w:val="MR-17-T01-R2-C1"/>
                <w:tag w:val="MR-17-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767"/>
                <w:alias w:val="MR-17-T01-R2-C2"/>
                <w:tag w:val="MR-17-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768"/>
                <w:alias w:val="MR-17-T01-R2-C3"/>
                <w:tag w:val="MR-17-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69"/>
                <w:alias w:val="MR-17-T01-R3-C1"/>
                <w:tag w:val="MR-17-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770"/>
                <w:alias w:val="MR-17-T01-R3-C2"/>
                <w:tag w:val="MR-17-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771"/>
                <w:alias w:val="MR-17-T01-R3-C3"/>
                <w:tag w:val="MR-17-T01-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MR-17-T02 / Perturbaciones, respuesta y estado actual</w:t>
      </w:r>
    </w:p>
    <w:p>
      <w:pPr>
        <w:keepNext/>
        <w:spacing w:after="100"/>
      </w:pPr>
      <w:r>
        <w:rPr>
          <w:rFonts w:ascii="Arial" w:hAnsi="Arial" w:eastAsia="Arial" w:cs="Arial"/>
          <w:b/>
          <w:color w:val="215F52"/>
          <w:sz w:val="17"/>
        </w:rPr>
        <w:t>MR-17-T02 / Notación de cálculo</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es la observación, entrada o salida identificada; u_l es su unidad declarada. Registrar ecuación exacta, archivo, hoja, celda/rango, período y estado. Esta notación no prescribe un estimador.</w:t>
      </w:r>
    </w:p>
    <w:p>
      <w:pPr>
        <w:keepNext/>
        <w:spacing w:after="80"/>
      </w:pPr>
      <w:r>
        <w:rPr>
          <w:rFonts w:ascii="Arial" w:hAnsi="Arial" w:eastAsia="Arial" w:cs="Arial"/>
          <w:b w:val="0"/>
          <w:color w:val="62716E"/>
          <w:sz w:val="16"/>
        </w:rPr>
        <w:t>Base: F-01; T-01. Ubicación del cálculo: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Evento, fecha y soporte afectado</w:t>
            </w:r>
          </w:p>
        </w:tc>
        <w:tc>
          <w:tcPr>
            <w:tcW w:type="dxa" w:w="3572"/>
            <w:vAlign w:val="center"/>
            <w:shd w:fill="F1F5F2"/>
          </w:tcPr>
          <w:p>
            <w:pPr>
              <w:keepNext/>
              <w:spacing w:after="20"/>
            </w:pPr>
            <w:r>
              <w:rPr>
                <w:rFonts w:ascii="Arial" w:hAnsi="Arial" w:eastAsia="Arial" w:cs="Arial"/>
                <w:b/>
                <w:color w:val="215F52"/>
                <w:sz w:val="17"/>
              </w:rPr>
              <w:t>Impacto medido o estimado y unidad</w:t>
            </w:r>
          </w:p>
        </w:tc>
        <w:tc>
          <w:tcPr>
            <w:tcW w:type="dxa" w:w="3390"/>
            <w:vAlign w:val="center"/>
            <w:shd w:fill="F1F5F2"/>
          </w:tcPr>
          <w:p>
            <w:pPr>
              <w:keepNext/>
              <w:spacing w:after="20"/>
            </w:pPr>
            <w:r>
              <w:rPr>
                <w:rFonts w:ascii="Arial" w:hAnsi="Arial" w:eastAsia="Arial" w:cs="Arial"/>
                <w:b/>
                <w:color w:val="215F52"/>
                <w:sz w:val="17"/>
              </w:rPr>
              <w:t>Acción inmediata, evidencia, obligación y seguimiento</w:t>
            </w:r>
          </w:p>
        </w:tc>
      </w:tr>
      <w:tr>
        <w:trPr>
          <w:trHeight w:val="442" w:hRule="atLeast"/>
        </w:trPr>
        <w:tc>
          <w:tcPr>
            <w:tcW w:type="dxa" w:w="2778"/>
            <w:vAlign w:val="top"/>
          </w:tcPr>
          <w:p>
            <w:pPr>
              <w:keepNext w:val="0"/>
              <w:spacing w:after="20"/>
            </w:pPr>
            <w:sdt>
              <w:sdtPr>
                <w:id w:val="1772"/>
                <w:alias w:val="MR-17-T02-R1-C1"/>
                <w:tag w:val="MR-17-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773"/>
                <w:alias w:val="MR-17-T02-R1-C2"/>
                <w:tag w:val="MR-17-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774"/>
                <w:alias w:val="MR-17-T02-R1-C3"/>
                <w:tag w:val="MR-17-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75"/>
                <w:alias w:val="MR-17-T02-R2-C1"/>
                <w:tag w:val="MR-17-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776"/>
                <w:alias w:val="MR-17-T02-R2-C2"/>
                <w:tag w:val="MR-17-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777"/>
                <w:alias w:val="MR-17-T02-R2-C3"/>
                <w:tag w:val="MR-17-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78"/>
                <w:alias w:val="MR-17-T02-R3-C1"/>
                <w:tag w:val="MR-17-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779"/>
                <w:alias w:val="MR-17-T02-R3-C2"/>
                <w:tag w:val="MR-17-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780"/>
                <w:alias w:val="MR-17-T02-R3-C3"/>
                <w:tag w:val="MR-17-T02-R3-C3"/>
                <w:text w:multiLine="1"/>
              </w:sdtPr>
              <w:sdtContent>
                <w:r>
                  <w:rPr>
                    <w:rFonts w:ascii="Arial" w:hAnsi="Arial"/>
                    <w:color w:val="62716E"/>
                    <w:sz w:val="18"/>
                  </w:rPr>
                  <w:t>[Completar]</w:t>
                </w:r>
              </w:sdtContent>
            </w:sdt>
          </w:p>
        </w:tc>
      </w:tr>
    </w:tbl>
    <w:p>
      <w:pPr>
        <w:spacing w:after="20" w:before="0" w:line="40" w:lineRule="exact"/>
      </w:pPr>
      <w:r>
        <w:rPr>
          <w:sz w:val="4"/>
        </w:rPr>
      </w:r>
    </w:p>
    <w:p>
      <w:pPr>
        <w:spacing w:after="100"/>
      </w:pPr>
      <w:r>
        <w:rPr>
          <w:rFonts w:ascii="Arial" w:hAnsi="Arial" w:eastAsia="Arial" w:cs="Arial"/>
          <w:b w:val="0"/>
          <w:color w:val="243A36"/>
          <w:sz w:val="19"/>
        </w:rPr>
        <w:t>Distinguir protección requerida, reserva financiada, comprometida y cancelación ejecutada. Registrar dependencia y choques comunes pertinentes. Una evaluación más sólida no crea por sí misma cantidad ambiental. No calificar toda perturbación o cota negativa como reversión verificada sin evaluación aplicable.</w:t>
      </w:r>
    </w:p>
    <w:p>
      <w:bookmarkStart w:id="480" w:name="MR_18"/>
      <w:pPr>
        <w:pStyle w:val="Heading1"/>
        <w:keepNext/>
        <w:pageBreakBefore/>
      </w:pPr>
      <w:r>
        <w:rPr>
          <w:rFonts w:ascii="Arial" w:hAnsi="Arial" w:eastAsia="Arial" w:cs="Arial"/>
          <w:b w:val="0"/>
          <w:color w:val="215F52"/>
          <w:sz w:val="38"/>
        </w:rPr>
        <w:t>18  Liquidación, resultados negativos y continuidad</w:t>
      </w:r>
      <w:bookmarkEnd w:id="480"/>
    </w:p>
    <w:p>
      <w:pPr>
        <w:keepNext/>
        <w:spacing w:after="100"/>
      </w:pPr>
      <w:r>
        <w:rPr>
          <w:rFonts w:ascii="Arial" w:hAnsi="Arial" w:eastAsia="Arial" w:cs="Arial"/>
          <w:b w:val="0"/>
          <w:color w:val="62716E"/>
          <w:sz w:val="16"/>
        </w:rPr>
        <w:t>[1] F-03; M05.4; M05.5; F-R03; F-R05a; F-R05b; FRM-02/C; FRM-09; AP-09</w:t>
      </w:r>
    </w:p>
    <w:p>
      <w:pPr>
        <w:keepNext/>
        <w:spacing w:after="100"/>
      </w:pPr>
      <w:r>
        <w:rPr>
          <w:rFonts w:ascii="Arial" w:hAnsi="Arial" w:eastAsia="Arial" w:cs="Arial"/>
          <w:b/>
          <w:color w:val="215F52"/>
          <w:sz w:val="20"/>
        </w:rPr>
        <w:t>MR-18-T01 / Asignación candidata y registro ejecutado</w:t>
      </w:r>
    </w:p>
    <w:p>
      <w:pPr>
        <w:keepNext/>
        <w:spacing w:after="100"/>
      </w:pPr>
      <w:r>
        <w:rPr>
          <w:rFonts w:ascii="Arial" w:hAnsi="Arial" w:eastAsia="Arial" w:cs="Arial"/>
          <w:b/>
          <w:color w:val="215F52"/>
          <w:sz w:val="17"/>
        </w:rPr>
        <w:t>MR-18-T01 / Notación de cálculo</w:t>
      </w:r>
    </w:p>
    <w:p>
      <w:pPr>
        <w:keepNext/>
        <w:spacing w:after="60" w:before="20"/>
        <w:jc w:val="center"/>
      </w:pPr>
      <m:oMath>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e</m:t>
            </m:r>
            <m:r>
              <w:rPr>
                <w:sz w:val="20"/>
                <w:rFonts w:ascii="Cambria Math" w:hAnsi="Cambria Math"/>
              </w:rPr>
              <m:rPr>
                <m:sty m:val="p"/>
              </m:rPr>
              <m:t>l</m:t>
            </m:r>
            <m:r>
              <w:rPr>
                <w:sz w:val="20"/>
                <w:rFonts w:ascii="Cambria Math" w:hAnsi="Cambria Math"/>
              </w:rPr>
              <m:rPr>
                <m:sty m:val="p"/>
              </m:rPr>
              <m:t>i</m:t>
            </m:r>
            <m:r>
              <w:rPr>
                <w:sz w:val="20"/>
                <w:rFonts w:ascii="Cambria Math" w:hAnsi="Cambria Math"/>
              </w:rPr>
              <m:rPr>
                <m:sty m:val="p"/>
              </m:rPr>
              <m:t>g</m:t>
            </m:r>
            <m:r>
              <w:rPr>
                <w:sz w:val="20"/>
                <w:rFonts w:ascii="Cambria Math" w:hAnsi="Cambria Math"/>
              </w:rPr>
              <m:rPr>
                <m:sty m:val="p"/>
              </m:rPr>
              <m:t>i</m:t>
            </m:r>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e</m:t>
            </m:r>
          </m:sup>
        </m:sSubSup>
        <m:r>
          <w:rPr>
            <w:sz w:val="20"/>
            <w:rFonts w:ascii="Cambria Math" w:hAnsi="Cambria Math"/>
          </w:rPr>
          <m:rPr>
            <m:sty m:val="p"/>
          </m:rPr>
          <m:t>=</m:t>
        </m:r>
        <m:r>
          <w:rPr>
            <w:sz w:val="20"/>
            <w:rFonts w:ascii="Cambria Math" w:hAnsi="Cambria Math"/>
          </w:rPr>
          <m:rPr>
            <m:sty m:val="p"/>
          </m:rPr>
          <m:t>max</m:t>
        </m:r>
        <m:d>
          <m:dPr>
            <m:begChr m:val="("/>
            <m:endChr m:val=")"/>
            <m:sepChr m:val=""/>
            <m:grow/>
          </m:dPr>
          <m:e>
            <m:r>
              <w:rPr>
                <w:sz w:val="20"/>
                <w:rFonts w:ascii="Cambria Math" w:hAnsi="Cambria Math"/>
              </w:rPr>
              <m:t>0</m:t>
            </m:r>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w</m:t>
                </m:r>
              </m:sup>
            </m:sSubSup>
          </m:e>
        </m:d>
        <m:r>
          <w:rPr>
            <w:sz w:val="20"/>
            <w:rFonts w:ascii="Cambria Math" w:hAnsi="Cambria Math"/>
          </w:rPr>
          <m:rPr>
            <m:sty m:val="p"/>
          </m:rPr>
          <m:t>,</m:t>
        </m:r>
        <m:r>
          <w:rPr>
            <w:sz w:val="20"/>
            <w:rFonts w:ascii="Cambria Math" w:hAnsi="Cambria Math"/>
          </w:rPr>
          <m:t> </m:t>
        </m:r>
        <m:sSubSup>
          <m:e>
            <m:r>
              <w:rPr>
                <w:sz w:val="20"/>
                <w:rFonts w:ascii="Cambria Math" w:hAnsi="Cambria Math"/>
              </w:rPr>
              <m:t>D</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rPr>
            <m:sty m:val="p"/>
          </m:rPr>
          <m:t>=</m:t>
        </m:r>
        <m:r>
          <w:rPr>
            <w:sz w:val="20"/>
            <w:rFonts w:ascii="Cambria Math" w:hAnsi="Cambria Math"/>
          </w:rPr>
          <m:rPr>
            <m:sty m:val="p"/>
          </m:rPr>
          <m:t>min</m:t>
        </m:r>
        <m:d>
          <m:dPr>
            <m:begChr m:val="("/>
            <m:endChr m:val=")"/>
            <m:sepChr m:val=""/>
            <m:grow/>
          </m:dPr>
          <m:e>
            <m:sSub>
              <m:e>
                <m:r>
                  <w:rPr>
                    <w:sz w:val="20"/>
                    <w:rFonts w:ascii="Cambria Math" w:hAnsi="Cambria Math"/>
                  </w:rPr>
                  <m:t>D</m:t>
                </m:r>
              </m:e>
              <m:sub>
                <m:r>
                  <w:rPr>
                    <w:sz w:val="20"/>
                    <w:rFonts w:ascii="Cambria Math" w:hAnsi="Cambria Math"/>
                  </w:rPr>
                  <m:t>t</m:t>
                </m:r>
              </m:sub>
            </m:sSub>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e</m:t>
                </m:r>
                <m:r>
                  <w:rPr>
                    <w:sz w:val="20"/>
                    <w:rFonts w:ascii="Cambria Math" w:hAnsi="Cambria Math"/>
                  </w:rPr>
                  <m:rPr>
                    <m:sty m:val="p"/>
                  </m:rPr>
                  <m:t>l</m:t>
                </m:r>
                <m:r>
                  <w:rPr>
                    <w:sz w:val="20"/>
                    <w:rFonts w:ascii="Cambria Math" w:hAnsi="Cambria Math"/>
                  </w:rPr>
                  <m:rPr>
                    <m:sty m:val="p"/>
                  </m:rPr>
                  <m:t>i</m:t>
                </m:r>
                <m:r>
                  <w:rPr>
                    <w:sz w:val="20"/>
                    <w:rFonts w:ascii="Cambria Math" w:hAnsi="Cambria Math"/>
                  </w:rPr>
                  <m:rPr>
                    <m:sty m:val="p"/>
                  </m:rPr>
                  <m:t>g</m:t>
                </m:r>
                <m:r>
                  <w:rPr>
                    <w:sz w:val="20"/>
                    <w:rFonts w:ascii="Cambria Math" w:hAnsi="Cambria Math"/>
                  </w:rPr>
                  <m:rPr>
                    <m:sty m:val="p"/>
                  </m:rPr>
                  <m:t>i</m:t>
                </m:r>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e</m:t>
                </m:r>
              </m:sup>
            </m:sSubSup>
          </m:e>
        </m:d>
      </m:oMath>
    </w:p>
    <w:p>
      <w:pPr>
        <w:keepNext/>
        <w:spacing w:after="60" w:before="20"/>
        <w:jc w:val="center"/>
      </w:pPr>
      <m:oMath>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b</m:t>
            </m:r>
            <m:r>
              <w:rPr>
                <w:sz w:val="20"/>
                <w:rFonts w:ascii="Cambria Math" w:hAnsi="Cambria Math"/>
              </w:rPr>
              <m:rPr>
                <m:sty m:val="p"/>
              </m:rPr>
              <m:t>a</m:t>
            </m:r>
            <m:r>
              <w:rPr>
                <w:sz w:val="20"/>
                <w:rFonts w:ascii="Cambria Math" w:hAnsi="Cambria Math"/>
              </w:rPr>
              <m:rPr>
                <m:sty m:val="p"/>
              </m:rPr>
              <m:t>s</m:t>
            </m:r>
            <m:r>
              <w:rPr>
                <w:sz w:val="20"/>
                <w:rFonts w:ascii="Cambria Math" w:hAnsi="Cambria Math"/>
              </w:rPr>
              <m:rPr>
                <m:sty m:val="p"/>
              </m:rPr>
              <m:t>e</m:t>
            </m:r>
            <m:r>
              <w:rPr>
                <w:sz w:val="20"/>
                <w:rFonts w:ascii="Cambria Math" w:hAnsi="Cambria Math"/>
              </w:rPr>
              <m:rPr>
                <m:sty m:val="p"/>
              </m:rPr>
              <m:t>,</m:t>
            </m:r>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e</m:t>
            </m:r>
            <m:r>
              <w:rPr>
                <w:sz w:val="20"/>
                <w:rFonts w:ascii="Cambria Math" w:hAnsi="Cambria Math"/>
              </w:rPr>
              <m:rPr>
                <m:sty m:val="p"/>
              </m:rPr>
              <m:t>l</m:t>
            </m:r>
            <m:r>
              <w:rPr>
                <w:sz w:val="20"/>
                <w:rFonts w:ascii="Cambria Math" w:hAnsi="Cambria Math"/>
              </w:rPr>
              <m:rPr>
                <m:sty m:val="p"/>
              </m:rPr>
              <m:t>i</m:t>
            </m:r>
            <m:r>
              <w:rPr>
                <w:sz w:val="20"/>
                <w:rFonts w:ascii="Cambria Math" w:hAnsi="Cambria Math"/>
              </w:rPr>
              <m:rPr>
                <m:sty m:val="p"/>
              </m:rPr>
              <m:t>g</m:t>
            </m:r>
            <m:r>
              <w:rPr>
                <w:sz w:val="20"/>
                <w:rFonts w:ascii="Cambria Math" w:hAnsi="Cambria Math"/>
              </w:rPr>
              <m:rPr>
                <m:sty m:val="p"/>
              </m:rPr>
              <m:t>i</m:t>
            </m:r>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e</m:t>
            </m:r>
          </m:sup>
        </m:sSubSup>
        <m:r>
          <w:rPr>
            <w:sz w:val="20"/>
            <w:rFonts w:ascii="Cambria Math" w:hAnsi="Cambria Math"/>
          </w:rPr>
          <m:rPr>
            <m:sty m:val="p"/>
          </m:rPr>
          <m:t>−</m:t>
        </m:r>
        <m:sSubSup>
          <m:e>
            <m:r>
              <w:rPr>
                <w:sz w:val="20"/>
                <w:rFonts w:ascii="Cambria Math" w:hAnsi="Cambria Math"/>
              </w:rPr>
              <m:t>D</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rPr>
            <m:sty m:val="p"/>
          </m:rPr>
          <m:t>,</m:t>
        </m:r>
        <m:r>
          <w:rPr>
            <w:sz w:val="20"/>
            <w:rFonts w:ascii="Cambria Math" w:hAnsi="Cambria Math"/>
          </w:rPr>
          <m:t> </m:t>
        </m:r>
        <m:sSubSup>
          <m:e>
            <m:r>
              <w:rPr>
                <w:sz w:val="20"/>
                <w:rFonts w:ascii="Cambria Math" w:hAnsi="Cambria Math"/>
              </w:rPr>
              <m:t>J</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b</m:t>
            </m:r>
            <m:r>
              <w:rPr>
                <w:sz w:val="20"/>
                <w:rFonts w:ascii="Cambria Math" w:hAnsi="Cambria Math"/>
              </w:rPr>
              <m:rPr>
                <m:sty m:val="p"/>
              </m:rPr>
              <m:t>a</m:t>
            </m:r>
            <m:r>
              <w:rPr>
                <w:sz w:val="20"/>
                <w:rFonts w:ascii="Cambria Math" w:hAnsi="Cambria Math"/>
              </w:rPr>
              <m:rPr>
                <m:sty m:val="p"/>
              </m:rPr>
              <m:t>s</m:t>
            </m:r>
            <m:r>
              <w:rPr>
                <w:sz w:val="20"/>
                <w:rFonts w:ascii="Cambria Math" w:hAnsi="Cambria Math"/>
              </w:rPr>
              <m:rPr>
                <m:sty m:val="p"/>
              </m:rPr>
              <m:t>e</m:t>
            </m:r>
            <m:r>
              <w:rPr>
                <w:sz w:val="20"/>
                <w:rFonts w:ascii="Cambria Math" w:hAnsi="Cambria Math"/>
              </w:rPr>
              <m:rPr>
                <m:sty m:val="p"/>
              </m:rPr>
              <m:t>,</m:t>
            </m:r>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rPr>
            <m:sty m:val="p"/>
          </m:rPr>
          <m:t>−</m:t>
        </m:r>
        <m:sSub>
          <m:e>
            <m:r>
              <w:rPr>
                <w:sz w:val="20"/>
                <w:rFonts w:ascii="Cambria Math" w:hAnsi="Cambria Math"/>
              </w:rPr>
              <m:t>B</m:t>
            </m:r>
          </m:e>
          <m:sub>
            <m:r>
              <w:rPr>
                <w:sz w:val="20"/>
                <w:rFonts w:ascii="Cambria Math" w:hAnsi="Cambria Math"/>
              </w:rPr>
              <m:t>t</m:t>
            </m:r>
          </m:sub>
        </m:sSub>
      </m:oMath>
    </w:p>
    <w:p>
      <w:pPr>
        <w:keepNext/>
        <w:spacing w:after="60"/>
      </w:pPr>
      <w:r>
        <w:rPr>
          <w:rFonts w:ascii="Arial" w:hAnsi="Arial" w:eastAsia="Arial" w:cs="Arial"/>
          <w:b w:val="0"/>
          <w:color w:val="215F52"/>
          <w:sz w:val="17"/>
        </w:rPr>
        <w:t>cand distingue propuesta del libro de registro ejecutado. D_set es liquidación real sustentada; D_rem = D - D_set. No reducir obligación registrada por D_cand. Reserva requerida superior a la base candidata es déficit, no protección financiada. No se presume redondeo.</w:t>
      </w:r>
    </w:p>
    <w:p>
      <w:pPr>
        <w:keepNext/>
        <w:spacing w:after="80"/>
      </w:pPr>
      <w:r>
        <w:rPr>
          <w:rFonts w:ascii="Arial" w:hAnsi="Arial" w:eastAsia="Arial" w:cs="Arial"/>
          <w:b w:val="0"/>
          <w:color w:val="62716E"/>
          <w:sz w:val="16"/>
        </w:rPr>
        <w:t>Base: M05.4; M05.5; F-R03. Ubicación del cálculo: Settlement!B:L; ExAnte!M:O (solo pronóstico).</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Obligación inicial y resultado elegible</w:t>
            </w:r>
          </w:p>
        </w:tc>
        <w:tc>
          <w:tcPr>
            <w:tcW w:type="dxa" w:w="3572"/>
            <w:vAlign w:val="center"/>
            <w:shd w:fill="F1F5F2"/>
          </w:tcPr>
          <w:p>
            <w:pPr>
              <w:keepNext/>
              <w:spacing w:after="20"/>
            </w:pPr>
            <w:r>
              <w:rPr>
                <w:rFonts w:ascii="Arial" w:hAnsi="Arial" w:eastAsia="Arial" w:cs="Arial"/>
                <w:b/>
                <w:color w:val="215F52"/>
                <w:sz w:val="17"/>
              </w:rPr>
              <w:t>Liquidación candidata frente a ejecutada; evidencia</w:t>
            </w:r>
          </w:p>
        </w:tc>
        <w:tc>
          <w:tcPr>
            <w:tcW w:type="dxa" w:w="3390"/>
            <w:vAlign w:val="center"/>
            <w:shd w:fill="F1F5F2"/>
          </w:tcPr>
          <w:p>
            <w:pPr>
              <w:keepNext/>
              <w:spacing w:after="20"/>
            </w:pPr>
            <w:r>
              <w:rPr>
                <w:rFonts w:ascii="Arial" w:hAnsi="Arial" w:eastAsia="Arial" w:cs="Arial"/>
                <w:b/>
                <w:color w:val="215F52"/>
                <w:sz w:val="17"/>
              </w:rPr>
              <w:t>Base posterior, reserva y masa remanente</w:t>
            </w:r>
          </w:p>
        </w:tc>
      </w:tr>
      <w:tr>
        <w:trPr>
          <w:trHeight w:val="442" w:hRule="atLeast"/>
        </w:trPr>
        <w:tc>
          <w:tcPr>
            <w:tcW w:type="dxa" w:w="2778"/>
            <w:vAlign w:val="top"/>
          </w:tcPr>
          <w:p>
            <w:pPr>
              <w:keepNext w:val="0"/>
              <w:spacing w:after="20"/>
            </w:pPr>
            <w:sdt>
              <w:sdtPr>
                <w:id w:val="1781"/>
                <w:alias w:val="MR-18-T01-R1-C1"/>
                <w:tag w:val="MR-18-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782"/>
                <w:alias w:val="MR-18-T01-R1-C2"/>
                <w:tag w:val="MR-18-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783"/>
                <w:alias w:val="MR-18-T01-R1-C3"/>
                <w:tag w:val="MR-18-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84"/>
                <w:alias w:val="MR-18-T01-R2-C1"/>
                <w:tag w:val="MR-18-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785"/>
                <w:alias w:val="MR-18-T01-R2-C2"/>
                <w:tag w:val="MR-18-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786"/>
                <w:alias w:val="MR-18-T01-R2-C3"/>
                <w:tag w:val="MR-18-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87"/>
                <w:alias w:val="MR-18-T01-R3-C1"/>
                <w:tag w:val="MR-18-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788"/>
                <w:alias w:val="MR-18-T01-R3-C2"/>
                <w:tag w:val="MR-18-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789"/>
                <w:alias w:val="MR-18-T01-R3-C3"/>
                <w:tag w:val="MR-18-T01-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MR-18-T02 / Continuación de resultados negativos</w:t>
      </w:r>
    </w:p>
    <w:p>
      <w:pPr>
        <w:keepNext/>
        <w:spacing w:after="100"/>
      </w:pPr>
      <w:r>
        <w:rPr>
          <w:rFonts w:ascii="Arial" w:hAnsi="Arial" w:eastAsia="Arial" w:cs="Arial"/>
          <w:b/>
          <w:color w:val="215F52"/>
          <w:sz w:val="17"/>
        </w:rPr>
        <w:t>MR-18-T02 / Notación de cálculo</w:t>
      </w:r>
    </w:p>
    <w:p>
      <w:pPr>
        <w:keepNext/>
        <w:spacing w:after="60" w:before="20"/>
        <w:jc w:val="center"/>
      </w:pPr>
      <m:oMath>
        <m:sSubSup>
          <m:e>
            <m:r>
              <w:rPr>
                <w:sz w:val="20"/>
                <w:rFonts w:ascii="Cambria Math" w:hAnsi="Cambria Math"/>
              </w:rPr>
              <m:t>N</m:t>
            </m:r>
          </m:e>
          <m:sub>
            <m:r>
              <w:rPr>
                <w:sz w:val="20"/>
                <w:rFonts w:ascii="Cambria Math" w:hAnsi="Cambria Math"/>
              </w:rPr>
              <m:t>t</m:t>
            </m:r>
          </m:sub>
          <m:sup>
            <m:r>
              <w:rPr>
                <w:sz w:val="20"/>
                <w:rFonts w:ascii="Cambria Math" w:hAnsi="Cambria Math"/>
              </w:rPr>
              <m:rPr>
                <m:sty m:val="p"/>
              </m:rPr>
              <m:t>−</m:t>
            </m:r>
          </m:sup>
        </m:sSubSup>
        <m:r>
          <w:rPr>
            <w:sz w:val="20"/>
            <w:rFonts w:ascii="Cambria Math" w:hAnsi="Cambria Math"/>
          </w:rPr>
          <m:rPr>
            <m:sty m:val="p"/>
          </m:rPr>
          <m:t>=</m:t>
        </m:r>
        <m:r>
          <w:rPr>
            <w:sz w:val="20"/>
            <w:rFonts w:ascii="Cambria Math" w:hAnsi="Cambria Math"/>
          </w:rPr>
          <m:rPr>
            <m:sty m:val="p"/>
          </m:rPr>
          <m:t>max</m:t>
        </m:r>
        <m:d>
          <m:dPr>
            <m:begChr m:val="("/>
            <m:endChr m:val=")"/>
            <m:sepChr m:val=""/>
            <m:grow/>
          </m:dPr>
          <m:e>
            <m:r>
              <w:rPr>
                <w:sz w:val="20"/>
                <w:rFonts w:ascii="Cambria Math" w:hAnsi="Cambria Math"/>
              </w:rPr>
              <m:t>0</m:t>
            </m:r>
            <m:r>
              <w:rPr>
                <w:sz w:val="20"/>
                <w:rFonts w:ascii="Cambria Math" w:hAnsi="Cambria Math"/>
              </w:rPr>
              <m:rPr>
                <m:sty m:val="p"/>
              </m:rPr>
              <m:t>,</m:t>
            </m:r>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w</m:t>
                </m:r>
              </m:sup>
            </m:sSubSup>
          </m:e>
        </m:d>
        <m:r>
          <w:rPr>
            <w:sz w:val="20"/>
            <w:rFonts w:ascii="Cambria Math" w:hAnsi="Cambria Math"/>
          </w:rPr>
          <m:rPr>
            <m:sty m:val="p"/>
          </m:rPr>
          <m:t>,</m:t>
        </m:r>
        <m:r>
          <w:rPr>
            <w:sz w:val="20"/>
            <w:rFonts w:ascii="Cambria Math" w:hAnsi="Cambria Math"/>
          </w:rPr>
          <m:t> </m:t>
        </m:r>
        <m:r>
          <w:rPr>
            <w:sz w:val="20"/>
            <w:rFonts w:ascii="Cambria Math" w:hAnsi="Cambria Math"/>
          </w:rPr>
          <m:t>Δ</m:t>
        </m:r>
        <m:sSubSup>
          <m:e>
            <m:r>
              <w:rPr>
                <w:sz w:val="20"/>
                <w:rFonts w:ascii="Cambria Math" w:hAnsi="Cambria Math"/>
              </w:rPr>
              <m:t>D</m:t>
            </m:r>
          </m:e>
          <m:sub>
            <m:r>
              <w:rPr>
                <w:sz w:val="20"/>
                <w:rFonts w:ascii="Cambria Math" w:hAnsi="Cambria Math"/>
              </w:rPr>
              <m:t>t</m:t>
            </m:r>
          </m:sub>
          <m:sup>
            <m:r>
              <w:rPr>
                <w:sz w:val="20"/>
                <w:rFonts w:ascii="Cambria Math" w:hAnsi="Cambria Math"/>
              </w:rPr>
              <m:rPr>
                <m:sty m:val="p"/>
              </m:rPr>
              <m:t>−</m:t>
            </m:r>
          </m:sup>
        </m:sSubSup>
        <m:r>
          <w:rPr>
            <w:sz w:val="20"/>
            <w:rFonts w:ascii="Cambria Math" w:hAnsi="Cambria Math"/>
          </w:rPr>
          <m:rPr>
            <m:sty m:val="p"/>
          </m:rPr>
          <m:t>=</m:t>
        </m:r>
        <m:sSubSup>
          <m:e>
            <m:r>
              <w:rPr>
                <w:sz w:val="20"/>
                <w:rFonts w:ascii="Cambria Math" w:hAnsi="Cambria Math"/>
              </w:rPr>
              <m:t>N</m:t>
            </m:r>
          </m:e>
          <m:sub>
            <m:r>
              <w:rPr>
                <w:sz w:val="20"/>
                <w:rFonts w:ascii="Cambria Math" w:hAnsi="Cambria Math"/>
              </w:rPr>
              <m:t>t</m:t>
            </m:r>
          </m:sub>
          <m:sup>
            <m:r>
              <w:rPr>
                <w:sz w:val="20"/>
                <w:rFonts w:ascii="Cambria Math" w:hAnsi="Cambria Math"/>
              </w:rPr>
              <m:rPr>
                <m:sty m:val="p"/>
              </m:rPr>
              <m:t>−</m:t>
            </m:r>
          </m:sup>
        </m:sSubSup>
        <m:r>
          <w:rPr>
            <w:sz w:val="20"/>
            <w:rFonts w:ascii="Cambria Math" w:hAnsi="Cambria Math"/>
          </w:rPr>
          <m:rPr>
            <m:sty m:val="p"/>
          </m:rPr>
          <m:t>−</m:t>
        </m:r>
        <m:sSub>
          <m:e>
            <m:r>
              <w:rPr>
                <w:sz w:val="20"/>
                <w:rFonts w:ascii="Cambria Math" w:hAnsi="Cambria Math"/>
              </w:rPr>
              <m:t>O</m:t>
            </m:r>
          </m:e>
          <m:sub>
            <m:r>
              <w:rPr>
                <w:sz w:val="20"/>
                <w:rFonts w:ascii="Cambria Math" w:hAnsi="Cambria Math"/>
              </w:rPr>
              <m:t>t</m:t>
            </m:r>
          </m:sub>
        </m:sSub>
        <m:r>
          <w:rPr>
            <w:sz w:val="20"/>
            <w:rFonts w:ascii="Cambria Math" w:hAnsi="Cambria Math"/>
          </w:rPr>
          <m:rPr>
            <m:sty m:val="p"/>
          </m:rPr>
          <m:t>−</m:t>
        </m:r>
        <m:sSubSup>
          <m:e>
            <m:r>
              <w:rPr>
                <w:sz w:val="20"/>
                <w:rFonts w:ascii="Cambria Math" w:hAnsi="Cambria Math"/>
              </w:rPr>
              <m:t>C</m:t>
            </m:r>
          </m:e>
          <m:sub>
            <m:r>
              <w:rPr>
                <w:sz w:val="20"/>
                <w:rFonts w:ascii="Cambria Math" w:hAnsi="Cambria Math"/>
              </w:rPr>
              <m:t>t</m:t>
            </m:r>
          </m:sub>
          <m:sup>
            <m:r>
              <w:rPr>
                <w:sz w:val="20"/>
                <w:rFonts w:ascii="Cambria Math" w:hAnsi="Cambria Math"/>
              </w:rPr>
              <m:rPr>
                <m:sty m:val="p"/>
              </m:rPr>
              <m:t>−</m:t>
            </m:r>
          </m:sup>
        </m:sSubSup>
      </m:oMath>
    </w:p>
    <w:p>
      <w:pPr>
        <w:keepNext/>
        <w:spacing w:after="60" w:before="20"/>
        <w:jc w:val="center"/>
      </w:pPr>
      <m:oMath>
        <m:sSub>
          <m:e>
            <m:r>
              <w:rPr>
                <w:sz w:val="20"/>
                <w:rFonts w:ascii="Cambria Math" w:hAnsi="Cambria Math"/>
              </w:rPr>
              <m:t>D</m:t>
            </m:r>
          </m:e>
          <m:sub>
            <m:r>
              <w:rPr>
                <w:sz w:val="20"/>
                <w:rFonts w:ascii="Cambria Math" w:hAnsi="Cambria Math"/>
              </w:rPr>
              <m:t>t</m:t>
            </m:r>
            <m:r>
              <w:rPr>
                <w:sz w:val="20"/>
                <w:rFonts w:ascii="Cambria Math" w:hAnsi="Cambria Math"/>
              </w:rPr>
              <m:rPr>
                <m:sty m:val="p"/>
              </m:rPr>
              <m:t>+</m:t>
            </m:r>
            <m:r>
              <w:rPr>
                <w:sz w:val="20"/>
                <w:rFonts w:ascii="Cambria Math" w:hAnsi="Cambria Math"/>
              </w:rPr>
              <m:t>1</m:t>
            </m:r>
          </m:sub>
        </m:sSub>
        <m:r>
          <w:rPr>
            <w:sz w:val="20"/>
            <w:rFonts w:ascii="Cambria Math" w:hAnsi="Cambria Math"/>
          </w:rPr>
          <m:rPr>
            <m:sty m:val="p"/>
          </m:rPr>
          <m:t>=</m:t>
        </m:r>
        <m:sSubSup>
          <m:e>
            <m:r>
              <w:rPr>
                <w:sz w:val="20"/>
                <w:rFonts w:ascii="Cambria Math" w:hAnsi="Cambria Math"/>
              </w:rPr>
              <m:t>D</m:t>
            </m:r>
          </m:e>
          <m:sub>
            <m:r>
              <w:rPr>
                <w:sz w:val="20"/>
                <w:rFonts w:ascii="Cambria Math" w:hAnsi="Cambria Math"/>
              </w:rPr>
              <m:t>t</m:t>
            </m:r>
          </m:sub>
          <m:sup>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m</m:t>
            </m:r>
          </m:sup>
        </m:sSubSup>
        <m:r>
          <w:rPr>
            <w:sz w:val="20"/>
            <w:rFonts w:ascii="Cambria Math" w:hAnsi="Cambria Math"/>
          </w:rPr>
          <m:rPr>
            <m:sty m:val="p"/>
          </m:rPr>
          <m:t>+</m:t>
        </m:r>
        <m:r>
          <w:rPr>
            <w:sz w:val="20"/>
            <w:rFonts w:ascii="Cambria Math" w:hAnsi="Cambria Math"/>
          </w:rPr>
          <m:t>Δ</m:t>
        </m:r>
        <m:sSubSup>
          <m:e>
            <m:r>
              <w:rPr>
                <w:sz w:val="20"/>
                <w:rFonts w:ascii="Cambria Math" w:hAnsi="Cambria Math"/>
              </w:rPr>
              <m:t>D</m:t>
            </m:r>
          </m:e>
          <m:sub>
            <m:r>
              <w:rPr>
                <w:sz w:val="20"/>
                <w:rFonts w:ascii="Cambria Math" w:hAnsi="Cambria Math"/>
              </w:rPr>
              <m:t>t</m:t>
            </m:r>
          </m:sub>
          <m:sup>
            <m:r>
              <w:rPr>
                <w:sz w:val="20"/>
                <w:rFonts w:ascii="Cambria Math" w:hAnsi="Cambria Math"/>
              </w:rPr>
              <m:rPr>
                <m:sty m:val="p"/>
              </m:rPr>
              <m:t>−</m:t>
            </m:r>
          </m:sup>
        </m:sSubSup>
      </m:oMath>
    </w:p>
    <w:p>
      <w:pPr>
        <w:keepNext/>
        <w:spacing w:after="60"/>
      </w:pPr>
      <w:r>
        <w:rPr>
          <w:rFonts w:ascii="Arial" w:hAnsi="Arial" w:eastAsia="Arial" w:cs="Arial"/>
          <w:b w:val="0"/>
          <w:color w:val="215F52"/>
          <w:sz w:val="17"/>
        </w:rPr>
        <w:t>FULL_BOUND solo con adopción expresa. O es porción documentada previamente reconocida del mismo déficit; C_minus es cancelación ejecutada de reserva para porción disjunta. Exigir O+C_minus &lt;= N_minus. Un límite negativo de incertidumbre no es automáticamente reversión física.</w:t>
      </w:r>
    </w:p>
    <w:p>
      <w:pPr>
        <w:keepNext/>
        <w:spacing w:after="80"/>
      </w:pPr>
      <w:r>
        <w:rPr>
          <w:rFonts w:ascii="Arial" w:hAnsi="Arial" w:eastAsia="Arial" w:cs="Arial"/>
          <w:b w:val="0"/>
          <w:color w:val="62716E"/>
          <w:sz w:val="16"/>
        </w:rPr>
        <w:t>Base: F-R05a; F-R05b; F-03. Ubicación del cálculo: CarryForward!B:J; Settlement!I.</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Período / regla / resultado conservador con signo</w:t>
            </w:r>
          </w:p>
        </w:tc>
        <w:tc>
          <w:tcPr>
            <w:tcW w:type="dxa" w:w="3572"/>
            <w:vAlign w:val="center"/>
            <w:shd w:fill="F1F5F2"/>
          </w:tcPr>
          <w:p>
            <w:pPr>
              <w:keepNext/>
              <w:spacing w:after="20"/>
            </w:pPr>
            <w:r>
              <w:rPr>
                <w:rFonts w:ascii="Arial" w:hAnsi="Arial" w:eastAsia="Arial" w:cs="Arial"/>
                <w:b/>
                <w:color w:val="215F52"/>
                <w:sz w:val="17"/>
              </w:rPr>
              <w:t>Déficit, solapamiento reconocido y reserva cancelada</w:t>
            </w:r>
          </w:p>
        </w:tc>
        <w:tc>
          <w:tcPr>
            <w:tcW w:type="dxa" w:w="3390"/>
            <w:vAlign w:val="center"/>
            <w:shd w:fill="F1F5F2"/>
          </w:tcPr>
          <w:p>
            <w:pPr>
              <w:keepNext/>
              <w:spacing w:after="20"/>
            </w:pPr>
            <w:r>
              <w:rPr>
                <w:rFonts w:ascii="Arial" w:hAnsi="Arial" w:eastAsia="Arial" w:cs="Arial"/>
                <w:b/>
                <w:color w:val="215F52"/>
                <w:sz w:val="17"/>
              </w:rPr>
              <w:t>Incremento pendiente, obligación final y siguiente inicial</w:t>
            </w:r>
          </w:p>
        </w:tc>
      </w:tr>
      <w:tr>
        <w:trPr>
          <w:trHeight w:val="442" w:hRule="atLeast"/>
        </w:trPr>
        <w:tc>
          <w:tcPr>
            <w:tcW w:type="dxa" w:w="2778"/>
            <w:vAlign w:val="top"/>
          </w:tcPr>
          <w:p>
            <w:pPr>
              <w:keepNext w:val="0"/>
              <w:spacing w:after="20"/>
            </w:pPr>
            <w:sdt>
              <w:sdtPr>
                <w:id w:val="1790"/>
                <w:alias w:val="MR-18-T02-R1-C1"/>
                <w:tag w:val="MR-18-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791"/>
                <w:alias w:val="MR-18-T02-R1-C2"/>
                <w:tag w:val="MR-18-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792"/>
                <w:alias w:val="MR-18-T02-R1-C3"/>
                <w:tag w:val="MR-18-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93"/>
                <w:alias w:val="MR-18-T02-R2-C1"/>
                <w:tag w:val="MR-18-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794"/>
                <w:alias w:val="MR-18-T02-R2-C2"/>
                <w:tag w:val="MR-18-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795"/>
                <w:alias w:val="MR-18-T02-R2-C3"/>
                <w:tag w:val="MR-18-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796"/>
                <w:alias w:val="MR-18-T02-R3-C1"/>
                <w:tag w:val="MR-18-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797"/>
                <w:alias w:val="MR-18-T02-R3-C2"/>
                <w:tag w:val="MR-18-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798"/>
                <w:alias w:val="MR-18-T02-R3-C3"/>
                <w:tag w:val="MR-18-T02-R3-C3"/>
                <w:text w:multiLine="1"/>
              </w:sdtPr>
              <w:sdtContent>
                <w:r>
                  <w:rPr>
                    <w:rFonts w:ascii="Arial" w:hAnsi="Arial"/>
                    <w:color w:val="62716E"/>
                    <w:sz w:val="18"/>
                  </w:rPr>
                  <w:t>[Completar]</w:t>
                </w:r>
              </w:sdtContent>
            </w:sdt>
          </w:p>
        </w:tc>
      </w:tr>
    </w:tbl>
    <w:p>
      <w:pPr>
        <w:spacing w:after="20" w:before="0" w:line="40" w:lineRule="exact"/>
      </w:pPr>
      <w:r>
        <w:rPr>
          <w:sz w:val="4"/>
        </w:rPr>
      </w:r>
    </w:p>
    <w:p>
      <w:pPr>
        <w:spacing w:after="100"/>
      </w:pPr>
      <w:r>
        <w:rPr>
          <w:rFonts w:ascii="Arial" w:hAnsi="Arial" w:eastAsia="Arial" w:cs="Arial"/>
          <w:b w:val="0"/>
          <w:color w:val="243A36"/>
          <w:sz w:val="19"/>
        </w:rPr>
        <w:t>Aplicar la recurrencia de cota completa solo si FRM-05 la adopta expresamente. Verificar balances compatibles no negativos y reconocimiento único del déficit. Apartar reserva no equivale a cancelarla. Conservar evidencia de liquidación y conciliar el saldo inicial siguiente; una cantidad elegible nula no extingue obligaciones.</w:t>
      </w:r>
    </w:p>
    <w:p>
      <w:bookmarkStart w:id="497" w:name="MR_19"/>
      <w:pPr>
        <w:pStyle w:val="Heading1"/>
        <w:keepNext/>
        <w:pageBreakBefore/>
      </w:pPr>
      <w:r>
        <w:rPr>
          <w:rFonts w:ascii="Arial" w:hAnsi="Arial" w:eastAsia="Arial" w:cs="Arial"/>
          <w:b w:val="0"/>
          <w:color w:val="215F52"/>
          <w:sz w:val="38"/>
        </w:rPr>
        <w:t>19  Comparación con el pronóstico ex ante fijado</w:t>
      </w:r>
      <w:bookmarkEnd w:id="497"/>
    </w:p>
    <w:p>
      <w:pPr>
        <w:keepNext/>
        <w:spacing w:after="100"/>
      </w:pPr>
      <w:r>
        <w:rPr>
          <w:rFonts w:ascii="Arial" w:hAnsi="Arial" w:eastAsia="Arial" w:cs="Arial"/>
          <w:b w:val="0"/>
          <w:color w:val="62716E"/>
          <w:sz w:val="16"/>
        </w:rPr>
        <w:t>[1] S-18; P-13; P-14; M04.5; F-R01</w:t>
      </w:r>
    </w:p>
    <w:p>
      <w:pPr>
        <w:keepNext/>
        <w:spacing w:after="100"/>
      </w:pPr>
      <w:r>
        <w:rPr>
          <w:rFonts w:ascii="Arial" w:hAnsi="Arial" w:eastAsia="Arial" w:cs="Arial"/>
          <w:b/>
          <w:color w:val="215F52"/>
          <w:sz w:val="20"/>
        </w:rPr>
        <w:t>MR-19-T01 / Pronóstico y cuenta reportada comparables</w:t>
      </w:r>
    </w:p>
    <w:p>
      <w:pPr>
        <w:keepNext/>
        <w:spacing w:after="100"/>
      </w:pPr>
      <w:r>
        <w:rPr>
          <w:rFonts w:ascii="Arial" w:hAnsi="Arial" w:eastAsia="Arial" w:cs="Arial"/>
          <w:b/>
          <w:color w:val="215F52"/>
          <w:sz w:val="17"/>
        </w:rPr>
        <w:t>MR-19-T01 / Notación de cálculo</w:t>
      </w:r>
    </w:p>
    <w:p>
      <w:pPr>
        <w:keepNext/>
        <w:spacing w:after="60" w:before="20"/>
        <w:jc w:val="center"/>
      </w:pPr>
      <m:oMath>
        <m:r>
          <w:rPr>
            <w:sz w:val="20"/>
            <w:rFonts w:ascii="Cambria Math" w:hAnsi="Cambria Math"/>
          </w:rPr>
          <m:t>Δ</m:t>
        </m:r>
        <m:sSub>
          <m:e>
            <m:r>
              <w:rPr>
                <w:sz w:val="20"/>
                <w:rFonts w:ascii="Cambria Math" w:hAnsi="Cambria Math"/>
              </w:rPr>
              <m:t>Q</m:t>
            </m:r>
          </m:e>
          <m:sub>
            <m:r>
              <w:rPr>
                <w:sz w:val="20"/>
                <w:rFonts w:ascii="Cambria Math" w:hAnsi="Cambria Math"/>
              </w:rPr>
              <m:t>t</m:t>
            </m:r>
          </m:sub>
        </m:sSub>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E</m:t>
            </m:r>
            <m:r>
              <w:rPr>
                <w:sz w:val="20"/>
                <w:rFonts w:ascii="Cambria Math" w:hAnsi="Cambria Math"/>
              </w:rPr>
              <m:rPr>
                <m:sty m:val="p"/>
              </m:rPr>
              <m:t>P</m:t>
            </m:r>
          </m:sup>
        </m:sSubSup>
        <m:r>
          <w:rPr>
            <w:sz w:val="20"/>
            <w:rFonts w:ascii="Cambria Math" w:hAnsi="Cambria Math"/>
          </w:rPr>
          <m:rPr>
            <m:sty m:val="p"/>
          </m:rPr>
          <m:t>−</m:t>
        </m:r>
        <m:sSubSup>
          <m:e>
            <m:r>
              <w:rPr>
                <w:sz w:val="20"/>
                <w:rFonts w:ascii="Cambria Math" w:hAnsi="Cambria Math"/>
              </w:rPr>
              <m:t>Q</m:t>
            </m:r>
          </m:e>
          <m:sub>
            <m:r>
              <w:rPr>
                <w:sz w:val="20"/>
                <w:rFonts w:ascii="Cambria Math" w:hAnsi="Cambria Math"/>
              </w:rPr>
              <m:t>t</m:t>
            </m:r>
          </m:sub>
          <m:sup>
            <m:r>
              <w:rPr>
                <w:sz w:val="20"/>
                <w:rFonts w:ascii="Cambria Math" w:hAnsi="Cambria Math"/>
              </w:rPr>
              <m:rPr>
                <m:sty m:val="p"/>
              </m:rPr>
              <m:t>E</m:t>
            </m:r>
            <m:r>
              <w:rPr>
                <w:sz w:val="20"/>
                <w:rFonts w:ascii="Cambria Math" w:hAnsi="Cambria Math"/>
              </w:rPr>
              <m:rPr>
                <m:sty m:val="p"/>
              </m:rPr>
              <m:t>A</m:t>
            </m:r>
          </m:sup>
        </m:sSubSup>
      </m:oMath>
    </w:p>
    <w:p>
      <w:pPr>
        <w:keepNext/>
        <w:spacing w:after="60" w:before="20"/>
        <w:jc w:val="center"/>
      </w:pPr>
      <m:oMath>
        <m:r>
          <w:rPr>
            <w:sz w:val="20"/>
            <w:rFonts w:ascii="Cambria Math" w:hAnsi="Cambria Math"/>
          </w:rPr>
          <m:t>Δ</m:t>
        </m:r>
        <m:sSub>
          <m:e>
            <m:r>
              <w:rPr>
                <w:sz w:val="20"/>
                <w:rFonts w:ascii="Cambria Math" w:hAnsi="Cambria Math"/>
              </w:rPr>
              <m:t>Q</m:t>
            </m:r>
          </m:e>
          <m:sub>
            <m:r>
              <w:rPr>
                <w:sz w:val="20"/>
                <w:rFonts w:ascii="Cambria Math" w:hAnsi="Cambria Math"/>
              </w:rPr>
              <m:t>t</m:t>
            </m:r>
          </m:sub>
        </m:sSub>
        <m:r>
          <w:rPr>
            <w:sz w:val="20"/>
            <w:rFonts w:ascii="Cambria Math" w:hAnsi="Cambria Math"/>
          </w:rPr>
          <m:rPr>
            <m:sty m:val="p"/>
          </m:rPr>
          <m:t>=</m:t>
        </m:r>
        <m:r>
          <w:rPr>
            <w:sz w:val="20"/>
            <w:rFonts w:ascii="Cambria Math" w:hAnsi="Cambria Math"/>
          </w:rPr>
          <m:t>Δ</m:t>
        </m:r>
        <m:sSub>
          <m:e>
            <m:r>
              <w:rPr>
                <w:sz w:val="20"/>
                <w:rFonts w:ascii="Cambria Math" w:hAnsi="Cambria Math"/>
              </w:rPr>
              <m:t>N</m:t>
            </m:r>
          </m:e>
          <m:sub>
            <m:r>
              <w:rPr>
                <w:sz w:val="20"/>
                <w:rFonts w:ascii="Cambria Math" w:hAnsi="Cambria Math"/>
              </w:rPr>
              <m:rPr>
                <m:sty m:val="p"/>
              </m:rPr>
              <m:t>B</m:t>
            </m:r>
            <m:r>
              <w:rPr>
                <w:sz w:val="20"/>
                <w:rFonts w:ascii="Cambria Math" w:hAnsi="Cambria Math"/>
              </w:rPr>
              <m:rPr>
                <m:sty m:val="p"/>
              </m:rPr>
              <m:t>L</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r>
          <w:rPr>
            <w:sz w:val="20"/>
            <w:rFonts w:ascii="Cambria Math" w:hAnsi="Cambria Math"/>
          </w:rPr>
          <m:t>Δ</m:t>
        </m:r>
        <m:sSub>
          <m:e>
            <m:r>
              <w:rPr>
                <w:sz w:val="20"/>
                <w:rFonts w:ascii="Cambria Math" w:hAnsi="Cambria Math"/>
              </w:rPr>
              <m:t>N</m:t>
            </m:r>
          </m:e>
          <m:sub>
            <m:r>
              <w:rPr>
                <w:sz w:val="20"/>
                <w:rFonts w:ascii="Cambria Math" w:hAnsi="Cambria Math"/>
              </w:rPr>
              <m:rPr>
                <m:sty m:val="p"/>
              </m:rPr>
              <m:t>P</m:t>
            </m:r>
            <m:r>
              <w:rPr>
                <w:sz w:val="20"/>
                <w:rFonts w:ascii="Cambria Math" w:hAnsi="Cambria Math"/>
              </w:rPr>
              <m:rPr>
                <m:sty m:val="p"/>
              </m:rPr>
              <m:t>J</m:t>
            </m:r>
            <m:r>
              <w:rPr>
                <w:sz w:val="20"/>
                <w:rFonts w:ascii="Cambria Math" w:hAnsi="Cambria Math"/>
              </w:rPr>
              <m:rPr>
                <m:sty m:val="p"/>
              </m:rPr>
              <m:t>,</m:t>
            </m:r>
            <m:r>
              <w:rPr>
                <w:sz w:val="20"/>
                <w:rFonts w:ascii="Cambria Math" w:hAnsi="Cambria Math"/>
              </w:rPr>
              <m:t>t</m:t>
            </m:r>
          </m:sub>
        </m:sSub>
        <m:r>
          <w:rPr>
            <w:sz w:val="20"/>
            <w:rFonts w:ascii="Cambria Math" w:hAnsi="Cambria Math"/>
          </w:rPr>
          <m:rPr>
            <m:sty m:val="p"/>
          </m:rPr>
          <m:t>−</m:t>
        </m:r>
        <m:r>
          <w:rPr>
            <w:sz w:val="20"/>
            <w:rFonts w:ascii="Cambria Math" w:hAnsi="Cambria Math"/>
          </w:rPr>
          <m:t>Δ</m:t>
        </m:r>
        <m:sSub>
          <m:e>
            <m:r>
              <w:rPr>
                <w:sz w:val="20"/>
                <w:rFonts w:ascii="Cambria Math" w:hAnsi="Cambria Math"/>
              </w:rPr>
              <m:t>L</m:t>
            </m:r>
          </m:e>
          <m:sub>
            <m:r>
              <w:rPr>
                <w:sz w:val="20"/>
                <w:rFonts w:ascii="Cambria Math" w:hAnsi="Cambria Math"/>
              </w:rPr>
              <m:t>t</m:t>
            </m:r>
          </m:sub>
        </m:sSub>
      </m:oMath>
    </w:p>
    <w:p>
      <w:pPr>
        <w:keepNext/>
        <w:spacing w:after="60"/>
      </w:pPr>
      <w:r>
        <w:rPr>
          <w:rFonts w:ascii="Arial" w:hAnsi="Arial" w:eastAsia="Arial" w:cs="Arial"/>
          <w:b w:val="0"/>
          <w:color w:val="215F52"/>
          <w:sz w:val="17"/>
        </w:rPr>
        <w:t>Todas las diferencias son EP menos EA congelado sobre igual soporte antes de incertidumbre y reserva. r = deltaQ - (deltaBL - deltaPJ - deltaL) es residual aritmético. Diferencia de pronóstico no equivale a mitigación, causalidad o hallazgo de materialidad.</w:t>
      </w:r>
    </w:p>
    <w:p>
      <w:pPr>
        <w:keepNext/>
        <w:spacing w:after="80"/>
      </w:pPr>
      <w:r>
        <w:rPr>
          <w:rFonts w:ascii="Arial" w:hAnsi="Arial" w:eastAsia="Arial" w:cs="Arial"/>
          <w:b w:val="0"/>
          <w:color w:val="62716E"/>
          <w:sz w:val="16"/>
        </w:rPr>
        <w:t>Base: M04.5; P-13; identidad de comparación. Ubicación del cálculo: Comparison!D:J.</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Período y alcance comparable</w:t>
            </w:r>
          </w:p>
        </w:tc>
        <w:tc>
          <w:tcPr>
            <w:tcW w:type="dxa" w:w="3572"/>
            <w:vAlign w:val="center"/>
            <w:shd w:fill="F1F5F2"/>
          </w:tcPr>
          <w:p>
            <w:pPr>
              <w:keepNext/>
              <w:spacing w:after="20"/>
            </w:pPr>
            <w:r>
              <w:rPr>
                <w:rFonts w:ascii="Arial" w:hAnsi="Arial" w:eastAsia="Arial" w:cs="Arial"/>
                <w:b/>
                <w:color w:val="215F52"/>
                <w:sz w:val="17"/>
              </w:rPr>
              <w:t>Valores EA y EP de línea base, proyecto y fugas</w:t>
            </w:r>
          </w:p>
        </w:tc>
        <w:tc>
          <w:tcPr>
            <w:tcW w:type="dxa" w:w="3390"/>
            <w:vAlign w:val="center"/>
            <w:shd w:fill="F1F5F2"/>
          </w:tcPr>
          <w:p>
            <w:pPr>
              <w:keepNext/>
              <w:spacing w:after="20"/>
            </w:pPr>
            <w:r>
              <w:rPr>
                <w:rFonts w:ascii="Arial" w:hAnsi="Arial" w:eastAsia="Arial" w:cs="Arial"/>
                <w:b/>
                <w:color w:val="215F52"/>
                <w:sz w:val="17"/>
              </w:rPr>
              <w:t>Diferencia neta, cierre aritmético y explicación</w:t>
            </w:r>
          </w:p>
        </w:tc>
      </w:tr>
      <w:tr>
        <w:trPr>
          <w:trHeight w:val="442" w:hRule="atLeast"/>
        </w:trPr>
        <w:tc>
          <w:tcPr>
            <w:tcW w:type="dxa" w:w="2778"/>
            <w:vAlign w:val="top"/>
          </w:tcPr>
          <w:p>
            <w:pPr>
              <w:keepNext w:val="0"/>
              <w:spacing w:after="20"/>
            </w:pPr>
            <w:sdt>
              <w:sdtPr>
                <w:id w:val="1799"/>
                <w:alias w:val="MR-19-T01-R1-C1"/>
                <w:tag w:val="MR-19-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800"/>
                <w:alias w:val="MR-19-T01-R1-C2"/>
                <w:tag w:val="MR-19-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801"/>
                <w:alias w:val="MR-19-T01-R1-C3"/>
                <w:tag w:val="MR-19-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02"/>
                <w:alias w:val="MR-19-T01-R2-C1"/>
                <w:tag w:val="MR-19-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803"/>
                <w:alias w:val="MR-19-T01-R2-C2"/>
                <w:tag w:val="MR-19-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804"/>
                <w:alias w:val="MR-19-T01-R2-C3"/>
                <w:tag w:val="MR-19-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05"/>
                <w:alias w:val="MR-19-T01-R3-C1"/>
                <w:tag w:val="MR-19-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806"/>
                <w:alias w:val="MR-19-T01-R3-C2"/>
                <w:tag w:val="MR-19-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807"/>
                <w:alias w:val="MR-19-T01-R3-C3"/>
                <w:tag w:val="MR-19-T01-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Separar desempeño real, armonización espacial/temporal, observaciones nuevas, corrección de factores, revisiones metodológicas, incertidumbre, reservas y obligaciones. Conservar pronóstico original y comparación armonizada. No exigir igualdad cuando el cambio esté sustentado; identificar diferencias en vez de forzarlas a cero.</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808"/>
                <w:alias w:val="MR-response-48"/>
                <w:tag w:val="MR-response-48"/>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pPr>
        <w:keepNext/>
        <w:spacing w:after="100"/>
      </w:pPr>
      <w:r>
        <w:rPr>
          <w:rFonts w:ascii="Arial" w:hAnsi="Arial" w:eastAsia="Arial" w:cs="Arial"/>
          <w:b/>
          <w:color w:val="215F52"/>
          <w:sz w:val="20"/>
        </w:rPr>
        <w:t>MR-19-T02 / Distribución por subperíodos, solo si se usa</w:t>
      </w:r>
    </w:p>
    <w:p>
      <w:pPr>
        <w:keepNext/>
        <w:spacing w:after="100"/>
      </w:pPr>
      <w:r>
        <w:rPr>
          <w:rFonts w:ascii="Arial" w:hAnsi="Arial" w:eastAsia="Arial" w:cs="Arial"/>
          <w:b/>
          <w:color w:val="215F52"/>
          <w:sz w:val="17"/>
        </w:rPr>
        <w:t>MR-19-T02 / Notación de cálculo</w:t>
      </w:r>
    </w:p>
    <w:p>
      <w:pPr>
        <w:keepNext/>
        <w:spacing w:after="60" w:before="20"/>
        <w:jc w:val="center"/>
      </w:pPr>
      <m:oMath>
        <m:sSub>
          <m:e>
            <m:r>
              <w:rPr>
                <w:sz w:val="20"/>
                <w:rFonts w:ascii="Cambria Math" w:hAnsi="Cambria Math"/>
              </w:rPr>
              <m:t>Q</m:t>
            </m:r>
          </m:e>
          <m:sub>
            <m:r>
              <w:rPr>
                <w:sz w:val="20"/>
                <w:rFonts w:ascii="Cambria Math" w:hAnsi="Cambria Math"/>
              </w:rPr>
              <m:t>t</m:t>
            </m:r>
            <m:r>
              <w:rPr>
                <w:sz w:val="20"/>
                <w:rFonts w:ascii="Cambria Math" w:hAnsi="Cambria Math"/>
              </w:rPr>
              <m:rPr>
                <m:sty m:val="p"/>
              </m:rPr>
              <m:t>,</m:t>
            </m:r>
            <m:r>
              <w:rPr>
                <w:sz w:val="20"/>
                <w:rFonts w:ascii="Cambria Math" w:hAnsi="Cambria Math"/>
              </w:rPr>
              <m:t>m</m:t>
            </m:r>
          </m:sub>
        </m:sSub>
        <m:r>
          <w:rPr>
            <w:sz w:val="20"/>
            <w:rFonts w:ascii="Cambria Math" w:hAnsi="Cambria Math"/>
          </w:rPr>
          <m:rPr>
            <m:sty m:val="p"/>
          </m:rPr>
          <m:t>=</m:t>
        </m:r>
        <m:sSub>
          <m:e>
            <m:r>
              <w:rPr>
                <w:sz w:val="20"/>
                <w:rFonts w:ascii="Cambria Math" w:hAnsi="Cambria Math"/>
              </w:rPr>
              <m:t>w</m:t>
            </m:r>
          </m:e>
          <m:sub>
            <m:r>
              <w:rPr>
                <w:sz w:val="20"/>
                <w:rFonts w:ascii="Cambria Math" w:hAnsi="Cambria Math"/>
              </w:rPr>
              <m:t>t</m:t>
            </m:r>
            <m:r>
              <w:rPr>
                <w:sz w:val="20"/>
                <w:rFonts w:ascii="Cambria Math" w:hAnsi="Cambria Math"/>
              </w:rPr>
              <m:rPr>
                <m:sty m:val="p"/>
              </m:rPr>
              <m:t>,</m:t>
            </m:r>
            <m:r>
              <w:rPr>
                <w:sz w:val="20"/>
                <w:rFonts w:ascii="Cambria Math" w:hAnsi="Cambria Math"/>
              </w:rPr>
              <m:t>m</m:t>
            </m:r>
          </m:sub>
        </m:sSub>
        <m:sSub>
          <m:e>
            <m:r>
              <w:rPr>
                <w:sz w:val="20"/>
                <w:rFonts w:ascii="Cambria Math" w:hAnsi="Cambria Math"/>
              </w:rPr>
              <m:t>Q</m:t>
            </m:r>
          </m:e>
          <m:sub>
            <m:r>
              <w:rPr>
                <w:sz w:val="20"/>
                <w:rFonts w:ascii="Cambria Math" w:hAnsi="Cambria Math"/>
              </w:rPr>
              <m:t>t</m:t>
            </m:r>
          </m:sub>
        </m:sSub>
        <m:r>
          <w:rPr>
            <w:sz w:val="20"/>
            <w:rFonts w:ascii="Cambria Math" w:hAnsi="Cambria Math"/>
          </w:rPr>
          <m:rPr>
            <m:sty m:val="p"/>
          </m:rPr>
          <m:t>,</m:t>
        </m:r>
        <m:r>
          <w:rPr>
            <w:sz w:val="20"/>
            <w:rFonts w:ascii="Cambria Math" w:hAnsi="Cambria Math"/>
          </w:rPr>
          <m:t> </m:t>
        </m:r>
        <m:sSub>
          <m:e>
            <m:r>
              <w:rPr>
                <w:sz w:val="20"/>
                <w:rFonts w:ascii="Cambria Math" w:hAnsi="Cambria Math"/>
              </w:rPr>
              <m:t>w</m:t>
            </m:r>
          </m:e>
          <m:sub>
            <m:r>
              <w:rPr>
                <w:sz w:val="20"/>
                <w:rFonts w:ascii="Cambria Math" w:hAnsi="Cambria Math"/>
              </w:rPr>
              <m:t>t</m:t>
            </m:r>
            <m:r>
              <w:rPr>
                <w:sz w:val="20"/>
                <w:rFonts w:ascii="Cambria Math" w:hAnsi="Cambria Math"/>
              </w:rPr>
              <m:rPr>
                <m:sty m:val="p"/>
              </m:rPr>
              <m:t>,</m:t>
            </m:r>
            <m:r>
              <w:rPr>
                <w:sz w:val="20"/>
                <w:rFonts w:ascii="Cambria Math" w:hAnsi="Cambria Math"/>
              </w:rPr>
              <m:t>m</m:t>
            </m:r>
          </m:sub>
        </m:sSub>
        <m:r>
          <w:rPr>
            <w:sz w:val="20"/>
            <w:rFonts w:ascii="Cambria Math" w:hAnsi="Cambria Math"/>
          </w:rPr>
          <m:rPr>
            <m:sty m:val="p"/>
          </m:rPr>
          <m:t>≥</m:t>
        </m:r>
        <m:r>
          <w:rPr>
            <w:sz w:val="20"/>
            <w:rFonts w:ascii="Cambria Math" w:hAnsi="Cambria Math"/>
          </w:rPr>
          <m:t>0</m:t>
        </m:r>
        <m:r>
          <w:rPr>
            <w:sz w:val="20"/>
            <w:rFonts w:ascii="Cambria Math" w:hAnsi="Cambria Math"/>
          </w:rPr>
          <m:rPr>
            <m:sty m:val="p"/>
          </m:rPr>
          <m:t>,</m:t>
        </m:r>
        <m:r>
          <w:rPr>
            <w:sz w:val="20"/>
            <w:rFonts w:ascii="Cambria Math" w:hAnsi="Cambria Math"/>
          </w:rPr>
          <m:t> </m:t>
        </m:r>
        <m:nary>
          <m:naryPr>
            <m:chr m:val="∑"/>
            <m:limLoc m:val="undOvr"/>
            <m:subHide m:val="off"/>
            <m:supHide m:val="on"/>
          </m:naryPr>
          <m:sub>
            <m:r>
              <w:rPr>
                <w:sz w:val="20"/>
                <w:rFonts w:ascii="Cambria Math" w:hAnsi="Cambria Math"/>
              </w:rPr>
              <m:t>m</m:t>
            </m:r>
          </m:sub>
          <m:sup>
            <m:r>
              <w:rPr>
                <w:sz w:val="20"/>
                <w:rFonts w:ascii="Cambria Math" w:hAnsi="Cambria Math"/>
              </w:rPr>
              <m:t>​</m:t>
            </m:r>
          </m:sup>
          <m:e>
            <m:sSub>
              <m:e>
                <m:r>
                  <w:rPr>
                    <w:sz w:val="20"/>
                    <w:rFonts w:ascii="Cambria Math" w:hAnsi="Cambria Math"/>
                  </w:rPr>
                  <m:t>w</m:t>
                </m:r>
              </m:e>
              <m:sub>
                <m:r>
                  <w:rPr>
                    <w:sz w:val="20"/>
                    <w:rFonts w:ascii="Cambria Math" w:hAnsi="Cambria Math"/>
                  </w:rPr>
                  <m:t>t</m:t>
                </m:r>
                <m:r>
                  <w:rPr>
                    <w:sz w:val="20"/>
                    <w:rFonts w:ascii="Cambria Math" w:hAnsi="Cambria Math"/>
                  </w:rPr>
                  <m:rPr>
                    <m:sty m:val="p"/>
                  </m:rPr>
                  <m:t>,</m:t>
                </m:r>
                <m:r>
                  <w:rPr>
                    <w:sz w:val="20"/>
                    <w:rFonts w:ascii="Cambria Math" w:hAnsi="Cambria Math"/>
                  </w:rPr>
                  <m:t>m</m:t>
                </m:r>
              </m:sub>
            </m:sSub>
          </m:e>
        </m:nary>
        <m:r>
          <w:rPr>
            <w:sz w:val="20"/>
            <w:rFonts w:ascii="Cambria Math" w:hAnsi="Cambria Math"/>
          </w:rPr>
          <m:rPr>
            <m:sty m:val="p"/>
          </m:rPr>
          <m:t>=</m:t>
        </m:r>
        <m:r>
          <w:rPr>
            <w:sz w:val="20"/>
            <w:rFonts w:ascii="Cambria Math" w:hAnsi="Cambria Math"/>
          </w:rPr>
          <m:t>1</m:t>
        </m:r>
      </m:oMath>
    </w:p>
    <w:p>
      <w:pPr>
        <w:keepNext/>
        <w:spacing w:after="60" w:before="20"/>
        <w:jc w:val="center"/>
      </w:pPr>
      <m:oMath>
        <m:sSubSup>
          <m:e>
            <m:r>
              <w:rPr>
                <w:sz w:val="20"/>
                <w:rFonts w:ascii="Cambria Math" w:hAnsi="Cambria Math"/>
              </w:rPr>
              <m:t>r</m:t>
            </m:r>
          </m:e>
          <m:sub>
            <m:r>
              <w:rPr>
                <w:sz w:val="20"/>
                <w:rFonts w:ascii="Cambria Math" w:hAnsi="Cambria Math"/>
              </w:rPr>
              <m:t>t</m:t>
            </m:r>
          </m:sub>
          <m:sup>
            <m:r>
              <w:rPr>
                <w:sz w:val="20"/>
                <w:rFonts w:ascii="Cambria Math" w:hAnsi="Cambria Math"/>
              </w:rPr>
              <m:rPr>
                <m:sty m:val="p"/>
              </m:rPr>
              <m:t>a</m:t>
            </m:r>
            <m:r>
              <w:rPr>
                <w:sz w:val="20"/>
                <w:rFonts w:ascii="Cambria Math" w:hAnsi="Cambria Math"/>
              </w:rPr>
              <m:rPr>
                <m:sty m:val="p"/>
              </m:rPr>
              <m:t>l</m:t>
            </m:r>
            <m:r>
              <w:rPr>
                <w:sz w:val="20"/>
                <w:rFonts w:ascii="Cambria Math" w:hAnsi="Cambria Math"/>
              </w:rPr>
              <m:rPr>
                <m:sty m:val="p"/>
              </m:rPr>
              <m:t>l</m:t>
            </m:r>
            <m:r>
              <w:rPr>
                <w:sz w:val="20"/>
                <w:rFonts w:ascii="Cambria Math" w:hAnsi="Cambria Math"/>
              </w:rPr>
              <m:rPr>
                <m:sty m:val="p"/>
              </m:rPr>
              <m:t>o</m:t>
            </m:r>
            <m:r>
              <w:rPr>
                <w:sz w:val="20"/>
                <w:rFonts w:ascii="Cambria Math" w:hAnsi="Cambria Math"/>
              </w:rPr>
              <m:rPr>
                <m:sty m:val="p"/>
              </m:rPr>
              <m:t>c</m:t>
            </m:r>
          </m:sup>
        </m:sSubSup>
        <m:r>
          <w:rPr>
            <w:sz w:val="20"/>
            <w:rFonts w:ascii="Cambria Math" w:hAnsi="Cambria Math"/>
          </w:rPr>
          <m:rPr>
            <m:sty m:val="p"/>
          </m:rPr>
          <m:t>=</m:t>
        </m:r>
        <m:nary>
          <m:naryPr>
            <m:chr m:val="∑"/>
            <m:limLoc m:val="undOvr"/>
            <m:subHide m:val="off"/>
            <m:supHide m:val="on"/>
          </m:naryPr>
          <m:sub>
            <m:r>
              <w:rPr>
                <w:sz w:val="20"/>
                <w:rFonts w:ascii="Cambria Math" w:hAnsi="Cambria Math"/>
              </w:rPr>
              <m:t>m</m:t>
            </m:r>
          </m:sub>
          <m:sup>
            <m:r>
              <w:rPr>
                <w:sz w:val="20"/>
                <w:rFonts w:ascii="Cambria Math" w:hAnsi="Cambria Math"/>
              </w:rPr>
              <m:t>​</m:t>
            </m:r>
          </m:sup>
          <m:e>
            <m:sSub>
              <m:e>
                <m:r>
                  <w:rPr>
                    <w:sz w:val="20"/>
                    <w:rFonts w:ascii="Cambria Math" w:hAnsi="Cambria Math"/>
                  </w:rPr>
                  <m:t>Q</m:t>
                </m:r>
              </m:e>
              <m:sub>
                <m:r>
                  <w:rPr>
                    <w:sz w:val="20"/>
                    <w:rFonts w:ascii="Cambria Math" w:hAnsi="Cambria Math"/>
                  </w:rPr>
                  <m:t>t</m:t>
                </m:r>
                <m:r>
                  <w:rPr>
                    <w:sz w:val="20"/>
                    <w:rFonts w:ascii="Cambria Math" w:hAnsi="Cambria Math"/>
                  </w:rPr>
                  <m:rPr>
                    <m:sty m:val="p"/>
                  </m:rPr>
                  <m:t>,</m:t>
                </m:r>
                <m:r>
                  <w:rPr>
                    <w:sz w:val="20"/>
                    <w:rFonts w:ascii="Cambria Math" w:hAnsi="Cambria Math"/>
                  </w:rPr>
                  <m:t>m</m:t>
                </m:r>
              </m:sub>
            </m:sSub>
          </m:e>
        </m:nary>
        <m:r>
          <w:rPr>
            <w:sz w:val="20"/>
            <w:rFonts w:ascii="Cambria Math" w:hAnsi="Cambria Math"/>
          </w:rPr>
          <m:rPr>
            <m:sty m:val="p"/>
          </m:rPr>
          <m:t>−</m:t>
        </m:r>
        <m:sSub>
          <m:e>
            <m:r>
              <w:rPr>
                <w:sz w:val="20"/>
                <w:rFonts w:ascii="Cambria Math" w:hAnsi="Cambria Math"/>
              </w:rPr>
              <m:t>Q</m:t>
            </m:r>
          </m:e>
          <m:sub>
            <m:r>
              <w:rPr>
                <w:sz w:val="20"/>
                <w:rFonts w:ascii="Cambria Math" w:hAnsi="Cambria Math"/>
              </w:rPr>
              <m:t>t</m:t>
            </m:r>
          </m:sub>
        </m:sSub>
      </m:oMath>
    </w:p>
    <w:p>
      <w:pPr>
        <w:keepNext/>
        <w:spacing w:after="60"/>
      </w:pPr>
      <w:r>
        <w:rPr>
          <w:rFonts w:ascii="Arial" w:hAnsi="Arial" w:eastAsia="Arial" w:cs="Arial"/>
          <w:b w:val="0"/>
          <w:color w:val="215F52"/>
          <w:sz w:val="17"/>
        </w:rPr>
        <w:t>m es subintervalo de reporte, no mes medido automáticamente. Usar igual padre y base para todos los pesos. No sumar total padre con sus hijos asignados. Conservar signos negativos y explicar asignación con duraciones desiguales.</w:t>
      </w:r>
    </w:p>
    <w:p>
      <w:pPr>
        <w:keepNext/>
        <w:spacing w:after="80"/>
      </w:pPr>
      <w:r>
        <w:rPr>
          <w:rFonts w:ascii="Arial" w:hAnsi="Arial" w:eastAsia="Arial" w:cs="Arial"/>
          <w:b w:val="0"/>
          <w:color w:val="62716E"/>
          <w:sz w:val="16"/>
        </w:rPr>
        <w:t>Base: F-R01; identidad de asignación. Ubicación del cálculo: Allocation!C:I.</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Cantidad madre / intervalo / estado</w:t>
            </w:r>
          </w:p>
        </w:tc>
        <w:tc>
          <w:tcPr>
            <w:tcW w:type="dxa" w:w="3572"/>
            <w:vAlign w:val="center"/>
            <w:shd w:fill="F1F5F2"/>
          </w:tcPr>
          <w:p>
            <w:pPr>
              <w:keepNext/>
              <w:spacing w:after="20"/>
            </w:pPr>
            <w:r>
              <w:rPr>
                <w:rFonts w:ascii="Arial" w:hAnsi="Arial" w:eastAsia="Arial" w:cs="Arial"/>
                <w:b/>
                <w:color w:val="215F52"/>
                <w:sz w:val="17"/>
              </w:rPr>
              <w:t>Pesos, subintervalos y método de distribución</w:t>
            </w:r>
          </w:p>
        </w:tc>
        <w:tc>
          <w:tcPr>
            <w:tcW w:type="dxa" w:w="3390"/>
            <w:vAlign w:val="center"/>
            <w:shd w:fill="F1F5F2"/>
          </w:tcPr>
          <w:p>
            <w:pPr>
              <w:keepNext/>
              <w:spacing w:after="20"/>
            </w:pPr>
            <w:r>
              <w:rPr>
                <w:rFonts w:ascii="Arial" w:hAnsi="Arial" w:eastAsia="Arial" w:cs="Arial"/>
                <w:b/>
                <w:color w:val="215F52"/>
                <w:sz w:val="17"/>
              </w:rPr>
              <w:t>Total asignado, cierre y registro fuente</w:t>
            </w:r>
          </w:p>
        </w:tc>
      </w:tr>
      <w:tr>
        <w:trPr>
          <w:trHeight w:val="442" w:hRule="atLeast"/>
        </w:trPr>
        <w:tc>
          <w:tcPr>
            <w:tcW w:type="dxa" w:w="2778"/>
            <w:vAlign w:val="top"/>
          </w:tcPr>
          <w:p>
            <w:pPr>
              <w:keepNext w:val="0"/>
              <w:spacing w:after="20"/>
            </w:pPr>
            <w:sdt>
              <w:sdtPr>
                <w:id w:val="1809"/>
                <w:alias w:val="MR-19-T02-R1-C1"/>
                <w:tag w:val="MR-19-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810"/>
                <w:alias w:val="MR-19-T02-R1-C2"/>
                <w:tag w:val="MR-19-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811"/>
                <w:alias w:val="MR-19-T02-R1-C3"/>
                <w:tag w:val="MR-19-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12"/>
                <w:alias w:val="MR-19-T02-R2-C1"/>
                <w:tag w:val="MR-19-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813"/>
                <w:alias w:val="MR-19-T02-R2-C2"/>
                <w:tag w:val="MR-19-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814"/>
                <w:alias w:val="MR-19-T02-R2-C3"/>
                <w:tag w:val="MR-19-T02-R2-C3"/>
                <w:text w:multiLine="1"/>
              </w:sdtPr>
              <w:sdtContent>
                <w:r>
                  <w:rPr>
                    <w:rFonts w:ascii="Arial" w:hAnsi="Arial"/>
                    <w:color w:val="62716E"/>
                    <w:sz w:val="18"/>
                  </w:rPr>
                  <w:t>[Completar]</w:t>
                </w:r>
              </w:sdtContent>
            </w:sdt>
          </w:p>
        </w:tc>
      </w:tr>
    </w:tbl>
    <w:p>
      <w:pPr>
        <w:spacing w:after="20" w:before="0" w:line="40" w:lineRule="exact"/>
      </w:pPr>
      <w:r>
        <w:rPr>
          <w:sz w:val="4"/>
        </w:rPr>
      </w:r>
    </w:p>
    <w:p>
      <w:bookmarkStart w:id="515" w:name="MR_20"/>
      <w:pPr>
        <w:pStyle w:val="Heading1"/>
        <w:keepNext/>
        <w:pageBreakBefore/>
      </w:pPr>
      <w:r>
        <w:rPr>
          <w:rFonts w:ascii="Arial" w:hAnsi="Arial" w:eastAsia="Arial" w:cs="Arial"/>
          <w:b w:val="0"/>
          <w:color w:val="215F52"/>
          <w:sz w:val="38"/>
        </w:rPr>
        <w:t>20  Adicionalidad continua e iniciativas superpuestas</w:t>
      </w:r>
      <w:bookmarkEnd w:id="515"/>
    </w:p>
    <w:p>
      <w:pPr>
        <w:keepNext/>
        <w:spacing w:after="100"/>
      </w:pPr>
      <w:r>
        <w:rPr>
          <w:rFonts w:ascii="Arial" w:hAnsi="Arial" w:eastAsia="Arial" w:cs="Arial"/>
          <w:b w:val="0"/>
          <w:color w:val="62716E"/>
          <w:sz w:val="16"/>
        </w:rPr>
        <w:t>[1] S-08; AO-01; AO-02; AO-05; AO-06; AO-07; AO-08; AO-09; AO-10; AO-11; AO-12; FRM-02/AO; FRM-04/AO</w:t>
      </w:r>
    </w:p>
    <w:p>
      <w:pPr>
        <w:spacing w:after="100"/>
      </w:pPr>
      <w:r>
        <w:rPr>
          <w:rFonts w:ascii="Arial" w:hAnsi="Arial" w:eastAsia="Arial" w:cs="Arial"/>
          <w:b w:val="0"/>
          <w:color w:val="243A36"/>
          <w:sz w:val="19"/>
        </w:rPr>
        <w:t>Reevaluar premisas de adicionalidad aplicables frente a implementación, amenazas, deberes legales, práctica común y financiación cuando la prueba seleccionada lo exija. Reportar intervenciones previas y concurrentes que afecten el contrafactual; un solicitante o mapa nuevo no implican territorio sin intervención.</w:t>
      </w:r>
    </w:p>
    <w:p>
      <w:pPr>
        <w:keepNext/>
        <w:spacing w:after="100"/>
      </w:pPr>
      <w:r>
        <w:rPr>
          <w:rFonts w:ascii="Arial" w:hAnsi="Arial" w:eastAsia="Arial" w:cs="Arial"/>
          <w:b/>
          <w:color w:val="215F52"/>
          <w:sz w:val="20"/>
        </w:rPr>
        <w:t>MR-20-T01 / Registro de continuidad de adicionalidad</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Premisa PD / intervención / activador de revisión</w:t>
            </w:r>
          </w:p>
        </w:tc>
        <w:tc>
          <w:tcPr>
            <w:tcW w:type="dxa" w:w="3572"/>
            <w:vAlign w:val="center"/>
            <w:shd w:fill="F1F5F2"/>
          </w:tcPr>
          <w:p>
            <w:pPr>
              <w:keepNext/>
              <w:spacing w:after="20"/>
            </w:pPr>
            <w:r>
              <w:rPr>
                <w:rFonts w:ascii="Arial" w:hAnsi="Arial" w:eastAsia="Arial" w:cs="Arial"/>
                <w:b/>
                <w:color w:val="215F52"/>
                <w:sz w:val="17"/>
              </w:rPr>
              <w:t>Acción real, respuesta intermedia y resultado</w:t>
            </w:r>
          </w:p>
        </w:tc>
        <w:tc>
          <w:tcPr>
            <w:tcW w:type="dxa" w:w="3390"/>
            <w:vAlign w:val="center"/>
            <w:shd w:fill="F1F5F2"/>
          </w:tcPr>
          <w:p>
            <w:pPr>
              <w:keepNext/>
              <w:spacing w:after="20"/>
            </w:pPr>
            <w:r>
              <w:rPr>
                <w:rFonts w:ascii="Arial" w:hAnsi="Arial" w:eastAsia="Arial" w:cs="Arial"/>
                <w:b/>
                <w:color w:val="215F52"/>
                <w:sz w:val="17"/>
              </w:rPr>
              <w:t>Explicación alternativa, conclusión y restricción</w:t>
            </w:r>
          </w:p>
        </w:tc>
      </w:tr>
      <w:tr>
        <w:trPr>
          <w:trHeight w:val="442" w:hRule="atLeast"/>
        </w:trPr>
        <w:tc>
          <w:tcPr>
            <w:tcW w:type="dxa" w:w="2778"/>
            <w:vAlign w:val="top"/>
          </w:tcPr>
          <w:p>
            <w:pPr>
              <w:keepNext w:val="0"/>
              <w:spacing w:after="20"/>
            </w:pPr>
            <w:sdt>
              <w:sdtPr>
                <w:id w:val="1815"/>
                <w:alias w:val="MR-20-T01-R1-C1"/>
                <w:tag w:val="MR-20-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816"/>
                <w:alias w:val="MR-20-T01-R1-C2"/>
                <w:tag w:val="MR-20-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817"/>
                <w:alias w:val="MR-20-T01-R1-C3"/>
                <w:tag w:val="MR-20-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18"/>
                <w:alias w:val="MR-20-T01-R2-C1"/>
                <w:tag w:val="MR-20-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819"/>
                <w:alias w:val="MR-20-T01-R2-C2"/>
                <w:tag w:val="MR-20-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820"/>
                <w:alias w:val="MR-20-T01-R2-C3"/>
                <w:tag w:val="MR-20-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21"/>
                <w:alias w:val="MR-20-T01-R3-C1"/>
                <w:tag w:val="MR-20-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822"/>
                <w:alias w:val="MR-20-T01-R3-C2"/>
                <w:tag w:val="MR-20-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823"/>
                <w:alias w:val="MR-20-T01-R3-C3"/>
                <w:tag w:val="MR-20-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24"/>
                <w:alias w:val="MR-20-T01-R4-C1"/>
                <w:tag w:val="MR-20-T01-R4-C1"/>
                <w:text w:multiLine="1"/>
              </w:sdtPr>
              <w:sdtContent>
                <w:r>
                  <w:rPr>
                    <w:rFonts w:ascii="Arial" w:hAnsi="Arial"/>
                    <w:color w:val="62716E"/>
                    <w:sz w:val="18"/>
                  </w:rPr>
                  <w:t>[Completar]</w:t>
                </w:r>
              </w:sdtContent>
            </w:sdt>
          </w:p>
        </w:tc>
        <w:tc>
          <w:tcPr>
            <w:tcW w:type="dxa" w:w="3572"/>
            <w:vAlign w:val="top"/>
          </w:tcPr>
          <w:p>
            <w:pPr>
              <w:keepNext w:val="0"/>
              <w:spacing w:after="20"/>
            </w:pPr>
            <w:sdt>
              <w:sdtPr>
                <w:id w:val="1825"/>
                <w:alias w:val="MR-20-T01-R4-C2"/>
                <w:tag w:val="MR-20-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826"/>
                <w:alias w:val="MR-20-T01-R4-C3"/>
                <w:tag w:val="MR-20-T01-R4-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MR-20-T02 / Conciliación de traslapes y resultados</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Iniciativa / período / soporte intersectado</w:t>
            </w:r>
          </w:p>
        </w:tc>
        <w:tc>
          <w:tcPr>
            <w:tcW w:type="dxa" w:w="3572"/>
            <w:vAlign w:val="center"/>
            <w:shd w:fill="F1F5F2"/>
          </w:tcPr>
          <w:p>
            <w:pPr>
              <w:keepNext/>
              <w:spacing w:after="20"/>
            </w:pPr>
            <w:r>
              <w:rPr>
                <w:rFonts w:ascii="Arial" w:hAnsi="Arial" w:eastAsia="Arial" w:cs="Arial"/>
                <w:b/>
                <w:color w:val="215F52"/>
                <w:sz w:val="17"/>
              </w:rPr>
              <w:t>Facultades, actividades y resultado compartido posible</w:t>
            </w:r>
          </w:p>
        </w:tc>
        <w:tc>
          <w:tcPr>
            <w:tcW w:type="dxa" w:w="3390"/>
            <w:vAlign w:val="center"/>
            <w:shd w:fill="F1F5F2"/>
          </w:tcPr>
          <w:p>
            <w:pPr>
              <w:keepNext/>
              <w:spacing w:after="20"/>
            </w:pPr>
            <w:r>
              <w:rPr>
                <w:rFonts w:ascii="Arial" w:hAnsi="Arial" w:eastAsia="Arial" w:cs="Arial"/>
                <w:b/>
                <w:color w:val="215F52"/>
                <w:sz w:val="17"/>
              </w:rPr>
              <w:t>Alcance único, resolución, retención y evidencia</w:t>
            </w:r>
          </w:p>
        </w:tc>
      </w:tr>
      <w:tr>
        <w:trPr>
          <w:trHeight w:val="442" w:hRule="atLeast"/>
        </w:trPr>
        <w:tc>
          <w:tcPr>
            <w:tcW w:type="dxa" w:w="2778"/>
            <w:vAlign w:val="top"/>
          </w:tcPr>
          <w:p>
            <w:pPr>
              <w:keepNext w:val="0"/>
              <w:spacing w:after="20"/>
            </w:pPr>
            <w:sdt>
              <w:sdtPr>
                <w:id w:val="1827"/>
                <w:alias w:val="MR-20-T02-R1-C1"/>
                <w:tag w:val="MR-20-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828"/>
                <w:alias w:val="MR-20-T02-R1-C2"/>
                <w:tag w:val="MR-20-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829"/>
                <w:alias w:val="MR-20-T02-R1-C3"/>
                <w:tag w:val="MR-20-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30"/>
                <w:alias w:val="MR-20-T02-R2-C1"/>
                <w:tag w:val="MR-20-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831"/>
                <w:alias w:val="MR-20-T02-R2-C2"/>
                <w:tag w:val="MR-20-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832"/>
                <w:alias w:val="MR-20-T02-R2-C3"/>
                <w:tag w:val="MR-20-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33"/>
                <w:alias w:val="MR-20-T02-R3-C1"/>
                <w:tag w:val="MR-20-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834"/>
                <w:alias w:val="MR-20-T02-R3-C2"/>
                <w:tag w:val="MR-20-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835"/>
                <w:alias w:val="MR-20-T02-R3-C3"/>
                <w:tag w:val="MR-20-T02-R3-C3"/>
                <w:text w:multiLine="1"/>
              </w:sdtPr>
              <w:sdtContent>
                <w:r>
                  <w:rPr>
                    <w:rFonts w:ascii="Arial" w:hAnsi="Arial"/>
                    <w:color w:val="62716E"/>
                    <w:sz w:val="18"/>
                  </w:rPr>
                  <w:t>[Completar]</w:t>
                </w:r>
              </w:sdtContent>
            </w:sdt>
          </w:p>
        </w:tc>
      </w:tr>
    </w:tbl>
    <w:p>
      <w:pPr>
        <w:spacing w:after="20" w:before="0" w:line="40" w:lineRule="exact"/>
      </w:pPr>
      <w:r>
        <w:rPr>
          <w:sz w:val="4"/>
        </w:rPr>
      </w:r>
    </w:p>
    <w:p>
      <w:pPr>
        <w:spacing w:after="100"/>
      </w:pPr>
      <w:r>
        <w:rPr>
          <w:rFonts w:ascii="Arial" w:hAnsi="Arial" w:eastAsia="Arial" w:cs="Arial"/>
          <w:b w:val="0"/>
          <w:color w:val="243A36"/>
          <w:sz w:val="19"/>
        </w:rPr>
        <w:t>La intersección geográfica no decide por sí sola facultades, adicionalidad ni duplicación. No asignar a cada iniciativa todo el efecto ambiental común. Registrar hallazgos materiales pendientes y su efecto sobre el alcance presentado.</w:t>
      </w:r>
    </w:p>
    <w:p>
      <w:bookmarkStart w:id="523" w:name="MR_21"/>
      <w:pPr>
        <w:pStyle w:val="Heading1"/>
        <w:keepNext/>
        <w:pageBreakBefore/>
      </w:pPr>
      <w:r>
        <w:rPr>
          <w:rFonts w:ascii="Arial" w:hAnsi="Arial" w:eastAsia="Arial" w:cs="Arial"/>
          <w:b w:val="0"/>
          <w:color w:val="215F52"/>
          <w:sz w:val="38"/>
        </w:rPr>
        <w:t>21  Participación, salvaguardas y reparto de beneficios</w:t>
      </w:r>
      <w:bookmarkEnd w:id="523"/>
    </w:p>
    <w:p>
      <w:pPr>
        <w:keepNext/>
        <w:spacing w:after="100"/>
      </w:pPr>
      <w:r>
        <w:rPr>
          <w:rFonts w:ascii="Arial" w:hAnsi="Arial" w:eastAsia="Arial" w:cs="Arial"/>
          <w:b w:val="0"/>
          <w:color w:val="62716E"/>
          <w:sz w:val="16"/>
        </w:rPr>
        <w:t>[1] S-12; S-13; S-17; AO-03; P-12; A-13; A-14; A-15</w:t>
      </w:r>
    </w:p>
    <w:p>
      <w:pPr>
        <w:spacing w:after="100"/>
      </w:pPr>
      <w:r>
        <w:rPr>
          <w:rFonts w:ascii="Arial" w:hAnsi="Arial" w:eastAsia="Arial" w:cs="Arial"/>
          <w:b w:val="0"/>
          <w:color w:val="243A36"/>
          <w:sz w:val="19"/>
        </w:rPr>
        <w:t>Documentar participación real, consentimiento aplicable, decisiones de gobernanza, salvaguardas laborales/comunitarias, reparto de beneficios y acceso a reclamaciones durante el intervalo. Distinguir compromisos previstos de acciones y pagos ejecutados.</w:t>
      </w:r>
    </w:p>
    <w:p>
      <w:pPr>
        <w:keepNext/>
        <w:spacing w:after="100"/>
      </w:pPr>
      <w:r>
        <w:rPr>
          <w:rFonts w:ascii="Arial" w:hAnsi="Arial" w:eastAsia="Arial" w:cs="Arial"/>
          <w:b/>
          <w:color w:val="215F52"/>
          <w:sz w:val="20"/>
        </w:rPr>
        <w:t>MR-21-T01 / Compromisos y desempeño observado</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Compromiso / grupo / período</w:t>
            </w:r>
          </w:p>
        </w:tc>
        <w:tc>
          <w:tcPr>
            <w:tcW w:type="dxa" w:w="3572"/>
            <w:vAlign w:val="center"/>
            <w:shd w:fill="F1F5F2"/>
          </w:tcPr>
          <w:p>
            <w:pPr>
              <w:keepNext/>
              <w:spacing w:after="20"/>
            </w:pPr>
            <w:r>
              <w:rPr>
                <w:rFonts w:ascii="Arial" w:hAnsi="Arial" w:eastAsia="Arial" w:cs="Arial"/>
                <w:b/>
                <w:color w:val="215F52"/>
                <w:sz w:val="17"/>
              </w:rPr>
              <w:t>Medida ejecutada, evidencia y base de distribución</w:t>
            </w:r>
          </w:p>
        </w:tc>
        <w:tc>
          <w:tcPr>
            <w:tcW w:type="dxa" w:w="3390"/>
            <w:vAlign w:val="center"/>
            <w:shd w:fill="F1F5F2"/>
          </w:tcPr>
          <w:p>
            <w:pPr>
              <w:keepNext/>
              <w:spacing w:after="20"/>
            </w:pPr>
            <w:r>
              <w:rPr>
                <w:rFonts w:ascii="Arial" w:hAnsi="Arial" w:eastAsia="Arial" w:cs="Arial"/>
                <w:b/>
                <w:color w:val="215F52"/>
                <w:sz w:val="17"/>
              </w:rPr>
              <w:t>Efecto adverso, obligación pendiente y respuesta</w:t>
            </w:r>
          </w:p>
        </w:tc>
      </w:tr>
      <w:tr>
        <w:trPr>
          <w:trHeight w:val="442" w:hRule="atLeast"/>
        </w:trPr>
        <w:tc>
          <w:tcPr>
            <w:tcW w:type="dxa" w:w="2778"/>
            <w:vAlign w:val="top"/>
          </w:tcPr>
          <w:p>
            <w:pPr>
              <w:keepNext w:val="0"/>
              <w:spacing w:after="20"/>
            </w:pPr>
            <w:sdt>
              <w:sdtPr>
                <w:id w:val="1836"/>
                <w:alias w:val="MR-21-T01-R1-C1"/>
                <w:tag w:val="MR-21-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837"/>
                <w:alias w:val="MR-21-T01-R1-C2"/>
                <w:tag w:val="MR-21-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838"/>
                <w:alias w:val="MR-21-T01-R1-C3"/>
                <w:tag w:val="MR-21-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39"/>
                <w:alias w:val="MR-21-T01-R2-C1"/>
                <w:tag w:val="MR-21-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840"/>
                <w:alias w:val="MR-21-T01-R2-C2"/>
                <w:tag w:val="MR-21-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841"/>
                <w:alias w:val="MR-21-T01-R2-C3"/>
                <w:tag w:val="MR-21-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42"/>
                <w:alias w:val="MR-21-T01-R3-C1"/>
                <w:tag w:val="MR-21-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843"/>
                <w:alias w:val="MR-21-T01-R3-C2"/>
                <w:tag w:val="MR-21-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844"/>
                <w:alias w:val="MR-21-T01-R3-C3"/>
                <w:tag w:val="MR-21-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45"/>
                <w:alias w:val="MR-21-T01-R4-C1"/>
                <w:tag w:val="MR-21-T01-R4-C1"/>
                <w:text w:multiLine="1"/>
              </w:sdtPr>
              <w:sdtContent>
                <w:r>
                  <w:rPr>
                    <w:rFonts w:ascii="Arial" w:hAnsi="Arial"/>
                    <w:color w:val="62716E"/>
                    <w:sz w:val="18"/>
                  </w:rPr>
                  <w:t>[Completar]</w:t>
                </w:r>
              </w:sdtContent>
            </w:sdt>
          </w:p>
        </w:tc>
        <w:tc>
          <w:tcPr>
            <w:tcW w:type="dxa" w:w="3572"/>
            <w:vAlign w:val="top"/>
          </w:tcPr>
          <w:p>
            <w:pPr>
              <w:keepNext w:val="0"/>
              <w:spacing w:after="20"/>
            </w:pPr>
            <w:sdt>
              <w:sdtPr>
                <w:id w:val="1846"/>
                <w:alias w:val="MR-21-T01-R4-C2"/>
                <w:tag w:val="MR-21-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847"/>
                <w:alias w:val="MR-21-T01-R4-C3"/>
                <w:tag w:val="MR-21-T01-R4-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MR-21-T02 / Seguimiento de reclamaciones y remedios</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ID restringido / fecha / asunto</w:t>
            </w:r>
          </w:p>
        </w:tc>
        <w:tc>
          <w:tcPr>
            <w:tcW w:type="dxa" w:w="3572"/>
            <w:vAlign w:val="center"/>
            <w:shd w:fill="F1F5F2"/>
          </w:tcPr>
          <w:p>
            <w:pPr>
              <w:keepNext/>
              <w:spacing w:after="20"/>
            </w:pPr>
            <w:r>
              <w:rPr>
                <w:rFonts w:ascii="Arial" w:hAnsi="Arial" w:eastAsia="Arial" w:cs="Arial"/>
                <w:b/>
                <w:color w:val="215F52"/>
                <w:sz w:val="17"/>
              </w:rPr>
              <w:t>Canal, plazo aprobado y manejo independiente</w:t>
            </w:r>
          </w:p>
        </w:tc>
        <w:tc>
          <w:tcPr>
            <w:tcW w:type="dxa" w:w="3390"/>
            <w:vAlign w:val="center"/>
            <w:shd w:fill="F1F5F2"/>
          </w:tcPr>
          <w:p>
            <w:pPr>
              <w:keepNext/>
              <w:spacing w:after="20"/>
            </w:pPr>
            <w:r>
              <w:rPr>
                <w:rFonts w:ascii="Arial" w:hAnsi="Arial" w:eastAsia="Arial" w:cs="Arial"/>
                <w:b/>
                <w:color w:val="215F52"/>
                <w:sz w:val="17"/>
              </w:rPr>
              <w:t>Respuesta, evidencia de remedio y cierre</w:t>
            </w:r>
          </w:p>
        </w:tc>
      </w:tr>
      <w:tr>
        <w:trPr>
          <w:trHeight w:val="442" w:hRule="atLeast"/>
        </w:trPr>
        <w:tc>
          <w:tcPr>
            <w:tcW w:type="dxa" w:w="2778"/>
            <w:vAlign w:val="top"/>
          </w:tcPr>
          <w:p>
            <w:pPr>
              <w:keepNext w:val="0"/>
              <w:spacing w:after="20"/>
            </w:pPr>
            <w:sdt>
              <w:sdtPr>
                <w:id w:val="1848"/>
                <w:alias w:val="MR-21-T02-R1-C1"/>
                <w:tag w:val="MR-21-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849"/>
                <w:alias w:val="MR-21-T02-R1-C2"/>
                <w:tag w:val="MR-21-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850"/>
                <w:alias w:val="MR-21-T02-R1-C3"/>
                <w:tag w:val="MR-21-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51"/>
                <w:alias w:val="MR-21-T02-R2-C1"/>
                <w:tag w:val="MR-21-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852"/>
                <w:alias w:val="MR-21-T02-R2-C2"/>
                <w:tag w:val="MR-21-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853"/>
                <w:alias w:val="MR-21-T02-R2-C3"/>
                <w:tag w:val="MR-21-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54"/>
                <w:alias w:val="MR-21-T02-R3-C1"/>
                <w:tag w:val="MR-21-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855"/>
                <w:alias w:val="MR-21-T02-R3-C2"/>
                <w:tag w:val="MR-21-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856"/>
                <w:alias w:val="MR-21-T02-R3-C3"/>
                <w:tag w:val="MR-21-T02-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Explicar acceso lingüístico y no digital, protección frente a represalias, cambios de consentimiento, impactos en grupos vulnerables y asuntos pendientes. El informe público puede reservar identidades protegidas, pero la evaluación autorizada requiere evidencia completa. Ausencia de reclamaciones registradas no prueba acceso efectivo.</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857"/>
                <w:alias w:val="MR-response-54"/>
                <w:tag w:val="MR-response-54"/>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bookmarkStart w:id="532" w:name="MR_22"/>
      <w:pPr>
        <w:pStyle w:val="Heading1"/>
        <w:keepNext/>
        <w:pageBreakBefore/>
      </w:pPr>
      <w:r>
        <w:rPr>
          <w:rFonts w:ascii="Arial" w:hAnsi="Arial" w:eastAsia="Arial" w:cs="Arial"/>
          <w:b w:val="0"/>
          <w:color w:val="215F52"/>
          <w:sz w:val="38"/>
        </w:rPr>
        <w:t>22  Resultados ecosistémicos, de biodiversidad y sociales</w:t>
      </w:r>
      <w:bookmarkEnd w:id="532"/>
    </w:p>
    <w:p>
      <w:pPr>
        <w:keepNext/>
        <w:spacing w:after="100"/>
      </w:pPr>
      <w:r>
        <w:rPr>
          <w:rFonts w:ascii="Arial" w:hAnsi="Arial" w:eastAsia="Arial" w:cs="Arial"/>
          <w:b w:val="0"/>
          <w:color w:val="62716E"/>
          <w:sz w:val="16"/>
        </w:rPr>
        <w:t>[1] M06.1; T-10; T-22; S-02; P-11; U-01; U-02</w:t>
      </w:r>
    </w:p>
    <w:p>
      <w:pPr>
        <w:spacing w:after="100"/>
      </w:pPr>
      <w:r>
        <w:rPr>
          <w:rFonts w:ascii="Arial" w:hAnsi="Arial" w:eastAsia="Arial" w:cs="Arial"/>
          <w:b w:val="0"/>
          <w:color w:val="243A36"/>
          <w:sz w:val="19"/>
        </w:rPr>
        <w:t>Reportar solo indicadores y métodos sustentados por PD y perfil aplicable. Mantener biodiversidad, condición ecosistémica y resultados sociales en unidades propias. Separar metas, valores observados del período y acumulados; una meta de vida del proyecto no es resultado alcanzado del período.</w:t>
      </w:r>
    </w:p>
    <w:p>
      <w:pPr>
        <w:keepNext/>
        <w:spacing w:after="100"/>
      </w:pPr>
      <w:r>
        <w:rPr>
          <w:rFonts w:ascii="Arial" w:hAnsi="Arial" w:eastAsia="Arial" w:cs="Arial"/>
          <w:b/>
          <w:color w:val="215F52"/>
          <w:sz w:val="20"/>
        </w:rPr>
        <w:t>MR-22-T01 / Registro de indicadores y evidencia</w:t>
      </w:r>
    </w:p>
    <w:p>
      <w:pPr>
        <w:keepNext/>
        <w:spacing w:after="100"/>
      </w:pPr>
      <w:r>
        <w:rPr>
          <w:rFonts w:ascii="Arial" w:hAnsi="Arial" w:eastAsia="Arial" w:cs="Arial"/>
          <w:b/>
          <w:color w:val="215F52"/>
          <w:sz w:val="17"/>
        </w:rPr>
        <w:t>MR-22-T01 / Notación de cálculo</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es la observación, entrada o salida identificada; u_l es su unidad declarada. Registrar ecuación exacta, archivo, hoja, celda/rango, período y estado. Esta notación no prescribe un estimador.</w:t>
      </w:r>
    </w:p>
    <w:p>
      <w:pPr>
        <w:keepNext/>
        <w:spacing w:after="80"/>
      </w:pPr>
      <w:r>
        <w:rPr>
          <w:rFonts w:ascii="Arial" w:hAnsi="Arial" w:eastAsia="Arial" w:cs="Arial"/>
          <w:b w:val="0"/>
          <w:color w:val="62716E"/>
          <w:sz w:val="16"/>
        </w:rPr>
        <w:t>Base: F-01; T-01. Ubicación del cálculo: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Indicador / definición / símbolo / unidad</w:t>
            </w:r>
          </w:p>
        </w:tc>
        <w:tc>
          <w:tcPr>
            <w:tcW w:type="dxa" w:w="3572"/>
            <w:vAlign w:val="center"/>
            <w:shd w:fill="F1F5F2"/>
          </w:tcPr>
          <w:p>
            <w:pPr>
              <w:keepNext/>
              <w:spacing w:after="20"/>
            </w:pPr>
            <w:r>
              <w:rPr>
                <w:rFonts w:ascii="Arial" w:hAnsi="Arial" w:eastAsia="Arial" w:cs="Arial"/>
                <w:b/>
                <w:color w:val="215F52"/>
                <w:sz w:val="17"/>
              </w:rPr>
              <w:t>Referencia, resultado e incertidumbre / limitación</w:t>
            </w:r>
          </w:p>
        </w:tc>
        <w:tc>
          <w:tcPr>
            <w:tcW w:type="dxa" w:w="3390"/>
            <w:vAlign w:val="center"/>
            <w:shd w:fill="F1F5F2"/>
          </w:tcPr>
          <w:p>
            <w:pPr>
              <w:keepNext/>
              <w:spacing w:after="20"/>
            </w:pPr>
            <w:r>
              <w:rPr>
                <w:rFonts w:ascii="Arial" w:hAnsi="Arial" w:eastAsia="Arial" w:cs="Arial"/>
                <w:b/>
                <w:color w:val="215F52"/>
                <w:sz w:val="17"/>
              </w:rPr>
              <w:t>Método, fechas, fuente y atribución</w:t>
            </w:r>
          </w:p>
        </w:tc>
      </w:tr>
      <w:tr>
        <w:trPr>
          <w:trHeight w:val="442" w:hRule="atLeast"/>
        </w:trPr>
        <w:tc>
          <w:tcPr>
            <w:tcW w:type="dxa" w:w="2778"/>
            <w:vAlign w:val="top"/>
          </w:tcPr>
          <w:p>
            <w:pPr>
              <w:keepNext w:val="0"/>
              <w:spacing w:after="20"/>
            </w:pPr>
            <w:sdt>
              <w:sdtPr>
                <w:id w:val="1858"/>
                <w:alias w:val="MR-22-T01-R1-C1"/>
                <w:tag w:val="MR-22-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859"/>
                <w:alias w:val="MR-22-T01-R1-C2"/>
                <w:tag w:val="MR-22-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860"/>
                <w:alias w:val="MR-22-T01-R1-C3"/>
                <w:tag w:val="MR-22-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61"/>
                <w:alias w:val="MR-22-T01-R2-C1"/>
                <w:tag w:val="MR-22-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862"/>
                <w:alias w:val="MR-22-T01-R2-C2"/>
                <w:tag w:val="MR-22-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863"/>
                <w:alias w:val="MR-22-T01-R2-C3"/>
                <w:tag w:val="MR-22-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64"/>
                <w:alias w:val="MR-22-T01-R3-C1"/>
                <w:tag w:val="MR-22-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865"/>
                <w:alias w:val="MR-22-T01-R3-C2"/>
                <w:tag w:val="MR-22-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866"/>
                <w:alias w:val="MR-22-T01-R3-C3"/>
                <w:tag w:val="MR-22-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67"/>
                <w:alias w:val="MR-22-T01-R4-C1"/>
                <w:tag w:val="MR-22-T01-R4-C1"/>
                <w:text w:multiLine="1"/>
              </w:sdtPr>
              <w:sdtContent>
                <w:r>
                  <w:rPr>
                    <w:rFonts w:ascii="Arial" w:hAnsi="Arial"/>
                    <w:color w:val="62716E"/>
                    <w:sz w:val="18"/>
                  </w:rPr>
                  <w:t>[Completar]</w:t>
                </w:r>
              </w:sdtContent>
            </w:sdt>
          </w:p>
        </w:tc>
        <w:tc>
          <w:tcPr>
            <w:tcW w:type="dxa" w:w="3572"/>
            <w:vAlign w:val="top"/>
          </w:tcPr>
          <w:p>
            <w:pPr>
              <w:keepNext w:val="0"/>
              <w:spacing w:after="20"/>
            </w:pPr>
            <w:sdt>
              <w:sdtPr>
                <w:id w:val="1868"/>
                <w:alias w:val="MR-22-T01-R4-C2"/>
                <w:tag w:val="MR-22-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869"/>
                <w:alias w:val="MR-22-T01-R4-C3"/>
                <w:tag w:val="MR-22-T01-R4-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Especificar esfuerzo de muestreo, reglas de conteo, observaciones repetidas y efectos adversos externos. Distinguir participantes únicos/asistencias, empleos/tiempo-persona y lista de especies/cambio demostrado cuando correspondan. Documentar definición del PD sin introducir métrica universal nueva.</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870"/>
                <w:alias w:val="MR-response-56"/>
                <w:tag w:val="MR-response-56"/>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pPr>
        <w:spacing w:after="100"/>
      </w:pPr>
      <w:r>
        <w:rPr>
          <w:rFonts w:ascii="Arial" w:hAnsi="Arial" w:eastAsia="Arial" w:cs="Arial"/>
          <w:b w:val="0"/>
          <w:color w:val="243A36"/>
          <w:sz w:val="19"/>
        </w:rPr>
        <w:t>Un indicador reportado no se convierte en NVEU sin categoría y autorización aplicables. No se implica conversión entre estos resultados y carbono.</w:t>
      </w:r>
    </w:p>
    <w:p>
      <w:bookmarkStart w:id="544" w:name="MR_23"/>
      <w:pPr>
        <w:pStyle w:val="Heading1"/>
        <w:keepNext/>
        <w:pageBreakBefore/>
      </w:pPr>
      <w:r>
        <w:rPr>
          <w:rFonts w:ascii="Arial" w:hAnsi="Arial" w:eastAsia="Arial" w:cs="Arial"/>
          <w:b w:val="0"/>
          <w:color w:val="215F52"/>
          <w:sz w:val="38"/>
        </w:rPr>
        <w:t>23  Migración y continuidad de afirmaciones previas</w:t>
      </w:r>
      <w:bookmarkEnd w:id="544"/>
    </w:p>
    <w:p>
      <w:pPr>
        <w:keepNext/>
        <w:spacing w:after="100"/>
      </w:pPr>
      <w:r>
        <w:rPr>
          <w:rFonts w:ascii="Arial" w:hAnsi="Arial" w:eastAsia="Arial" w:cs="Arial"/>
          <w:b w:val="0"/>
          <w:color w:val="62716E"/>
          <w:sz w:val="16"/>
        </w:rPr>
        <w:t>[1] MIG-02; MIG-04; MIG-05; MIG-06; MIG-07; MIG-08; MIG-09; MIG-12; MIG-17; AO-11</w:t>
      </w:r>
    </w:p>
    <w:p>
      <w:pPr>
        <w:spacing w:after="100"/>
      </w:pPr>
      <w:r>
        <w:rPr>
          <w:rFonts w:ascii="Arial" w:hAnsi="Arial" w:eastAsia="Arial" w:cs="Arial"/>
          <w:b w:val="0"/>
          <w:color w:val="243A36"/>
          <w:sz w:val="19"/>
        </w:rPr>
        <w:t>Completar cuando migración, reutilización de cuentas históricas o afirmaciones previas afecten el intervalo. Conservar método de origen, fechas, derechos, hallazgos, historia de emisión/retiro/cancelación y obligaciones. Adjuntar Conciliación de migración controlada; no reiniciar línea base ni obligaciones por cambiar de informe.</w:t>
      </w:r>
    </w:p>
    <w:p>
      <w:pPr>
        <w:keepNext/>
        <w:spacing w:after="100"/>
      </w:pPr>
      <w:r>
        <w:rPr>
          <w:rFonts w:ascii="Arial" w:hAnsi="Arial" w:eastAsia="Arial" w:cs="Arial"/>
          <w:b/>
          <w:color w:val="215F52"/>
          <w:sz w:val="20"/>
        </w:rPr>
        <w:t>MR-23-T01 / Cuenta original, armonizada y NEBIOT</w:t>
      </w:r>
    </w:p>
    <w:p>
      <w:pPr>
        <w:keepNext/>
        <w:spacing w:after="100"/>
      </w:pPr>
      <w:r>
        <w:rPr>
          <w:rFonts w:ascii="Arial" w:hAnsi="Arial" w:eastAsia="Arial" w:cs="Arial"/>
          <w:b/>
          <w:color w:val="215F52"/>
          <w:sz w:val="17"/>
        </w:rPr>
        <w:t>MR-23-T01 / Notación de cálculo</w:t>
      </w:r>
    </w:p>
    <w:p>
      <w:pPr>
        <w:keepNext/>
        <w:spacing w:after="60" w:before="20"/>
        <w:jc w:val="center"/>
      </w:pPr>
      <m:oMath>
        <m:r>
          <w:rPr>
            <w:sz w:val="20"/>
            <w:rFonts w:ascii="Cambria Math" w:hAnsi="Cambria Math"/>
          </w:rPr>
          <m:t>Δ</m:t>
        </m:r>
        <m:sSub>
          <m:e>
            <m:r>
              <w:rPr>
                <w:sz w:val="20"/>
                <w:rFonts w:ascii="Cambria Math" w:hAnsi="Cambria Math"/>
              </w:rPr>
              <m:t>q</m:t>
            </m:r>
          </m:e>
          <m:sub>
            <m:r>
              <w:rPr>
                <w:sz w:val="20"/>
                <w:rFonts w:ascii="Cambria Math" w:hAnsi="Cambria Math"/>
              </w:rPr>
              <m:rPr>
                <m:sty m:val="p"/>
              </m:rPr>
              <m:t>b</m:t>
            </m:r>
            <m:r>
              <w:rPr>
                <w:sz w:val="20"/>
                <w:rFonts w:ascii="Cambria Math" w:hAnsi="Cambria Math"/>
              </w:rPr>
              <m:rPr>
                <m:sty m:val="p"/>
              </m:rPr>
              <m:t>a</m:t>
            </m:r>
            <m:r>
              <w:rPr>
                <w:sz w:val="20"/>
                <w:rFonts w:ascii="Cambria Math" w:hAnsi="Cambria Math"/>
              </w:rPr>
              <m:rPr>
                <m:sty m:val="p"/>
              </m:rPr>
              <m:t>s</m:t>
            </m:r>
            <m:r>
              <w:rPr>
                <w:sz w:val="20"/>
                <w:rFonts w:ascii="Cambria Math" w:hAnsi="Cambria Math"/>
              </w:rPr>
              <m:rPr>
                <m:sty m:val="p"/>
              </m:rPr>
              <m:t>i</m:t>
            </m:r>
            <m:r>
              <w:rPr>
                <w:sz w:val="20"/>
                <w:rFonts w:ascii="Cambria Math" w:hAnsi="Cambria Math"/>
              </w:rPr>
              <m:rPr>
                <m:sty m:val="p"/>
              </m:rPr>
              <m:t>s</m:t>
            </m:r>
          </m:sub>
        </m:sSub>
        <m:r>
          <w:rPr>
            <w:sz w:val="20"/>
            <w:rFonts w:ascii="Cambria Math" w:hAnsi="Cambria Math"/>
          </w:rPr>
          <m:rPr>
            <m:sty m:val="p"/>
          </m:rPr>
          <m:t>=</m:t>
        </m:r>
        <m:sSup>
          <m:e>
            <m:r>
              <w:rPr>
                <w:sz w:val="20"/>
                <w:rFonts w:ascii="Cambria Math" w:hAnsi="Cambria Math"/>
              </w:rPr>
              <m:t>q</m:t>
            </m:r>
          </m:e>
          <m:sup>
            <m:r>
              <w:rPr>
                <w:sz w:val="20"/>
                <w:rFonts w:ascii="Cambria Math" w:hAnsi="Cambria Math"/>
              </w:rPr>
              <m:rPr>
                <m:sty m:val="p"/>
              </m:rPr>
              <m:t>h</m:t>
            </m:r>
            <m:r>
              <w:rPr>
                <w:sz w:val="20"/>
                <w:rFonts w:ascii="Cambria Math" w:hAnsi="Cambria Math"/>
              </w:rPr>
              <m:rPr>
                <m:sty m:val="p"/>
              </m:rPr>
              <m:t>a</m:t>
            </m:r>
            <m:r>
              <w:rPr>
                <w:sz w:val="20"/>
                <w:rFonts w:ascii="Cambria Math" w:hAnsi="Cambria Math"/>
              </w:rPr>
              <m:rPr>
                <m:sty m:val="p"/>
              </m:rPr>
              <m:t>r</m:t>
            </m:r>
            <m:r>
              <w:rPr>
                <w:sz w:val="20"/>
                <w:rFonts w:ascii="Cambria Math" w:hAnsi="Cambria Math"/>
              </w:rPr>
              <m:rPr>
                <m:sty m:val="p"/>
              </m:rPr>
              <m:t>m</m:t>
            </m:r>
          </m:sup>
        </m:sSup>
        <m:r>
          <w:rPr>
            <w:sz w:val="20"/>
            <w:rFonts w:ascii="Cambria Math" w:hAnsi="Cambria Math"/>
          </w:rPr>
          <m:rPr>
            <m:sty m:val="p"/>
          </m:rPr>
          <m:t>−</m:t>
        </m:r>
        <m:sSup>
          <m:e>
            <m:r>
              <w:rPr>
                <w:sz w:val="20"/>
                <w:rFonts w:ascii="Cambria Math" w:hAnsi="Cambria Math"/>
              </w:rPr>
              <m:t>q</m:t>
            </m:r>
          </m:e>
          <m:sup>
            <m:r>
              <w:rPr>
                <w:sz w:val="20"/>
                <w:rFonts w:ascii="Cambria Math" w:hAnsi="Cambria Math"/>
              </w:rPr>
              <m:rPr>
                <m:sty m:val="p"/>
              </m:rPr>
              <m:t>s</m:t>
            </m:r>
            <m:r>
              <w:rPr>
                <w:sz w:val="20"/>
                <w:rFonts w:ascii="Cambria Math" w:hAnsi="Cambria Math"/>
              </w:rPr>
              <m:rPr>
                <m:sty m:val="p"/>
              </m:rPr>
              <m:t>r</m:t>
            </m:r>
            <m:r>
              <w:rPr>
                <w:sz w:val="20"/>
                <w:rFonts w:ascii="Cambria Math" w:hAnsi="Cambria Math"/>
              </w:rPr>
              <m:rPr>
                <m:sty m:val="p"/>
              </m:rPr>
              <m:t>c</m:t>
            </m:r>
          </m:sup>
        </m:sSup>
        <m:r>
          <w:rPr>
            <w:sz w:val="20"/>
            <w:rFonts w:ascii="Cambria Math" w:hAnsi="Cambria Math"/>
          </w:rPr>
          <m:rPr>
            <m:sty m:val="p"/>
          </m:rPr>
          <m:t>,</m:t>
        </m:r>
        <m:r>
          <w:rPr>
            <w:sz w:val="20"/>
            <w:rFonts w:ascii="Cambria Math" w:hAnsi="Cambria Math"/>
          </w:rPr>
          <m:t> </m:t>
        </m:r>
        <m:r>
          <w:rPr>
            <w:sz w:val="20"/>
            <w:rFonts w:ascii="Cambria Math" w:hAnsi="Cambria Math"/>
          </w:rPr>
          <m:t>Δ</m:t>
        </m:r>
        <m:sSub>
          <m:e>
            <m:r>
              <w:rPr>
                <w:sz w:val="20"/>
                <w:rFonts w:ascii="Cambria Math" w:hAnsi="Cambria Math"/>
              </w:rPr>
              <m:t>q</m:t>
            </m:r>
          </m:e>
          <m:sub>
            <m:r>
              <w:rPr>
                <w:sz w:val="20"/>
                <w:rFonts w:ascii="Cambria Math" w:hAnsi="Cambria Math"/>
              </w:rPr>
              <m:rPr>
                <m:sty m:val="p"/>
              </m:rPr>
              <m:t>m</m:t>
            </m:r>
            <m:r>
              <w:rPr>
                <w:sz w:val="20"/>
                <w:rFonts w:ascii="Cambria Math" w:hAnsi="Cambria Math"/>
              </w:rPr>
              <m:rPr>
                <m:sty m:val="p"/>
              </m:rPr>
              <m:t>e</m:t>
            </m:r>
            <m:r>
              <w:rPr>
                <w:sz w:val="20"/>
                <w:rFonts w:ascii="Cambria Math" w:hAnsi="Cambria Math"/>
              </w:rPr>
              <m:rPr>
                <m:sty m:val="p"/>
              </m:rPr>
              <m:t>t</m:t>
            </m:r>
            <m:r>
              <w:rPr>
                <w:sz w:val="20"/>
                <w:rFonts w:ascii="Cambria Math" w:hAnsi="Cambria Math"/>
              </w:rPr>
              <m:rPr>
                <m:sty m:val="p"/>
              </m:rPr>
              <m:t>h</m:t>
            </m:r>
            <m:r>
              <w:rPr>
                <w:sz w:val="20"/>
                <w:rFonts w:ascii="Cambria Math" w:hAnsi="Cambria Math"/>
              </w:rPr>
              <m:rPr>
                <m:sty m:val="p"/>
              </m:rPr>
              <m:t>o</m:t>
            </m:r>
            <m:r>
              <w:rPr>
                <w:sz w:val="20"/>
                <w:rFonts w:ascii="Cambria Math" w:hAnsi="Cambria Math"/>
              </w:rPr>
              <m:rPr>
                <m:sty m:val="p"/>
              </m:rPr>
              <m:t>d</m:t>
            </m:r>
          </m:sub>
        </m:sSub>
        <m:r>
          <w:rPr>
            <w:sz w:val="20"/>
            <w:rFonts w:ascii="Cambria Math" w:hAnsi="Cambria Math"/>
          </w:rPr>
          <m:rPr>
            <m:sty m:val="p"/>
          </m:rPr>
          <m:t>=</m:t>
        </m:r>
        <m:sSup>
          <m:e>
            <m:r>
              <w:rPr>
                <w:sz w:val="20"/>
                <w:rFonts w:ascii="Cambria Math" w:hAnsi="Cambria Math"/>
              </w:rPr>
              <m:t>q</m:t>
            </m:r>
          </m:e>
          <m:sup>
            <m:r>
              <w:rPr>
                <w:sz w:val="20"/>
                <w:rFonts w:ascii="Cambria Math" w:hAnsi="Cambria Math"/>
              </w:rPr>
              <m:rPr>
                <m:sty m:val="p"/>
              </m:rPr>
              <m:t>N</m:t>
            </m:r>
            <m:r>
              <w:rPr>
                <w:sz w:val="20"/>
                <w:rFonts w:ascii="Cambria Math" w:hAnsi="Cambria Math"/>
              </w:rPr>
              <m:rPr>
                <m:sty m:val="p"/>
              </m:rPr>
              <m:t>E</m:t>
            </m:r>
            <m:r>
              <w:rPr>
                <w:sz w:val="20"/>
                <w:rFonts w:ascii="Cambria Math" w:hAnsi="Cambria Math"/>
              </w:rPr>
              <m:rPr>
                <m:sty m:val="p"/>
              </m:rPr>
              <m:t>B</m:t>
            </m:r>
          </m:sup>
        </m:sSup>
        <m:r>
          <w:rPr>
            <w:sz w:val="20"/>
            <w:rFonts w:ascii="Cambria Math" w:hAnsi="Cambria Math"/>
          </w:rPr>
          <m:rPr>
            <m:sty m:val="p"/>
          </m:rPr>
          <m:t>−</m:t>
        </m:r>
        <m:sSup>
          <m:e>
            <m:r>
              <w:rPr>
                <w:sz w:val="20"/>
                <w:rFonts w:ascii="Cambria Math" w:hAnsi="Cambria Math"/>
              </w:rPr>
              <m:t>q</m:t>
            </m:r>
          </m:e>
          <m:sup>
            <m:r>
              <w:rPr>
                <w:sz w:val="20"/>
                <w:rFonts w:ascii="Cambria Math" w:hAnsi="Cambria Math"/>
              </w:rPr>
              <m:rPr>
                <m:sty m:val="p"/>
              </m:rPr>
              <m:t>h</m:t>
            </m:r>
            <m:r>
              <w:rPr>
                <w:sz w:val="20"/>
                <w:rFonts w:ascii="Cambria Math" w:hAnsi="Cambria Math"/>
              </w:rPr>
              <m:rPr>
                <m:sty m:val="p"/>
              </m:rPr>
              <m:t>a</m:t>
            </m:r>
            <m:r>
              <w:rPr>
                <w:sz w:val="20"/>
                <w:rFonts w:ascii="Cambria Math" w:hAnsi="Cambria Math"/>
              </w:rPr>
              <m:rPr>
                <m:sty m:val="p"/>
              </m:rPr>
              <m:t>r</m:t>
            </m:r>
            <m:r>
              <w:rPr>
                <w:sz w:val="20"/>
                <w:rFonts w:ascii="Cambria Math" w:hAnsi="Cambria Math"/>
              </w:rPr>
              <m:rPr>
                <m:sty m:val="p"/>
              </m:rPr>
              <m:t>m</m:t>
            </m:r>
          </m:sup>
        </m:sSup>
      </m:oMath>
    </w:p>
    <w:p>
      <w:pPr>
        <w:keepNext/>
        <w:spacing w:after="60" w:before="20"/>
        <w:jc w:val="center"/>
      </w:pPr>
      <m:oMath>
        <m:sSup>
          <m:e>
            <m:r>
              <w:rPr>
                <w:sz w:val="20"/>
                <w:rFonts w:ascii="Cambria Math" w:hAnsi="Cambria Math"/>
              </w:rPr>
              <m:t>q</m:t>
            </m:r>
          </m:e>
          <m:sup>
            <m:r>
              <w:rPr>
                <w:sz w:val="20"/>
                <w:rFonts w:ascii="Cambria Math" w:hAnsi="Cambria Math"/>
              </w:rPr>
              <m:rPr>
                <m:sty m:val="p"/>
              </m:rPr>
              <m:t>N</m:t>
            </m:r>
            <m:r>
              <w:rPr>
                <w:sz w:val="20"/>
                <w:rFonts w:ascii="Cambria Math" w:hAnsi="Cambria Math"/>
              </w:rPr>
              <m:rPr>
                <m:sty m:val="p"/>
              </m:rPr>
              <m:t>E</m:t>
            </m:r>
            <m:r>
              <w:rPr>
                <w:sz w:val="20"/>
                <w:rFonts w:ascii="Cambria Math" w:hAnsi="Cambria Math"/>
              </w:rPr>
              <m:rPr>
                <m:sty m:val="p"/>
              </m:rPr>
              <m:t>B</m:t>
            </m:r>
          </m:sup>
        </m:sSup>
        <m:r>
          <w:rPr>
            <w:sz w:val="20"/>
            <w:rFonts w:ascii="Cambria Math" w:hAnsi="Cambria Math"/>
          </w:rPr>
          <m:rPr>
            <m:sty m:val="p"/>
          </m:rPr>
          <m:t>−</m:t>
        </m:r>
        <m:sSup>
          <m:e>
            <m:r>
              <w:rPr>
                <w:sz w:val="20"/>
                <w:rFonts w:ascii="Cambria Math" w:hAnsi="Cambria Math"/>
              </w:rPr>
              <m:t>q</m:t>
            </m:r>
          </m:e>
          <m:sup>
            <m:r>
              <w:rPr>
                <w:sz w:val="20"/>
                <w:rFonts w:ascii="Cambria Math" w:hAnsi="Cambria Math"/>
              </w:rPr>
              <m:rPr>
                <m:sty m:val="p"/>
              </m:rPr>
              <m:t>s</m:t>
            </m:r>
            <m:r>
              <w:rPr>
                <w:sz w:val="20"/>
                <w:rFonts w:ascii="Cambria Math" w:hAnsi="Cambria Math"/>
              </w:rPr>
              <m:rPr>
                <m:sty m:val="p"/>
              </m:rPr>
              <m:t>r</m:t>
            </m:r>
            <m:r>
              <w:rPr>
                <w:sz w:val="20"/>
                <w:rFonts w:ascii="Cambria Math" w:hAnsi="Cambria Math"/>
              </w:rPr>
              <m:rPr>
                <m:sty m:val="p"/>
              </m:rPr>
              <m:t>c</m:t>
            </m:r>
          </m:sup>
        </m:sSup>
        <m:r>
          <w:rPr>
            <w:sz w:val="20"/>
            <w:rFonts w:ascii="Cambria Math" w:hAnsi="Cambria Math"/>
          </w:rPr>
          <m:rPr>
            <m:sty m:val="p"/>
          </m:rPr>
          <m:t>=</m:t>
        </m:r>
        <m:r>
          <w:rPr>
            <w:sz w:val="20"/>
            <w:rFonts w:ascii="Cambria Math" w:hAnsi="Cambria Math"/>
          </w:rPr>
          <m:t>Δ</m:t>
        </m:r>
        <m:sSub>
          <m:e>
            <m:r>
              <w:rPr>
                <w:sz w:val="20"/>
                <w:rFonts w:ascii="Cambria Math" w:hAnsi="Cambria Math"/>
              </w:rPr>
              <m:t>q</m:t>
            </m:r>
          </m:e>
          <m:sub>
            <m:r>
              <w:rPr>
                <w:sz w:val="20"/>
                <w:rFonts w:ascii="Cambria Math" w:hAnsi="Cambria Math"/>
              </w:rPr>
              <m:rPr>
                <m:sty m:val="p"/>
              </m:rPr>
              <m:t>b</m:t>
            </m:r>
            <m:r>
              <w:rPr>
                <w:sz w:val="20"/>
                <w:rFonts w:ascii="Cambria Math" w:hAnsi="Cambria Math"/>
              </w:rPr>
              <m:rPr>
                <m:sty m:val="p"/>
              </m:rPr>
              <m:t>a</m:t>
            </m:r>
            <m:r>
              <w:rPr>
                <w:sz w:val="20"/>
                <w:rFonts w:ascii="Cambria Math" w:hAnsi="Cambria Math"/>
              </w:rPr>
              <m:rPr>
                <m:sty m:val="p"/>
              </m:rPr>
              <m:t>s</m:t>
            </m:r>
            <m:r>
              <w:rPr>
                <w:sz w:val="20"/>
                <w:rFonts w:ascii="Cambria Math" w:hAnsi="Cambria Math"/>
              </w:rPr>
              <m:rPr>
                <m:sty m:val="p"/>
              </m:rPr>
              <m:t>i</m:t>
            </m:r>
            <m:r>
              <w:rPr>
                <w:sz w:val="20"/>
                <w:rFonts w:ascii="Cambria Math" w:hAnsi="Cambria Math"/>
              </w:rPr>
              <m:rPr>
                <m:sty m:val="p"/>
              </m:rPr>
              <m:t>s</m:t>
            </m:r>
          </m:sub>
        </m:sSub>
        <m:r>
          <w:rPr>
            <w:sz w:val="20"/>
            <w:rFonts w:ascii="Cambria Math" w:hAnsi="Cambria Math"/>
          </w:rPr>
          <m:rPr>
            <m:sty m:val="p"/>
          </m:rPr>
          <m:t>+</m:t>
        </m:r>
        <m:r>
          <w:rPr>
            <w:sz w:val="20"/>
            <w:rFonts w:ascii="Cambria Math" w:hAnsi="Cambria Math"/>
          </w:rPr>
          <m:t>Δ</m:t>
        </m:r>
        <m:sSub>
          <m:e>
            <m:r>
              <w:rPr>
                <w:sz w:val="20"/>
                <w:rFonts w:ascii="Cambria Math" w:hAnsi="Cambria Math"/>
              </w:rPr>
              <m:t>q</m:t>
            </m:r>
          </m:e>
          <m:sub>
            <m:r>
              <w:rPr>
                <w:sz w:val="20"/>
                <w:rFonts w:ascii="Cambria Math" w:hAnsi="Cambria Math"/>
              </w:rPr>
              <m:rPr>
                <m:sty m:val="p"/>
              </m:rPr>
              <m:t>m</m:t>
            </m:r>
            <m:r>
              <w:rPr>
                <w:sz w:val="20"/>
                <w:rFonts w:ascii="Cambria Math" w:hAnsi="Cambria Math"/>
              </w:rPr>
              <m:rPr>
                <m:sty m:val="p"/>
              </m:rPr>
              <m:t>e</m:t>
            </m:r>
            <m:r>
              <w:rPr>
                <w:sz w:val="20"/>
                <w:rFonts w:ascii="Cambria Math" w:hAnsi="Cambria Math"/>
              </w:rPr>
              <m:rPr>
                <m:sty m:val="p"/>
              </m:rPr>
              <m:t>t</m:t>
            </m:r>
            <m:r>
              <w:rPr>
                <w:sz w:val="20"/>
                <w:rFonts w:ascii="Cambria Math" w:hAnsi="Cambria Math"/>
              </w:rPr>
              <m:rPr>
                <m:sty m:val="p"/>
              </m:rPr>
              <m:t>h</m:t>
            </m:r>
            <m:r>
              <w:rPr>
                <w:sz w:val="20"/>
                <w:rFonts w:ascii="Cambria Math" w:hAnsi="Cambria Math"/>
              </w:rPr>
              <m:rPr>
                <m:sty m:val="p"/>
              </m:rPr>
              <m:t>o</m:t>
            </m:r>
            <m:r>
              <w:rPr>
                <w:sz w:val="20"/>
                <w:rFonts w:ascii="Cambria Math" w:hAnsi="Cambria Math"/>
              </w:rPr>
              <m:rPr>
                <m:sty m:val="p"/>
              </m:rPr>
              <m:t>d</m:t>
            </m:r>
          </m:sub>
        </m:sSub>
      </m:oMath>
    </w:p>
    <w:p>
      <w:pPr>
        <w:keepNext/>
        <w:spacing w:after="60"/>
      </w:pPr>
      <w:r>
        <w:rPr>
          <w:rFonts w:ascii="Arial" w:hAnsi="Arial" w:eastAsia="Arial" w:cs="Arial"/>
          <w:b w:val="0"/>
          <w:color w:val="215F52"/>
          <w:sz w:val="17"/>
        </w:rPr>
        <w:t>src conserva resultado original; harm aplica método original a base comparable acordada; NEB es resultado receptor sobre esa base. La identidad telescópica explica diferencias, no elegibilidad. No forzar diferencia metodológica cero.</w:t>
      </w:r>
    </w:p>
    <w:p>
      <w:pPr>
        <w:keepNext/>
        <w:spacing w:after="80"/>
      </w:pPr>
      <w:r>
        <w:rPr>
          <w:rFonts w:ascii="Arial" w:hAnsi="Arial" w:eastAsia="Arial" w:cs="Arial"/>
          <w:b w:val="0"/>
          <w:color w:val="62716E"/>
          <w:sz w:val="16"/>
        </w:rPr>
        <w:t>Base: MIG-05; P-13; identidad de conciliación. Ubicación del cálculo: Migration!E:K.</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Magnitud / unidad / alcance original</w:t>
            </w:r>
          </w:p>
        </w:tc>
        <w:tc>
          <w:tcPr>
            <w:tcW w:type="dxa" w:w="3572"/>
            <w:vAlign w:val="center"/>
            <w:shd w:fill="F1F5F2"/>
          </w:tcPr>
          <w:p>
            <w:pPr>
              <w:keepNext/>
              <w:spacing w:after="20"/>
            </w:pPr>
            <w:r>
              <w:rPr>
                <w:rFonts w:ascii="Arial" w:hAnsi="Arial" w:eastAsia="Arial" w:cs="Arial"/>
                <w:b/>
                <w:color w:val="215F52"/>
                <w:sz w:val="17"/>
              </w:rPr>
              <w:t>Valores original, armonizado y método receptor</w:t>
            </w:r>
          </w:p>
        </w:tc>
        <w:tc>
          <w:tcPr>
            <w:tcW w:type="dxa" w:w="3390"/>
            <w:vAlign w:val="center"/>
            <w:shd w:fill="F1F5F2"/>
          </w:tcPr>
          <w:p>
            <w:pPr>
              <w:keepNext/>
              <w:spacing w:after="20"/>
            </w:pPr>
            <w:r>
              <w:rPr>
                <w:rFonts w:ascii="Arial" w:hAnsi="Arial" w:eastAsia="Arial" w:cs="Arial"/>
                <w:b/>
                <w:color w:val="215F52"/>
                <w:sz w:val="17"/>
              </w:rPr>
              <w:t>Cambio de base, de método y evidencia</w:t>
            </w:r>
          </w:p>
        </w:tc>
      </w:tr>
      <w:tr>
        <w:trPr>
          <w:trHeight w:val="442" w:hRule="atLeast"/>
        </w:trPr>
        <w:tc>
          <w:tcPr>
            <w:tcW w:type="dxa" w:w="2778"/>
            <w:vAlign w:val="top"/>
          </w:tcPr>
          <w:p>
            <w:pPr>
              <w:keepNext w:val="0"/>
              <w:spacing w:after="20"/>
            </w:pPr>
            <w:sdt>
              <w:sdtPr>
                <w:id w:val="1871"/>
                <w:alias w:val="MR-23-T01-R1-C1"/>
                <w:tag w:val="MR-23-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872"/>
                <w:alias w:val="MR-23-T01-R1-C2"/>
                <w:tag w:val="MR-23-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873"/>
                <w:alias w:val="MR-23-T01-R1-C3"/>
                <w:tag w:val="MR-23-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74"/>
                <w:alias w:val="MR-23-T01-R2-C1"/>
                <w:tag w:val="MR-23-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875"/>
                <w:alias w:val="MR-23-T01-R2-C2"/>
                <w:tag w:val="MR-23-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876"/>
                <w:alias w:val="MR-23-T01-R2-C3"/>
                <w:tag w:val="MR-23-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77"/>
                <w:alias w:val="MR-23-T01-R3-C1"/>
                <w:tag w:val="MR-23-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878"/>
                <w:alias w:val="MR-23-T01-R3-C2"/>
                <w:tag w:val="MR-23-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879"/>
                <w:alias w:val="MR-23-T01-R3-C3"/>
                <w:tag w:val="MR-23-T01-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MR-23-T02 / Afirmaciones previas y obligaciones continuas</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Resultado / período / registro del programa</w:t>
            </w:r>
          </w:p>
        </w:tc>
        <w:tc>
          <w:tcPr>
            <w:tcW w:type="dxa" w:w="3572"/>
            <w:vAlign w:val="center"/>
            <w:shd w:fill="F1F5F2"/>
          </w:tcPr>
          <w:p>
            <w:pPr>
              <w:keepNext/>
              <w:spacing w:after="20"/>
            </w:pPr>
            <w:r>
              <w:rPr>
                <w:rFonts w:ascii="Arial" w:hAnsi="Arial" w:eastAsia="Arial" w:cs="Arial"/>
                <w:b/>
                <w:color w:val="215F52"/>
                <w:sz w:val="17"/>
              </w:rPr>
              <w:t>Otras unidades de carbono externas y estado original</w:t>
            </w:r>
          </w:p>
        </w:tc>
        <w:tc>
          <w:tcPr>
            <w:tcW w:type="dxa" w:w="3390"/>
            <w:vAlign w:val="center"/>
            <w:shd w:fill="F1F5F2"/>
          </w:tcPr>
          <w:p>
            <w:pPr>
              <w:keepNext/>
              <w:spacing w:after="20"/>
            </w:pPr>
            <w:r>
              <w:rPr>
                <w:rFonts w:ascii="Arial" w:hAnsi="Arial" w:eastAsia="Arial" w:cs="Arial"/>
                <w:b/>
                <w:color w:val="215F52"/>
                <w:sz w:val="17"/>
              </w:rPr>
              <w:t>Traslape, obligación restante y disposición receptora</w:t>
            </w:r>
          </w:p>
        </w:tc>
      </w:tr>
      <w:tr>
        <w:trPr>
          <w:trHeight w:val="442" w:hRule="atLeast"/>
        </w:trPr>
        <w:tc>
          <w:tcPr>
            <w:tcW w:type="dxa" w:w="2778"/>
            <w:vAlign w:val="top"/>
          </w:tcPr>
          <w:p>
            <w:pPr>
              <w:keepNext w:val="0"/>
              <w:spacing w:after="20"/>
            </w:pPr>
            <w:sdt>
              <w:sdtPr>
                <w:id w:val="1880"/>
                <w:alias w:val="MR-23-T02-R1-C1"/>
                <w:tag w:val="MR-23-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881"/>
                <w:alias w:val="MR-23-T02-R1-C2"/>
                <w:tag w:val="MR-23-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882"/>
                <w:alias w:val="MR-23-T02-R1-C3"/>
                <w:tag w:val="MR-23-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83"/>
                <w:alias w:val="MR-23-T02-R2-C1"/>
                <w:tag w:val="MR-23-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884"/>
                <w:alias w:val="MR-23-T02-R2-C2"/>
                <w:tag w:val="MR-23-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885"/>
                <w:alias w:val="MR-23-T02-R2-C3"/>
                <w:tag w:val="MR-23-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86"/>
                <w:alias w:val="MR-23-T02-R3-C1"/>
                <w:tag w:val="MR-23-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887"/>
                <w:alias w:val="MR-23-T02-R3-C2"/>
                <w:tag w:val="MR-23-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888"/>
                <w:alias w:val="MR-23-T02-R3-C3"/>
                <w:tag w:val="MR-23-T02-R3-C3"/>
                <w:text w:multiLine="1"/>
              </w:sdtPr>
              <w:sdtContent>
                <w:r>
                  <w:rPr>
                    <w:rFonts w:ascii="Arial" w:hAnsi="Arial"/>
                    <w:color w:val="62716E"/>
                    <w:sz w:val="18"/>
                  </w:rPr>
                  <w:t>[Completar]</w:t>
                </w:r>
              </w:sdtContent>
            </w:sdt>
          </w:p>
        </w:tc>
      </w:tr>
    </w:tbl>
    <w:p>
      <w:pPr>
        <w:spacing w:after="20" w:before="0" w:line="40" w:lineRule="exact"/>
      </w:pPr>
      <w:r>
        <w:rPr>
          <w:sz w:val="4"/>
        </w:rPr>
      </w:r>
    </w:p>
    <w:p>
      <w:pPr>
        <w:spacing w:after="100"/>
      </w:pPr>
      <w:r>
        <w:rPr>
          <w:rFonts w:ascii="Arial" w:hAnsi="Arial" w:eastAsia="Arial" w:cs="Arial"/>
          <w:b w:val="0"/>
          <w:color w:val="243A36"/>
          <w:sz w:val="19"/>
        </w:rPr>
        <w:t>La cancelación por sí sola no autoriza emisión de reemplazo. Conservar un mapa histórico calificado no exime de evidencia ni unicidad. Utilizar una sola vez el mismo resultado subyacente.</w:t>
      </w:r>
    </w:p>
    <w:p>
      <w:bookmarkStart w:id="557" w:name="MR_24"/>
      <w:pPr>
        <w:pStyle w:val="Heading1"/>
        <w:keepNext/>
        <w:pageBreakBefore/>
      </w:pPr>
      <w:r>
        <w:rPr>
          <w:rFonts w:ascii="Arial" w:hAnsi="Arial" w:eastAsia="Arial" w:cs="Arial"/>
          <w:b w:val="0"/>
          <w:color w:val="215F52"/>
          <w:sz w:val="38"/>
        </w:rPr>
        <w:t>24  Solicitud de NVEU y límites de afirmaciones</w:t>
      </w:r>
      <w:bookmarkEnd w:id="557"/>
    </w:p>
    <w:p>
      <w:pPr>
        <w:keepNext/>
        <w:spacing w:after="100"/>
      </w:pPr>
      <w:r>
        <w:rPr>
          <w:rFonts w:ascii="Arial" w:hAnsi="Arial" w:eastAsia="Arial" w:cs="Arial"/>
          <w:b w:val="0"/>
          <w:color w:val="62716E"/>
          <w:sz w:val="16"/>
        </w:rPr>
        <w:t>[1] U-01; U-02; U-03; U-05; U-07; F-R04; P-09; P-11; FRM-06</w:t>
      </w:r>
    </w:p>
    <w:p>
      <w:pPr>
        <w:spacing w:after="100"/>
      </w:pPr>
      <w:r>
        <w:rPr>
          <w:rFonts w:ascii="Arial" w:hAnsi="Arial" w:eastAsia="Arial" w:cs="Arial"/>
          <w:b w:val="0"/>
          <w:color w:val="243A36"/>
          <w:sz w:val="19"/>
        </w:rPr>
        <w:t>Identificar si se solicita solo evaluación de resultados ambientales o también una decisión NVEU posterior. Indicar categoría, denominación, precisión, afirmación permitida y aprobación rectora cuando existan. Mantener pendiente una categoría no aprobada y reportar magnitudes físicas.</w:t>
      </w:r>
    </w:p>
    <w:p>
      <w:pPr>
        <w:keepNext/>
        <w:spacing w:after="100"/>
      </w:pPr>
      <w:r>
        <w:rPr>
          <w:rFonts w:ascii="Arial" w:hAnsi="Arial" w:eastAsia="Arial" w:cs="Arial"/>
          <w:b/>
          <w:color w:val="215F52"/>
          <w:sz w:val="20"/>
        </w:rPr>
        <w:t>MR-24-T01 / Cálculo condicional de categoría</w:t>
      </w:r>
    </w:p>
    <w:p>
      <w:pPr>
        <w:keepNext/>
        <w:spacing w:after="100"/>
      </w:pPr>
      <w:r>
        <w:rPr>
          <w:rFonts w:ascii="Arial" w:hAnsi="Arial" w:eastAsia="Arial" w:cs="Arial"/>
          <w:b/>
          <w:color w:val="215F52"/>
          <w:sz w:val="17"/>
        </w:rPr>
        <w:t>MR-24-T01 / Notación de cálculo</w:t>
      </w:r>
    </w:p>
    <w:p>
      <w:pPr>
        <w:keepNext/>
        <w:spacing w:after="60" w:before="20"/>
        <w:jc w:val="center"/>
      </w:pPr>
      <m:oMath>
        <m:sSubSup>
          <m:e>
            <m:r>
              <w:rPr>
                <w:sz w:val="20"/>
                <w:rFonts w:ascii="Cambria Math" w:hAnsi="Cambria Math"/>
              </w:rPr>
              <m:t>n</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r>
              <w:rPr>
                <w:sz w:val="20"/>
                <w:rFonts w:ascii="Cambria Math" w:hAnsi="Cambria Math"/>
              </w:rPr>
              <m:rPr>
                <m:sty m:val="p"/>
              </m:rPr>
              <m:t>i</m:t>
            </m:r>
            <m:r>
              <w:rPr>
                <w:sz w:val="20"/>
                <w:rFonts w:ascii="Cambria Math" w:hAnsi="Cambria Math"/>
              </w:rPr>
              <m:rPr>
                <m:sty m:val="p"/>
              </m:rPr>
              <m:t>d</m:t>
            </m:r>
            <m:r>
              <w:rPr>
                <w:sz w:val="20"/>
                <w:rFonts w:ascii="Cambria Math" w:hAnsi="Cambria Math"/>
              </w:rPr>
              <m:rPr>
                <m:sty m:val="p"/>
              </m:rPr>
              <m:t>a</m:t>
            </m:r>
            <m:r>
              <w:rPr>
                <w:sz w:val="20"/>
                <w:rFonts w:ascii="Cambria Math" w:hAnsi="Cambria Math"/>
              </w:rPr>
              <m:rPr>
                <m:sty m:val="p"/>
              </m:rPr>
              <m:t>t</m:t>
            </m:r>
            <m:r>
              <w:rPr>
                <w:sz w:val="20"/>
                <w:rFonts w:ascii="Cambria Math" w:hAnsi="Cambria Math"/>
              </w:rPr>
              <m:rPr>
                <m:sty m:val="p"/>
              </m:rPr>
              <m:t>e</m:t>
            </m:r>
          </m:sup>
        </m:sSubSup>
        <m:r>
          <w:rPr>
            <w:sz w:val="20"/>
            <w:rFonts w:ascii="Cambria Math" w:hAnsi="Cambria Math"/>
          </w:rPr>
          <m:rPr>
            <m:sty m:val="p"/>
          </m:rPr>
          <m:t>=</m:t>
        </m:r>
        <m:f>
          <m:fPr>
            <m:type m:val="bar"/>
          </m:fPr>
          <m:num>
            <m:sSubSup>
              <m:e>
                <m:r>
                  <w:rPr>
                    <w:sz w:val="20"/>
                    <w:rFonts w:ascii="Cambria Math" w:hAnsi="Cambria Math"/>
                  </w:rPr>
                  <m:t>J</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num>
          <m:den>
            <m:sSub>
              <m:e>
                <m:r>
                  <w:rPr>
                    <w:sz w:val="20"/>
                    <w:rFonts w:ascii="Cambria Math" w:hAnsi="Cambria Math"/>
                  </w:rPr>
                  <m:t>d</m:t>
                </m:r>
              </m:e>
              <m:sub>
                <m:r>
                  <w:rPr>
                    <w:sz w:val="20"/>
                    <w:rFonts w:ascii="Cambria Math" w:hAnsi="Cambria Math"/>
                  </w:rPr>
                  <m:t>u</m:t>
                </m:r>
              </m:sub>
            </m:sSub>
          </m:den>
        </m:f>
        <m:r>
          <w:rPr>
            <w:sz w:val="20"/>
            <w:rFonts w:ascii="Cambria Math" w:hAnsi="Cambria Math"/>
          </w:rPr>
          <m:rPr>
            <m:sty m:val="p"/>
          </m:rPr>
          <m:t>,</m:t>
        </m:r>
        <m:r>
          <w:rPr>
            <w:sz w:val="20"/>
            <w:rFonts w:ascii="Cambria Math" w:hAnsi="Cambria Math"/>
          </w:rPr>
          <m:t>  </m:t>
        </m:r>
        <m:sSub>
          <m:e>
            <m:r>
              <w:rPr>
                <w:sz w:val="20"/>
                <w:rFonts w:ascii="Cambria Math" w:hAnsi="Cambria Math"/>
              </w:rPr>
              <m:t>d</m:t>
            </m:r>
          </m:e>
          <m:sub>
            <m:r>
              <w:rPr>
                <w:sz w:val="20"/>
                <w:rFonts w:ascii="Cambria Math" w:hAnsi="Cambria Math"/>
              </w:rPr>
              <m:t>u</m:t>
            </m:r>
          </m:sub>
        </m:sSub>
        <m:r>
          <w:rPr>
            <w:sz w:val="20"/>
            <w:rFonts w:ascii="Cambria Math" w:hAnsi="Cambria Math"/>
          </w:rPr>
          <m:rPr>
            <m:sty m:val="p"/>
          </m:rPr>
          <m:t>&gt;</m:t>
        </m:r>
        <m:r>
          <w:rPr>
            <w:sz w:val="20"/>
            <w:rFonts w:ascii="Cambria Math" w:hAnsi="Cambria Math"/>
          </w:rPr>
          <m:t>0</m:t>
        </m:r>
        <m:r>
          <w:rPr>
            <w:sz w:val="20"/>
            <w:rFonts w:ascii="Cambria Math" w:hAnsi="Cambria Math"/>
          </w:rPr>
          <m:rPr>
            <m:sty m:val="p"/>
          </m:rPr>
          <m:t>,</m:t>
        </m:r>
        <m:r>
          <w:rPr>
            <w:sz w:val="20"/>
            <w:rFonts w:ascii="Cambria Math" w:hAnsi="Cambria Math"/>
          </w:rPr>
          <m:t> </m:t>
        </m:r>
        <m:sSubSup>
          <m:e>
            <m:r>
              <w:rPr>
                <w:sz w:val="20"/>
                <w:rFonts w:ascii="Cambria Math" w:hAnsi="Cambria Math"/>
              </w:rPr>
              <m:t>J</m:t>
            </m:r>
          </m:e>
          <m:sub>
            <m:r>
              <w:rPr>
                <w:sz w:val="20"/>
                <w:rFonts w:ascii="Cambria Math" w:hAnsi="Cambria Math"/>
              </w:rPr>
              <m:t>t</m:t>
            </m:r>
          </m:sub>
          <m:sup>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n</m:t>
            </m:r>
            <m:r>
              <w:rPr>
                <w:sz w:val="20"/>
                <w:rFonts w:ascii="Cambria Math" w:hAnsi="Cambria Math"/>
              </w:rPr>
              <m:rPr>
                <m:sty m:val="p"/>
              </m:rPr>
              <m:t>d</m:t>
            </m:r>
          </m:sup>
        </m:sSubSup>
        <m:r>
          <w:rPr>
            <w:sz w:val="20"/>
            <w:rFonts w:ascii="Cambria Math" w:hAnsi="Cambria Math"/>
          </w:rPr>
          <m:rPr>
            <m:sty m:val="p"/>
          </m:rPr>
          <m:t>≥</m:t>
        </m:r>
        <m:r>
          <w:rPr>
            <w:sz w:val="20"/>
            <w:rFonts w:ascii="Cambria Math" w:hAnsi="Cambria Math"/>
          </w:rPr>
          <m:t>0</m:t>
        </m:r>
      </m:oMath>
    </w:p>
    <w:p>
      <w:pPr>
        <w:keepNext/>
        <w:spacing w:after="60"/>
      </w:pPr>
      <w:r>
        <w:rPr>
          <w:rFonts w:ascii="Arial" w:hAnsi="Arial" w:eastAsia="Arial" w:cs="Arial"/>
          <w:b w:val="0"/>
          <w:color w:val="215F52"/>
          <w:sz w:val="17"/>
        </w:rPr>
        <w:t>d_u es t CO2e por NVEU de categoría especificada. El cociente es conteo candidato, no emisión ni equivalencia con otras unidades de carbono externas. No se supone d_u ni regla de unidades enteras. Falta de autorización de categoría bloquea conteo.</w:t>
      </w:r>
    </w:p>
    <w:p>
      <w:pPr>
        <w:keepNext/>
        <w:spacing w:after="80"/>
      </w:pPr>
      <w:r>
        <w:rPr>
          <w:rFonts w:ascii="Arial" w:hAnsi="Arial" w:eastAsia="Arial" w:cs="Arial"/>
          <w:b w:val="0"/>
          <w:color w:val="62716E"/>
          <w:sz w:val="16"/>
        </w:rPr>
        <w:t>Base: F-R04; U-01. Ubicación del cálculo: Results!F:H; Profile!B7:B10.</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Categoría / período / soporte</w:t>
            </w:r>
          </w:p>
        </w:tc>
        <w:tc>
          <w:tcPr>
            <w:tcW w:type="dxa" w:w="3572"/>
            <w:vAlign w:val="center"/>
            <w:shd w:fill="F1F5F2"/>
          </w:tcPr>
          <w:p>
            <w:pPr>
              <w:keepNext/>
              <w:spacing w:after="20"/>
            </w:pPr>
            <w:r>
              <w:rPr>
                <w:rFonts w:ascii="Arial" w:hAnsi="Arial" w:eastAsia="Arial" w:cs="Arial"/>
                <w:b/>
                <w:color w:val="215F52"/>
                <w:sz w:val="17"/>
              </w:rPr>
              <w:t>Masa candidata, denominación y número de NVEU</w:t>
            </w:r>
          </w:p>
        </w:tc>
        <w:tc>
          <w:tcPr>
            <w:tcW w:type="dxa" w:w="3390"/>
            <w:vAlign w:val="center"/>
            <w:shd w:fill="F1F5F2"/>
          </w:tcPr>
          <w:p>
            <w:pPr>
              <w:keepNext/>
              <w:spacing w:after="20"/>
            </w:pPr>
            <w:r>
              <w:rPr>
                <w:rFonts w:ascii="Arial" w:hAnsi="Arial" w:eastAsia="Arial" w:cs="Arial"/>
                <w:b/>
                <w:color w:val="215F52"/>
                <w:sz w:val="17"/>
              </w:rPr>
              <w:t>Aprobación, redondeo/residuo y celda exacta</w:t>
            </w:r>
          </w:p>
        </w:tc>
      </w:tr>
      <w:tr>
        <w:trPr>
          <w:trHeight w:val="442" w:hRule="atLeast"/>
        </w:trPr>
        <w:tc>
          <w:tcPr>
            <w:tcW w:type="dxa" w:w="2778"/>
            <w:vAlign w:val="top"/>
          </w:tcPr>
          <w:p>
            <w:pPr>
              <w:keepNext w:val="0"/>
              <w:spacing w:after="20"/>
            </w:pPr>
            <w:sdt>
              <w:sdtPr>
                <w:id w:val="1889"/>
                <w:alias w:val="MR-24-T01-R1-C1"/>
                <w:tag w:val="MR-24-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890"/>
                <w:alias w:val="MR-24-T01-R1-C2"/>
                <w:tag w:val="MR-24-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891"/>
                <w:alias w:val="MR-24-T01-R1-C3"/>
                <w:tag w:val="MR-24-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92"/>
                <w:alias w:val="MR-24-T01-R2-C1"/>
                <w:tag w:val="MR-24-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893"/>
                <w:alias w:val="MR-24-T01-R2-C2"/>
                <w:tag w:val="MR-24-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894"/>
                <w:alias w:val="MR-24-T01-R2-C3"/>
                <w:tag w:val="MR-24-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895"/>
                <w:alias w:val="MR-24-T01-R3-C1"/>
                <w:tag w:val="MR-24-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896"/>
                <w:alias w:val="MR-24-T01-R3-C2"/>
                <w:tag w:val="MR-24-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897"/>
                <w:alias w:val="MR-24-T01-R3-C3"/>
                <w:tag w:val="MR-24-T01-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MR-24-T02 / Estado reportado, verificado y autorizado</w:t>
      </w:r>
    </w:p>
    <w:p>
      <w:pPr>
        <w:keepNext/>
        <w:spacing w:after="100"/>
      </w:pPr>
      <w:r>
        <w:rPr>
          <w:rFonts w:ascii="Arial" w:hAnsi="Arial" w:eastAsia="Arial" w:cs="Arial"/>
          <w:b/>
          <w:color w:val="215F52"/>
          <w:sz w:val="17"/>
        </w:rPr>
        <w:t>MR-24-T02 / Notación de cálculo</w:t>
      </w:r>
    </w:p>
    <w:p>
      <w:pPr>
        <w:keepNext/>
        <w:spacing w:after="60" w:before="20"/>
        <w:jc w:val="center"/>
      </w:pPr>
      <m:oMath>
        <m:sSub>
          <m:e>
            <m:r>
              <w:rPr>
                <w:sz w:val="20"/>
                <w:rFonts w:ascii="Cambria Math" w:hAnsi="Cambria Math"/>
              </w:rPr>
              <m:t>x</m:t>
            </m:r>
          </m:e>
          <m:sub>
            <m:r>
              <w:rPr>
                <w:sz w:val="20"/>
                <w:rFonts w:ascii="Cambria Math" w:hAnsi="Cambria Math"/>
              </w:rPr>
              <m:rPr>
                <m:sty m:val="p"/>
              </m:rPr>
              <m:t>ℓ</m:t>
            </m:r>
          </m:sub>
        </m:sSub>
        <m:r>
          <w:rPr>
            <w:sz w:val="20"/>
            <w:rFonts w:ascii="Cambria Math" w:hAnsi="Cambria Math"/>
          </w:rPr>
          <m:t> </m:t>
        </m:r>
        <m:d>
          <m:dPr>
            <m:begChr m:val="["/>
            <m:endChr m:val="]"/>
            <m:sepChr m:val=""/>
            <m:grow/>
          </m:dPr>
          <m:e>
            <m:sSub>
              <m:e>
                <m:r>
                  <w:rPr>
                    <w:sz w:val="20"/>
                    <w:rFonts w:ascii="Cambria Math" w:hAnsi="Cambria Math"/>
                  </w:rPr>
                  <m:t>u</m:t>
                </m:r>
              </m:e>
              <m:sub>
                <m:r>
                  <w:rPr>
                    <w:sz w:val="20"/>
                    <w:rFonts w:ascii="Cambria Math" w:hAnsi="Cambria Math"/>
                  </w:rPr>
                  <m:rPr>
                    <m:sty m:val="p"/>
                  </m:rPr>
                  <m:t>ℓ</m:t>
                </m:r>
              </m:sub>
            </m:sSub>
          </m:e>
        </m:d>
      </m:oMath>
    </w:p>
    <w:p>
      <w:pPr>
        <w:keepNext/>
        <w:spacing w:after="60"/>
      </w:pPr>
      <w:r>
        <w:rPr>
          <w:rFonts w:ascii="Arial" w:hAnsi="Arial" w:eastAsia="Arial" w:cs="Arial"/>
          <w:b w:val="0"/>
          <w:color w:val="215F52"/>
          <w:sz w:val="17"/>
        </w:rPr>
        <w:t>x_l es la observación, entrada o salida identificada; u_l es su unidad declarada. Registrar ecuación exacta, archivo, hoja, celda/rango, período y estado. Esta notación no prescribe un estimador.</w:t>
      </w:r>
    </w:p>
    <w:p>
      <w:pPr>
        <w:keepNext/>
        <w:spacing w:after="80"/>
      </w:pPr>
      <w:r>
        <w:rPr>
          <w:rFonts w:ascii="Arial" w:hAnsi="Arial" w:eastAsia="Arial" w:cs="Arial"/>
          <w:b w:val="0"/>
          <w:color w:val="62716E"/>
          <w:sz w:val="16"/>
        </w:rPr>
        <w:t>Base: F-01; T-01. Ubicación del cálculo: Evidence!A:J; Components!F:L.</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Misma categoría / magnitud / unidad</w:t>
            </w:r>
          </w:p>
        </w:tc>
        <w:tc>
          <w:tcPr>
            <w:tcW w:type="dxa" w:w="3572"/>
            <w:vAlign w:val="center"/>
            <w:shd w:fill="F1F5F2"/>
          </w:tcPr>
          <w:p>
            <w:pPr>
              <w:keepNext/>
              <w:spacing w:after="20"/>
            </w:pPr>
            <w:r>
              <w:rPr>
                <w:rFonts w:ascii="Arial" w:hAnsi="Arial" w:eastAsia="Arial" w:cs="Arial"/>
                <w:b/>
                <w:color w:val="215F52"/>
                <w:sz w:val="17"/>
              </w:rPr>
              <w:t>Cantidades reportada / verificada / autorizada</w:t>
            </w:r>
          </w:p>
        </w:tc>
        <w:tc>
          <w:tcPr>
            <w:tcW w:type="dxa" w:w="3390"/>
            <w:vAlign w:val="center"/>
            <w:shd w:fill="F1F5F2"/>
          </w:tcPr>
          <w:p>
            <w:pPr>
              <w:keepNext/>
              <w:spacing w:after="20"/>
            </w:pPr>
            <w:r>
              <w:rPr>
                <w:rFonts w:ascii="Arial" w:hAnsi="Arial" w:eastAsia="Arial" w:cs="Arial"/>
                <w:b/>
                <w:color w:val="215F52"/>
                <w:sz w:val="17"/>
              </w:rPr>
              <w:t>Referencia de dictamen, decisión e historial</w:t>
            </w:r>
          </w:p>
        </w:tc>
      </w:tr>
      <w:tr>
        <w:trPr>
          <w:trHeight w:val="442" w:hRule="atLeast"/>
        </w:trPr>
        <w:tc>
          <w:tcPr>
            <w:tcW w:type="dxa" w:w="2778"/>
            <w:vAlign w:val="top"/>
          </w:tcPr>
          <w:p>
            <w:pPr>
              <w:keepNext w:val="0"/>
              <w:spacing w:after="20"/>
            </w:pPr>
            <w:sdt>
              <w:sdtPr>
                <w:id w:val="1898"/>
                <w:alias w:val="MR-24-T02-R1-C1"/>
                <w:tag w:val="MR-24-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899"/>
                <w:alias w:val="MR-24-T02-R1-C2"/>
                <w:tag w:val="MR-24-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900"/>
                <w:alias w:val="MR-24-T02-R1-C3"/>
                <w:tag w:val="MR-24-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901"/>
                <w:alias w:val="MR-24-T02-R2-C1"/>
                <w:tag w:val="MR-24-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902"/>
                <w:alias w:val="MR-24-T02-R2-C2"/>
                <w:tag w:val="MR-24-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903"/>
                <w:alias w:val="MR-24-T02-R2-C3"/>
                <w:tag w:val="MR-24-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904"/>
                <w:alias w:val="MR-24-T02-R3-C1"/>
                <w:tag w:val="MR-24-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905"/>
                <w:alias w:val="MR-24-T02-R3-C2"/>
                <w:tag w:val="MR-24-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906"/>
                <w:alias w:val="MR-24-T02-R3-C3"/>
                <w:tag w:val="MR-24-T02-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Conciliar solicitud con reconocimiento, uso, retiro, cancelación previos y obligaciones restantes. Separar cantidades solicitadas actuales de historia, reservas y residuos de denominación. Ningún estado cambia por aparecer una cantidad en el informe. Un dictamen o decisión pendiente permanece pendiente.</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907"/>
                <w:alias w:val="MR-response-61"/>
                <w:tag w:val="MR-response-61"/>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bookmarkStart w:id="574" w:name="MR_25"/>
      <w:pPr>
        <w:pStyle w:val="Heading1"/>
        <w:keepNext/>
        <w:pageBreakBefore/>
      </w:pPr>
      <w:r>
        <w:rPr>
          <w:rFonts w:ascii="Arial" w:hAnsi="Arial" w:eastAsia="Arial" w:cs="Arial"/>
          <w:b w:val="0"/>
          <w:color w:val="215F52"/>
          <w:sz w:val="38"/>
        </w:rPr>
        <w:t>25  Hallazgos, presentación y decisiones separadas</w:t>
      </w:r>
      <w:bookmarkEnd w:id="574"/>
    </w:p>
    <w:p>
      <w:pPr>
        <w:keepNext/>
        <w:spacing w:after="100"/>
      </w:pPr>
      <w:r>
        <w:rPr>
          <w:rFonts w:ascii="Arial" w:hAnsi="Arial" w:eastAsia="Arial" w:cs="Arial"/>
          <w:b w:val="0"/>
          <w:color w:val="62716E"/>
          <w:sz w:val="16"/>
        </w:rPr>
        <w:t>[1] S-15; S-16; S-22; P-05; P-06; P-09; P-14; A-12; A-13; FRM-03; FRM-06</w:t>
      </w:r>
    </w:p>
    <w:p>
      <w:pPr>
        <w:keepNext/>
        <w:spacing w:after="100"/>
      </w:pPr>
      <w:r>
        <w:rPr>
          <w:rFonts w:ascii="Arial" w:hAnsi="Arial" w:eastAsia="Arial" w:cs="Arial"/>
          <w:b/>
          <w:color w:val="215F52"/>
          <w:sz w:val="20"/>
        </w:rPr>
        <w:t>MR-25-T01 / Hallazgos y cierre independiente</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Requisito / hallazgo / alcance afectado</w:t>
            </w:r>
          </w:p>
        </w:tc>
        <w:tc>
          <w:tcPr>
            <w:tcW w:type="dxa" w:w="3572"/>
            <w:vAlign w:val="center"/>
            <w:shd w:fill="F1F5F2"/>
          </w:tcPr>
          <w:p>
            <w:pPr>
              <w:keepNext/>
              <w:spacing w:after="20"/>
            </w:pPr>
            <w:r>
              <w:rPr>
                <w:rFonts w:ascii="Arial" w:hAnsi="Arial" w:eastAsia="Arial" w:cs="Arial"/>
                <w:b/>
                <w:color w:val="215F52"/>
                <w:sz w:val="17"/>
              </w:rPr>
              <w:t>Respuesta, evidencia corregida y fecha</w:t>
            </w:r>
          </w:p>
        </w:tc>
        <w:tc>
          <w:tcPr>
            <w:tcW w:type="dxa" w:w="3390"/>
            <w:vAlign w:val="center"/>
            <w:shd w:fill="F1F5F2"/>
          </w:tcPr>
          <w:p>
            <w:pPr>
              <w:keepNext/>
              <w:spacing w:after="20"/>
            </w:pPr>
            <w:r>
              <w:rPr>
                <w:rFonts w:ascii="Arial" w:hAnsi="Arial" w:eastAsia="Arial" w:cs="Arial"/>
                <w:b/>
                <w:color w:val="215F52"/>
                <w:sz w:val="17"/>
              </w:rPr>
              <w:t>Evaluación no involucrada, cierre y condición restante</w:t>
            </w:r>
          </w:p>
        </w:tc>
      </w:tr>
      <w:tr>
        <w:trPr>
          <w:trHeight w:val="442" w:hRule="atLeast"/>
        </w:trPr>
        <w:tc>
          <w:tcPr>
            <w:tcW w:type="dxa" w:w="2778"/>
            <w:vAlign w:val="top"/>
          </w:tcPr>
          <w:p>
            <w:pPr>
              <w:keepNext w:val="0"/>
              <w:spacing w:after="20"/>
            </w:pPr>
            <w:sdt>
              <w:sdtPr>
                <w:id w:val="1908"/>
                <w:alias w:val="MR-25-T01-R1-C1"/>
                <w:tag w:val="MR-25-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909"/>
                <w:alias w:val="MR-25-T01-R1-C2"/>
                <w:tag w:val="MR-25-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910"/>
                <w:alias w:val="MR-25-T01-R1-C3"/>
                <w:tag w:val="MR-25-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911"/>
                <w:alias w:val="MR-25-T01-R2-C1"/>
                <w:tag w:val="MR-25-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912"/>
                <w:alias w:val="MR-25-T01-R2-C2"/>
                <w:tag w:val="MR-25-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913"/>
                <w:alias w:val="MR-25-T01-R2-C3"/>
                <w:tag w:val="MR-25-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914"/>
                <w:alias w:val="MR-25-T01-R3-C1"/>
                <w:tag w:val="MR-25-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915"/>
                <w:alias w:val="MR-25-T01-R3-C2"/>
                <w:tag w:val="MR-25-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916"/>
                <w:alias w:val="MR-25-T01-R3-C3"/>
                <w:tag w:val="MR-25-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917"/>
                <w:alias w:val="MR-25-T01-R4-C1"/>
                <w:tag w:val="MR-25-T01-R4-C1"/>
                <w:text w:multiLine="1"/>
              </w:sdtPr>
              <w:sdtContent>
                <w:r>
                  <w:rPr>
                    <w:rFonts w:ascii="Arial" w:hAnsi="Arial"/>
                    <w:color w:val="62716E"/>
                    <w:sz w:val="18"/>
                  </w:rPr>
                  <w:t>[Completar]</w:t>
                </w:r>
              </w:sdtContent>
            </w:sdt>
          </w:p>
        </w:tc>
        <w:tc>
          <w:tcPr>
            <w:tcW w:type="dxa" w:w="3572"/>
            <w:vAlign w:val="top"/>
          </w:tcPr>
          <w:p>
            <w:pPr>
              <w:keepNext w:val="0"/>
              <w:spacing w:after="20"/>
            </w:pPr>
            <w:sdt>
              <w:sdtPr>
                <w:id w:val="1918"/>
                <w:alias w:val="MR-25-T01-R4-C2"/>
                <w:tag w:val="MR-25-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919"/>
                <w:alias w:val="MR-25-T01-R4-C3"/>
                <w:tag w:val="MR-25-T01-R4-C3"/>
                <w:text w:multiLine="1"/>
              </w:sdtPr>
              <w:sdtContent>
                <w:r>
                  <w:rPr>
                    <w:rFonts w:ascii="Arial" w:hAnsi="Arial"/>
                    <w:color w:val="62716E"/>
                    <w:sz w:val="18"/>
                  </w:rPr>
                  <w:t>[Completar]</w:t>
                </w:r>
              </w:sdtContent>
            </w:sdt>
          </w:p>
        </w:tc>
      </w:tr>
    </w:tbl>
    <w:p>
      <w:pPr>
        <w:spacing w:after="20" w:before="0" w:line="40" w:lineRule="exact"/>
      </w:pPr>
      <w:r>
        <w:rPr>
          <w:sz w:val="4"/>
        </w:rPr>
      </w:r>
    </w:p>
    <w:p>
      <w:pPr>
        <w:spacing w:after="100"/>
      </w:pPr>
      <w:r>
        <w:rPr>
          <w:rFonts w:ascii="Arial" w:hAnsi="Arial" w:eastAsia="Arial" w:cs="Arial"/>
          <w:b w:val="0"/>
          <w:color w:val="243A36"/>
          <w:sz w:val="19"/>
        </w:rPr>
        <w:t>Conservar hallazgo original, respuesta y disposición independiente. Respuesta completa o acción futura no cierran asunto material de la afirmación actual. Identificar por referencia materialidad y alcance aprobados, credenciales reales del OVV y acceso.</w:t>
      </w:r>
    </w:p>
    <w:p>
      <w:pPr>
        <w:keepNext/>
        <w:spacing w:after="100"/>
      </w:pPr>
      <w:r>
        <w:rPr>
          <w:rFonts w:ascii="Arial" w:hAnsi="Arial" w:eastAsia="Arial" w:cs="Arial"/>
          <w:b/>
          <w:color w:val="215F52"/>
          <w:sz w:val="20"/>
        </w:rPr>
        <w:t>MR-25-T02 / Referencias de presentación y decisión</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Rol / registro</w:t>
            </w:r>
          </w:p>
        </w:tc>
        <w:tc>
          <w:tcPr>
            <w:tcW w:type="dxa" w:w="3572"/>
            <w:vAlign w:val="center"/>
            <w:shd w:fill="F1F5F2"/>
          </w:tcPr>
          <w:p>
            <w:pPr>
              <w:keepNext/>
              <w:spacing w:after="20"/>
            </w:pPr>
            <w:r>
              <w:rPr>
                <w:rFonts w:ascii="Arial" w:hAnsi="Arial" w:eastAsia="Arial" w:cs="Arial"/>
                <w:b/>
                <w:color w:val="215F52"/>
                <w:sz w:val="17"/>
              </w:rPr>
              <w:t>Nombre, fecha, firma o referencia firmada</w:t>
            </w:r>
          </w:p>
        </w:tc>
        <w:tc>
          <w:tcPr>
            <w:tcW w:type="dxa" w:w="3390"/>
            <w:vAlign w:val="center"/>
            <w:shd w:fill="F1F5F2"/>
          </w:tcPr>
          <w:p>
            <w:pPr>
              <w:keepNext/>
              <w:spacing w:after="20"/>
            </w:pPr>
            <w:r>
              <w:rPr>
                <w:rFonts w:ascii="Arial" w:hAnsi="Arial" w:eastAsia="Arial" w:cs="Arial"/>
                <w:b/>
                <w:color w:val="215F52"/>
                <w:sz w:val="17"/>
              </w:rPr>
              <w:t>Alcance y estado</w:t>
            </w:r>
          </w:p>
        </w:tc>
      </w:tr>
      <w:tr>
        <w:trPr>
          <w:trHeight w:val="442" w:hRule="atLeast"/>
        </w:trPr>
        <w:tc>
          <w:tcPr>
            <w:tcW w:type="dxa" w:w="2778"/>
            <w:vAlign w:val="top"/>
          </w:tcPr>
          <w:p>
            <w:pPr>
              <w:keepNext w:val="0"/>
              <w:spacing w:after="20"/>
            </w:pPr>
            <w:r>
              <w:rPr>
                <w:rFonts w:ascii="Arial" w:hAnsi="Arial" w:eastAsia="Arial" w:cs="Arial"/>
                <w:b w:val="0"/>
                <w:color w:val="243A36"/>
                <w:sz w:val="17"/>
              </w:rPr>
              <w:t>Elaboró: responsable técnico NEBIOT</w:t>
            </w:r>
          </w:p>
        </w:tc>
        <w:tc>
          <w:tcPr>
            <w:tcW w:type="dxa" w:w="3572"/>
            <w:vAlign w:val="top"/>
          </w:tcPr>
          <w:p>
            <w:pPr>
              <w:keepNext w:val="0"/>
              <w:spacing w:after="20"/>
            </w:pPr>
            <w:sdt>
              <w:sdtPr>
                <w:id w:val="1920"/>
                <w:alias w:val="MR-25-T02-R1-C2"/>
                <w:tag w:val="MR-25-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921"/>
                <w:alias w:val="MR-25-T02-R1-C3"/>
                <w:tag w:val="MR-25-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Presentó: proponente responsable</w:t>
            </w:r>
          </w:p>
        </w:tc>
        <w:tc>
          <w:tcPr>
            <w:tcW w:type="dxa" w:w="3572"/>
            <w:vAlign w:val="top"/>
          </w:tcPr>
          <w:p>
            <w:pPr>
              <w:keepNext w:val="0"/>
              <w:spacing w:after="20"/>
            </w:pPr>
            <w:sdt>
              <w:sdtPr>
                <w:id w:val="1922"/>
                <w:alias w:val="MR-25-T02-R2-C2"/>
                <w:tag w:val="MR-25-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923"/>
                <w:alias w:val="MR-25-T02-R2-C3"/>
                <w:tag w:val="MR-25-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Revisión interna: competente no involucrado</w:t>
            </w:r>
          </w:p>
        </w:tc>
        <w:tc>
          <w:tcPr>
            <w:tcW w:type="dxa" w:w="3572"/>
            <w:vAlign w:val="top"/>
          </w:tcPr>
          <w:p>
            <w:pPr>
              <w:keepNext w:val="0"/>
              <w:spacing w:after="20"/>
            </w:pPr>
            <w:sdt>
              <w:sdtPr>
                <w:id w:val="1924"/>
                <w:alias w:val="MR-25-T02-R3-C2"/>
                <w:tag w:val="MR-25-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925"/>
                <w:alias w:val="MR-25-T02-R3-C3"/>
                <w:tag w:val="MR-25-T02-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r>
              <w:rPr>
                <w:rFonts w:ascii="Arial" w:hAnsi="Arial" w:eastAsia="Arial" w:cs="Arial"/>
                <w:b w:val="0"/>
                <w:color w:val="243A36"/>
                <w:sz w:val="17"/>
              </w:rPr>
              <w:t>Dictamen OVV / decisión del programa, al emitirse</w:t>
            </w:r>
          </w:p>
        </w:tc>
        <w:tc>
          <w:tcPr>
            <w:tcW w:type="dxa" w:w="3572"/>
            <w:vAlign w:val="top"/>
          </w:tcPr>
          <w:p>
            <w:pPr>
              <w:keepNext w:val="0"/>
              <w:spacing w:after="20"/>
            </w:pPr>
            <w:sdt>
              <w:sdtPr>
                <w:id w:val="1926"/>
                <w:alias w:val="MR-25-T02-R4-C2"/>
                <w:tag w:val="MR-25-T02-R4-C2"/>
                <w:text w:multiLine="1"/>
              </w:sdtPr>
              <w:sdtContent>
                <w:r>
                  <w:rPr>
                    <w:rFonts w:ascii="Arial" w:hAnsi="Arial"/>
                    <w:color w:val="62716E"/>
                    <w:sz w:val="18"/>
                  </w:rPr>
                  <w:t>[Completar]</w:t>
                </w:r>
              </w:sdtContent>
            </w:sdt>
          </w:p>
        </w:tc>
        <w:tc>
          <w:tcPr>
            <w:tcW w:type="dxa" w:w="3390"/>
            <w:vAlign w:val="top"/>
          </w:tcPr>
          <w:p>
            <w:pPr>
              <w:keepNext w:val="0"/>
              <w:spacing w:after="20"/>
            </w:pPr>
            <w:sdt>
              <w:sdtPr>
                <w:id w:val="1927"/>
                <w:alias w:val="MR-25-T02-R4-C3"/>
                <w:tag w:val="MR-25-T02-R4-C3"/>
                <w:text w:multiLine="1"/>
              </w:sdtPr>
              <w:sdtContent>
                <w:r>
                  <w:rPr>
                    <w:rFonts w:ascii="Arial" w:hAnsi="Arial"/>
                    <w:color w:val="62716E"/>
                    <w:sz w:val="18"/>
                  </w:rPr>
                  <w:t>[Completar]</w:t>
                </w:r>
              </w:sdtContent>
            </w:sdt>
          </w:p>
        </w:tc>
      </w:tr>
    </w:tbl>
    <w:p>
      <w:pPr>
        <w:spacing w:after="20" w:before="0" w:line="40" w:lineRule="exact"/>
      </w:pPr>
      <w:r>
        <w:rPr>
          <w:sz w:val="4"/>
        </w:rPr>
      </w:r>
    </w:p>
    <w:p>
      <w:pPr>
        <w:spacing w:after="100"/>
      </w:pPr>
      <w:r>
        <w:rPr>
          <w:rFonts w:ascii="Arial" w:hAnsi="Arial" w:eastAsia="Arial" w:cs="Arial"/>
          <w:b w:val="0"/>
          <w:color w:val="243A36"/>
          <w:sz w:val="19"/>
        </w:rPr>
        <w:t>La última fila remite a registro emitido por separado; no autoriza al elaborador a firmar por el OVV o autoridad del programa. Indicar evaluación pendiente. Mantener separadas cantidades reportadas, verificadas y autorizadas.</w:t>
      </w:r>
    </w:p>
    <w:p>
      <w:bookmarkStart w:id="582" w:name="MR_26"/>
      <w:pPr>
        <w:pStyle w:val="Heading1"/>
        <w:keepNext/>
        <w:pageBreakBefore/>
      </w:pPr>
      <w:r>
        <w:rPr>
          <w:rFonts w:ascii="Arial" w:hAnsi="Arial" w:eastAsia="Arial" w:cs="Arial"/>
          <w:b w:val="0"/>
          <w:color w:val="215F52"/>
          <w:sz w:val="38"/>
        </w:rPr>
        <w:t>26  Entrega de evidencia y acciones del período siguiente</w:t>
      </w:r>
      <w:bookmarkEnd w:id="582"/>
    </w:p>
    <w:p>
      <w:pPr>
        <w:keepNext/>
        <w:spacing w:after="100"/>
      </w:pPr>
      <w:r>
        <w:rPr>
          <w:rFonts w:ascii="Arial" w:hAnsi="Arial" w:eastAsia="Arial" w:cs="Arial"/>
          <w:b w:val="0"/>
          <w:color w:val="62716E"/>
          <w:sz w:val="16"/>
        </w:rPr>
        <w:t>[1] P-04; P-10; P-12; AO-08; CYC-06; S-18; FRM-02; FRM-06</w:t>
      </w:r>
    </w:p>
    <w:p>
      <w:pPr>
        <w:keepNext/>
        <w:spacing w:after="100"/>
      </w:pPr>
      <w:r>
        <w:rPr>
          <w:rFonts w:ascii="Arial" w:hAnsi="Arial" w:eastAsia="Arial" w:cs="Arial"/>
          <w:b/>
          <w:color w:val="215F52"/>
          <w:sz w:val="20"/>
        </w:rPr>
        <w:t>MR-26-T01 / Índice de evidencia y anexos</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ID / documento / versión / huella</w:t>
            </w:r>
          </w:p>
        </w:tc>
        <w:tc>
          <w:tcPr>
            <w:tcW w:type="dxa" w:w="3572"/>
            <w:vAlign w:val="center"/>
            <w:shd w:fill="F1F5F2"/>
          </w:tcPr>
          <w:p>
            <w:pPr>
              <w:keepNext/>
              <w:spacing w:after="20"/>
            </w:pPr>
            <w:r>
              <w:rPr>
                <w:rFonts w:ascii="Arial" w:hAnsi="Arial" w:eastAsia="Arial" w:cs="Arial"/>
                <w:b/>
                <w:color w:val="215F52"/>
                <w:sz w:val="17"/>
              </w:rPr>
              <w:t>Registro, sección, hoja o rango exactos</w:t>
            </w:r>
          </w:p>
        </w:tc>
        <w:tc>
          <w:tcPr>
            <w:tcW w:type="dxa" w:w="3390"/>
            <w:vAlign w:val="center"/>
            <w:shd w:fill="F1F5F2"/>
          </w:tcPr>
          <w:p>
            <w:pPr>
              <w:keepNext/>
              <w:spacing w:after="20"/>
            </w:pPr>
            <w:r>
              <w:rPr>
                <w:rFonts w:ascii="Arial" w:hAnsi="Arial" w:eastAsia="Arial" w:cs="Arial"/>
                <w:b/>
                <w:color w:val="215F52"/>
                <w:sz w:val="17"/>
              </w:rPr>
              <w:t>Custodio, acceso, conservación aprobada y uso</w:t>
            </w:r>
          </w:p>
        </w:tc>
      </w:tr>
      <w:tr>
        <w:trPr>
          <w:trHeight w:val="442" w:hRule="atLeast"/>
        </w:trPr>
        <w:tc>
          <w:tcPr>
            <w:tcW w:type="dxa" w:w="2778"/>
            <w:vAlign w:val="top"/>
          </w:tcPr>
          <w:p>
            <w:pPr>
              <w:keepNext w:val="0"/>
              <w:spacing w:after="20"/>
            </w:pPr>
            <w:sdt>
              <w:sdtPr>
                <w:id w:val="1928"/>
                <w:alias w:val="MR-26-T01-R1-C1"/>
                <w:tag w:val="MR-26-T01-R1-C1"/>
                <w:text w:multiLine="1"/>
              </w:sdtPr>
              <w:sdtContent>
                <w:r>
                  <w:rPr>
                    <w:rFonts w:ascii="Arial" w:hAnsi="Arial"/>
                    <w:color w:val="62716E"/>
                    <w:sz w:val="18"/>
                  </w:rPr>
                  <w:t>[Completar]</w:t>
                </w:r>
              </w:sdtContent>
            </w:sdt>
          </w:p>
        </w:tc>
        <w:tc>
          <w:tcPr>
            <w:tcW w:type="dxa" w:w="3572"/>
            <w:vAlign w:val="top"/>
          </w:tcPr>
          <w:p>
            <w:pPr>
              <w:keepNext w:val="0"/>
              <w:spacing w:after="20"/>
            </w:pPr>
            <w:sdt>
              <w:sdtPr>
                <w:id w:val="1929"/>
                <w:alias w:val="MR-26-T01-R1-C2"/>
                <w:tag w:val="MR-26-T01-R1-C2"/>
                <w:text w:multiLine="1"/>
              </w:sdtPr>
              <w:sdtContent>
                <w:r>
                  <w:rPr>
                    <w:rFonts w:ascii="Arial" w:hAnsi="Arial"/>
                    <w:color w:val="62716E"/>
                    <w:sz w:val="18"/>
                  </w:rPr>
                  <w:t>[Completar]</w:t>
                </w:r>
              </w:sdtContent>
            </w:sdt>
          </w:p>
        </w:tc>
        <w:tc>
          <w:tcPr>
            <w:tcW w:type="dxa" w:w="3390"/>
            <w:vAlign w:val="top"/>
          </w:tcPr>
          <w:p>
            <w:pPr>
              <w:keepNext w:val="0"/>
              <w:spacing w:after="20"/>
            </w:pPr>
            <w:sdt>
              <w:sdtPr>
                <w:id w:val="1930"/>
                <w:alias w:val="MR-26-T01-R1-C3"/>
                <w:tag w:val="MR-26-T01-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931"/>
                <w:alias w:val="MR-26-T01-R2-C1"/>
                <w:tag w:val="MR-26-T01-R2-C1"/>
                <w:text w:multiLine="1"/>
              </w:sdtPr>
              <w:sdtContent>
                <w:r>
                  <w:rPr>
                    <w:rFonts w:ascii="Arial" w:hAnsi="Arial"/>
                    <w:color w:val="62716E"/>
                    <w:sz w:val="18"/>
                  </w:rPr>
                  <w:t>[Completar]</w:t>
                </w:r>
              </w:sdtContent>
            </w:sdt>
          </w:p>
        </w:tc>
        <w:tc>
          <w:tcPr>
            <w:tcW w:type="dxa" w:w="3572"/>
            <w:vAlign w:val="top"/>
          </w:tcPr>
          <w:p>
            <w:pPr>
              <w:keepNext w:val="0"/>
              <w:spacing w:after="20"/>
            </w:pPr>
            <w:sdt>
              <w:sdtPr>
                <w:id w:val="1932"/>
                <w:alias w:val="MR-26-T01-R2-C2"/>
                <w:tag w:val="MR-26-T01-R2-C2"/>
                <w:text w:multiLine="1"/>
              </w:sdtPr>
              <w:sdtContent>
                <w:r>
                  <w:rPr>
                    <w:rFonts w:ascii="Arial" w:hAnsi="Arial"/>
                    <w:color w:val="62716E"/>
                    <w:sz w:val="18"/>
                  </w:rPr>
                  <w:t>[Completar]</w:t>
                </w:r>
              </w:sdtContent>
            </w:sdt>
          </w:p>
        </w:tc>
        <w:tc>
          <w:tcPr>
            <w:tcW w:type="dxa" w:w="3390"/>
            <w:vAlign w:val="top"/>
          </w:tcPr>
          <w:p>
            <w:pPr>
              <w:keepNext w:val="0"/>
              <w:spacing w:after="20"/>
            </w:pPr>
            <w:sdt>
              <w:sdtPr>
                <w:id w:val="1933"/>
                <w:alias w:val="MR-26-T01-R2-C3"/>
                <w:tag w:val="MR-26-T01-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934"/>
                <w:alias w:val="MR-26-T01-R3-C1"/>
                <w:tag w:val="MR-26-T01-R3-C1"/>
                <w:text w:multiLine="1"/>
              </w:sdtPr>
              <w:sdtContent>
                <w:r>
                  <w:rPr>
                    <w:rFonts w:ascii="Arial" w:hAnsi="Arial"/>
                    <w:color w:val="62716E"/>
                    <w:sz w:val="18"/>
                  </w:rPr>
                  <w:t>[Completar]</w:t>
                </w:r>
              </w:sdtContent>
            </w:sdt>
          </w:p>
        </w:tc>
        <w:tc>
          <w:tcPr>
            <w:tcW w:type="dxa" w:w="3572"/>
            <w:vAlign w:val="top"/>
          </w:tcPr>
          <w:p>
            <w:pPr>
              <w:keepNext w:val="0"/>
              <w:spacing w:after="20"/>
            </w:pPr>
            <w:sdt>
              <w:sdtPr>
                <w:id w:val="1935"/>
                <w:alias w:val="MR-26-T01-R3-C2"/>
                <w:tag w:val="MR-26-T01-R3-C2"/>
                <w:text w:multiLine="1"/>
              </w:sdtPr>
              <w:sdtContent>
                <w:r>
                  <w:rPr>
                    <w:rFonts w:ascii="Arial" w:hAnsi="Arial"/>
                    <w:color w:val="62716E"/>
                    <w:sz w:val="18"/>
                  </w:rPr>
                  <w:t>[Completar]</w:t>
                </w:r>
              </w:sdtContent>
            </w:sdt>
          </w:p>
        </w:tc>
        <w:tc>
          <w:tcPr>
            <w:tcW w:type="dxa" w:w="3390"/>
            <w:vAlign w:val="top"/>
          </w:tcPr>
          <w:p>
            <w:pPr>
              <w:keepNext w:val="0"/>
              <w:spacing w:after="20"/>
            </w:pPr>
            <w:sdt>
              <w:sdtPr>
                <w:id w:val="1936"/>
                <w:alias w:val="MR-26-T01-R3-C3"/>
                <w:tag w:val="MR-26-T01-R3-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937"/>
                <w:alias w:val="MR-26-T01-R4-C1"/>
                <w:tag w:val="MR-26-T01-R4-C1"/>
                <w:text w:multiLine="1"/>
              </w:sdtPr>
              <w:sdtContent>
                <w:r>
                  <w:rPr>
                    <w:rFonts w:ascii="Arial" w:hAnsi="Arial"/>
                    <w:color w:val="62716E"/>
                    <w:sz w:val="18"/>
                  </w:rPr>
                  <w:t>[Completar]</w:t>
                </w:r>
              </w:sdtContent>
            </w:sdt>
          </w:p>
        </w:tc>
        <w:tc>
          <w:tcPr>
            <w:tcW w:type="dxa" w:w="3572"/>
            <w:vAlign w:val="top"/>
          </w:tcPr>
          <w:p>
            <w:pPr>
              <w:keepNext w:val="0"/>
              <w:spacing w:after="20"/>
            </w:pPr>
            <w:sdt>
              <w:sdtPr>
                <w:id w:val="1938"/>
                <w:alias w:val="MR-26-T01-R4-C2"/>
                <w:tag w:val="MR-26-T01-R4-C2"/>
                <w:text w:multiLine="1"/>
              </w:sdtPr>
              <w:sdtContent>
                <w:r>
                  <w:rPr>
                    <w:rFonts w:ascii="Arial" w:hAnsi="Arial"/>
                    <w:color w:val="62716E"/>
                    <w:sz w:val="18"/>
                  </w:rPr>
                  <w:t>[Completar]</w:t>
                </w:r>
              </w:sdtContent>
            </w:sdt>
          </w:p>
        </w:tc>
        <w:tc>
          <w:tcPr>
            <w:tcW w:type="dxa" w:w="3390"/>
            <w:vAlign w:val="top"/>
          </w:tcPr>
          <w:p>
            <w:pPr>
              <w:keepNext w:val="0"/>
              <w:spacing w:after="20"/>
            </w:pPr>
            <w:sdt>
              <w:sdtPr>
                <w:id w:val="1939"/>
                <w:alias w:val="MR-26-T01-R4-C3"/>
                <w:tag w:val="MR-26-T01-R4-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940"/>
                <w:alias w:val="MR-26-T01-R5-C1"/>
                <w:tag w:val="MR-26-T01-R5-C1"/>
                <w:text w:multiLine="1"/>
              </w:sdtPr>
              <w:sdtContent>
                <w:r>
                  <w:rPr>
                    <w:rFonts w:ascii="Arial" w:hAnsi="Arial"/>
                    <w:color w:val="62716E"/>
                    <w:sz w:val="18"/>
                  </w:rPr>
                  <w:t>[Completar]</w:t>
                </w:r>
              </w:sdtContent>
            </w:sdt>
          </w:p>
        </w:tc>
        <w:tc>
          <w:tcPr>
            <w:tcW w:type="dxa" w:w="3572"/>
            <w:vAlign w:val="top"/>
          </w:tcPr>
          <w:p>
            <w:pPr>
              <w:keepNext w:val="0"/>
              <w:spacing w:after="20"/>
            </w:pPr>
            <w:sdt>
              <w:sdtPr>
                <w:id w:val="1941"/>
                <w:alias w:val="MR-26-T01-R5-C2"/>
                <w:tag w:val="MR-26-T01-R5-C2"/>
                <w:text w:multiLine="1"/>
              </w:sdtPr>
              <w:sdtContent>
                <w:r>
                  <w:rPr>
                    <w:rFonts w:ascii="Arial" w:hAnsi="Arial"/>
                    <w:color w:val="62716E"/>
                    <w:sz w:val="18"/>
                  </w:rPr>
                  <w:t>[Completar]</w:t>
                </w:r>
              </w:sdtContent>
            </w:sdt>
          </w:p>
        </w:tc>
        <w:tc>
          <w:tcPr>
            <w:tcW w:type="dxa" w:w="3390"/>
            <w:vAlign w:val="top"/>
          </w:tcPr>
          <w:p>
            <w:pPr>
              <w:keepNext w:val="0"/>
              <w:spacing w:after="20"/>
            </w:pPr>
            <w:sdt>
              <w:sdtPr>
                <w:id w:val="1942"/>
                <w:alias w:val="MR-26-T01-R5-C3"/>
                <w:tag w:val="MR-26-T01-R5-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color w:val="215F52"/>
          <w:sz w:val="20"/>
        </w:rPr>
        <w:t>MR-26-T02 / Acciones continuas y condiciones pendientes</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2778"/>
        <w:gridCol w:w="3572"/>
        <w:gridCol w:w="3390"/>
      </w:tblGrid>
      <w:tr>
        <w:trPr>
          <w:tblHeader/>
        </w:trPr>
        <w:tc>
          <w:tcPr>
            <w:tcW w:type="dxa" w:w="2778"/>
            <w:vAlign w:val="center"/>
            <w:shd w:fill="F1F5F2"/>
          </w:tcPr>
          <w:p>
            <w:pPr>
              <w:keepNext/>
              <w:spacing w:after="20"/>
            </w:pPr>
            <w:r>
              <w:rPr>
                <w:rFonts w:ascii="Arial" w:hAnsi="Arial" w:eastAsia="Arial" w:cs="Arial"/>
                <w:b/>
                <w:color w:val="215F52"/>
                <w:sz w:val="17"/>
              </w:rPr>
              <w:t>Acción / hallazgo original / activador</w:t>
            </w:r>
          </w:p>
        </w:tc>
        <w:tc>
          <w:tcPr>
            <w:tcW w:type="dxa" w:w="3572"/>
            <w:vAlign w:val="center"/>
            <w:shd w:fill="F1F5F2"/>
          </w:tcPr>
          <w:p>
            <w:pPr>
              <w:keepNext/>
              <w:spacing w:after="20"/>
            </w:pPr>
            <w:r>
              <w:rPr>
                <w:rFonts w:ascii="Arial" w:hAnsi="Arial" w:eastAsia="Arial" w:cs="Arial"/>
                <w:b/>
                <w:color w:val="215F52"/>
                <w:sz w:val="17"/>
              </w:rPr>
              <w:t>Responsable, fecha o frecuencia aprobada</w:t>
            </w:r>
          </w:p>
        </w:tc>
        <w:tc>
          <w:tcPr>
            <w:tcW w:type="dxa" w:w="3390"/>
            <w:vAlign w:val="center"/>
            <w:shd w:fill="F1F5F2"/>
          </w:tcPr>
          <w:p>
            <w:pPr>
              <w:keepNext/>
              <w:spacing w:after="20"/>
            </w:pPr>
            <w:r>
              <w:rPr>
                <w:rFonts w:ascii="Arial" w:hAnsi="Arial" w:eastAsia="Arial" w:cs="Arial"/>
                <w:b/>
                <w:color w:val="215F52"/>
                <w:sz w:val="17"/>
              </w:rPr>
              <w:t>Evidencia, decisión afectada e informe siguiente</w:t>
            </w:r>
          </w:p>
        </w:tc>
      </w:tr>
      <w:tr>
        <w:trPr>
          <w:trHeight w:val="442" w:hRule="atLeast"/>
        </w:trPr>
        <w:tc>
          <w:tcPr>
            <w:tcW w:type="dxa" w:w="2778"/>
            <w:vAlign w:val="top"/>
          </w:tcPr>
          <w:p>
            <w:pPr>
              <w:keepNext w:val="0"/>
              <w:spacing w:after="20"/>
            </w:pPr>
            <w:sdt>
              <w:sdtPr>
                <w:id w:val="1943"/>
                <w:alias w:val="MR-26-T02-R1-C1"/>
                <w:tag w:val="MR-26-T02-R1-C1"/>
                <w:text w:multiLine="1"/>
              </w:sdtPr>
              <w:sdtContent>
                <w:r>
                  <w:rPr>
                    <w:rFonts w:ascii="Arial" w:hAnsi="Arial"/>
                    <w:color w:val="62716E"/>
                    <w:sz w:val="18"/>
                  </w:rPr>
                  <w:t>[Completar]</w:t>
                </w:r>
              </w:sdtContent>
            </w:sdt>
          </w:p>
        </w:tc>
        <w:tc>
          <w:tcPr>
            <w:tcW w:type="dxa" w:w="3572"/>
            <w:vAlign w:val="top"/>
          </w:tcPr>
          <w:p>
            <w:pPr>
              <w:keepNext w:val="0"/>
              <w:spacing w:after="20"/>
            </w:pPr>
            <w:sdt>
              <w:sdtPr>
                <w:id w:val="1944"/>
                <w:alias w:val="MR-26-T02-R1-C2"/>
                <w:tag w:val="MR-26-T02-R1-C2"/>
                <w:text w:multiLine="1"/>
              </w:sdtPr>
              <w:sdtContent>
                <w:r>
                  <w:rPr>
                    <w:rFonts w:ascii="Arial" w:hAnsi="Arial"/>
                    <w:color w:val="62716E"/>
                    <w:sz w:val="18"/>
                  </w:rPr>
                  <w:t>[Completar]</w:t>
                </w:r>
              </w:sdtContent>
            </w:sdt>
          </w:p>
        </w:tc>
        <w:tc>
          <w:tcPr>
            <w:tcW w:type="dxa" w:w="3390"/>
            <w:vAlign w:val="top"/>
          </w:tcPr>
          <w:p>
            <w:pPr>
              <w:keepNext w:val="0"/>
              <w:spacing w:after="20"/>
            </w:pPr>
            <w:sdt>
              <w:sdtPr>
                <w:id w:val="1945"/>
                <w:alias w:val="MR-26-T02-R1-C3"/>
                <w:tag w:val="MR-26-T02-R1-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946"/>
                <w:alias w:val="MR-26-T02-R2-C1"/>
                <w:tag w:val="MR-26-T02-R2-C1"/>
                <w:text w:multiLine="1"/>
              </w:sdtPr>
              <w:sdtContent>
                <w:r>
                  <w:rPr>
                    <w:rFonts w:ascii="Arial" w:hAnsi="Arial"/>
                    <w:color w:val="62716E"/>
                    <w:sz w:val="18"/>
                  </w:rPr>
                  <w:t>[Completar]</w:t>
                </w:r>
              </w:sdtContent>
            </w:sdt>
          </w:p>
        </w:tc>
        <w:tc>
          <w:tcPr>
            <w:tcW w:type="dxa" w:w="3572"/>
            <w:vAlign w:val="top"/>
          </w:tcPr>
          <w:p>
            <w:pPr>
              <w:keepNext w:val="0"/>
              <w:spacing w:after="20"/>
            </w:pPr>
            <w:sdt>
              <w:sdtPr>
                <w:id w:val="1947"/>
                <w:alias w:val="MR-26-T02-R2-C2"/>
                <w:tag w:val="MR-26-T02-R2-C2"/>
                <w:text w:multiLine="1"/>
              </w:sdtPr>
              <w:sdtContent>
                <w:r>
                  <w:rPr>
                    <w:rFonts w:ascii="Arial" w:hAnsi="Arial"/>
                    <w:color w:val="62716E"/>
                    <w:sz w:val="18"/>
                  </w:rPr>
                  <w:t>[Completar]</w:t>
                </w:r>
              </w:sdtContent>
            </w:sdt>
          </w:p>
        </w:tc>
        <w:tc>
          <w:tcPr>
            <w:tcW w:type="dxa" w:w="3390"/>
            <w:vAlign w:val="top"/>
          </w:tcPr>
          <w:p>
            <w:pPr>
              <w:keepNext w:val="0"/>
              <w:spacing w:after="20"/>
            </w:pPr>
            <w:sdt>
              <w:sdtPr>
                <w:id w:val="1948"/>
                <w:alias w:val="MR-26-T02-R2-C3"/>
                <w:tag w:val="MR-26-T02-R2-C3"/>
                <w:text w:multiLine="1"/>
              </w:sdtPr>
              <w:sdtContent>
                <w:r>
                  <w:rPr>
                    <w:rFonts w:ascii="Arial" w:hAnsi="Arial"/>
                    <w:color w:val="62716E"/>
                    <w:sz w:val="18"/>
                  </w:rPr>
                  <w:t>[Completar]</w:t>
                </w:r>
              </w:sdtContent>
            </w:sdt>
          </w:p>
        </w:tc>
      </w:tr>
      <w:tr>
        <w:trPr>
          <w:trHeight w:val="442" w:hRule="atLeast"/>
        </w:trPr>
        <w:tc>
          <w:tcPr>
            <w:tcW w:type="dxa" w:w="2778"/>
            <w:vAlign w:val="top"/>
          </w:tcPr>
          <w:p>
            <w:pPr>
              <w:keepNext w:val="0"/>
              <w:spacing w:after="20"/>
            </w:pPr>
            <w:sdt>
              <w:sdtPr>
                <w:id w:val="1949"/>
                <w:alias w:val="MR-26-T02-R3-C1"/>
                <w:tag w:val="MR-26-T02-R3-C1"/>
                <w:text w:multiLine="1"/>
              </w:sdtPr>
              <w:sdtContent>
                <w:r>
                  <w:rPr>
                    <w:rFonts w:ascii="Arial" w:hAnsi="Arial"/>
                    <w:color w:val="62716E"/>
                    <w:sz w:val="18"/>
                  </w:rPr>
                  <w:t>[Completar]</w:t>
                </w:r>
              </w:sdtContent>
            </w:sdt>
          </w:p>
        </w:tc>
        <w:tc>
          <w:tcPr>
            <w:tcW w:type="dxa" w:w="3572"/>
            <w:vAlign w:val="top"/>
          </w:tcPr>
          <w:p>
            <w:pPr>
              <w:keepNext w:val="0"/>
              <w:spacing w:after="20"/>
            </w:pPr>
            <w:sdt>
              <w:sdtPr>
                <w:id w:val="1950"/>
                <w:alias w:val="MR-26-T02-R3-C2"/>
                <w:tag w:val="MR-26-T02-R3-C2"/>
                <w:text w:multiLine="1"/>
              </w:sdtPr>
              <w:sdtContent>
                <w:r>
                  <w:rPr>
                    <w:rFonts w:ascii="Arial" w:hAnsi="Arial"/>
                    <w:color w:val="62716E"/>
                    <w:sz w:val="18"/>
                  </w:rPr>
                  <w:t>[Completar]</w:t>
                </w:r>
              </w:sdtContent>
            </w:sdt>
          </w:p>
        </w:tc>
        <w:tc>
          <w:tcPr>
            <w:tcW w:type="dxa" w:w="3390"/>
            <w:vAlign w:val="top"/>
          </w:tcPr>
          <w:p>
            <w:pPr>
              <w:keepNext w:val="0"/>
              <w:spacing w:after="20"/>
            </w:pPr>
            <w:sdt>
              <w:sdtPr>
                <w:id w:val="1951"/>
                <w:alias w:val="MR-26-T02-R3-C3"/>
                <w:tag w:val="MR-26-T02-R3-C3"/>
                <w:text w:multiLine="1"/>
              </w:sdtPr>
              <w:sdtContent>
                <w:r>
                  <w:rPr>
                    <w:rFonts w:ascii="Arial" w:hAnsi="Arial"/>
                    <w:color w:val="62716E"/>
                    <w:sz w:val="18"/>
                  </w:rPr>
                  <w:t>[Completar]</w:t>
                </w:r>
              </w:sdtContent>
            </w:sdt>
          </w:p>
        </w:tc>
      </w:tr>
    </w:tbl>
    <w:p>
      <w:pPr>
        <w:spacing w:after="20" w:before="0" w:line="40" w:lineRule="exact"/>
      </w:pPr>
      <w:r>
        <w:rPr>
          <w:sz w:val="4"/>
        </w:rPr>
      </w:r>
    </w:p>
    <w:p>
      <w:pPr>
        <w:keepNext/>
        <w:spacing w:after="100"/>
      </w:pPr>
      <w:r>
        <w:rPr>
          <w:rFonts w:ascii="Arial" w:hAnsi="Arial" w:eastAsia="Arial" w:cs="Arial"/>
          <w:b w:val="0"/>
          <w:color w:val="62716E"/>
          <w:sz w:val="18"/>
        </w:rPr>
        <w:t>Identificar entrega siguiente, saldos iniciales y cohortes, plan mantenido/revisado, remedios pendientes, conservación de datos y versión distribuida. Vincular índices públicos/controlados sin exponer información protegida. La plantilla no supone plazos.</w:t>
      </w:r>
    </w:p>
    <w:tbl>
      <w:tblPr>
        <w:tblW w:type="auto" w:w="0"/>
        <w:tblLayout w:type="fixed"/>
        <w:tblLook w:firstColumn="1" w:firstRow="1" w:lastColumn="0" w:lastRow="0" w:noHBand="0" w:noVBand="1" w:val="04A0"/>
      </w:tblPr>
      <w:tblGrid>
        <w:gridCol w:w="9740"/>
      </w:tblGrid>
      <w:tr>
        <w:trPr>
          <w:trHeight w:val="850" w:hRule="atLeast"/>
        </w:trPr>
        <w:tc>
          <w:tcPr>
            <w:tcW w:type="dxa" w:w="9746"/>
            <w:shd w:fill="F1F5F2"/>
          </w:tcPr>
          <w:p>
            <w:pPr>
              <w:spacing w:after="60"/>
            </w:pPr>
            <w:sdt>
              <w:sdtPr>
                <w:id w:val="1952"/>
                <w:alias w:val="MR-response-66"/>
                <w:tag w:val="MR-response-66"/>
                <w:text w:multiLine="1"/>
              </w:sdtPr>
              <w:sdtContent>
                <w:r>
                  <w:rPr>
                    <w:rFonts w:ascii="Arial" w:hAnsi="Arial"/>
                    <w:color w:val="62716E"/>
                    <w:sz w:val="18"/>
                  </w:rPr>
                  <w:t>[Registrar respuesta y referencias exactas de evidencia.]</w:t>
                </w:r>
              </w:sdtContent>
            </w:sdt>
          </w:p>
        </w:tc>
      </w:tr>
    </w:tbl>
    <w:p>
      <w:pPr>
        <w:spacing w:after="20" w:line="40" w:lineRule="exact"/>
      </w:pPr>
      <w:r>
        <w:rPr>
          <w:sz w:val="4"/>
        </w:rPr>
      </w:r>
    </w:p>
    <w:p>
      <w:bookmarkStart w:id="590" w:name="MR_CALC"/>
      <w:pPr>
        <w:pStyle w:val="Heading1"/>
        <w:keepNext/>
        <w:pageBreakBefore/>
      </w:pPr>
      <w:r>
        <w:rPr>
          <w:rFonts w:ascii="Arial" w:hAnsi="Arial" w:eastAsia="Arial" w:cs="Arial"/>
          <w:b w:val="0"/>
          <w:color w:val="215F52"/>
          <w:sz w:val="38"/>
        </w:rPr>
        <w:t>CALC  Trazabilidad del cálculo y recálculo del revisor</w:t>
      </w:r>
      <w:bookmarkEnd w:id="590"/>
    </w:p>
    <w:p>
      <w:pPr>
        <w:keepNext/>
        <w:spacing w:after="100"/>
      </w:pPr>
      <w:r>
        <w:rPr>
          <w:rFonts w:ascii="Arial" w:hAnsi="Arial" w:eastAsia="Arial" w:cs="Arial"/>
          <w:b w:val="0"/>
          <w:color w:val="62716E"/>
          <w:sz w:val="16"/>
        </w:rPr>
        <w:t>[1] F-01; T-01; P-04; P-13; FRM-02; NEB-MTH-002</w:t>
      </w:r>
    </w:p>
    <w:p>
      <w:pPr>
        <w:spacing w:after="100"/>
      </w:pPr>
      <w:r>
        <w:rPr>
          <w:rFonts w:ascii="Arial" w:hAnsi="Arial" w:eastAsia="Arial" w:cs="Arial"/>
          <w:b w:val="0"/>
          <w:color w:val="243A36"/>
          <w:sz w:val="19"/>
        </w:rPr>
        <w:t>Repetir este registro para cada magnitud calculada material o vincular registro de cálculo controlado equivalente. Reproducir primero expresión original exacta y registrar adaptaciones por separado. Texto, ecuaciones y filas del libro deben usar mismas unidades, período, alcance y versión. Los registros administrativos no requieren ecuaciones inventadas.</w:t>
      </w:r>
    </w:p>
    <w:p>
      <w:pPr>
        <w:spacing w:after="100"/>
      </w:pPr>
      <w:r>
        <w:rPr>
          <w:rFonts w:ascii="Arial" w:hAnsi="Arial" w:eastAsia="Arial" w:cs="Arial"/>
          <w:b w:val="0"/>
          <w:color w:val="243A36"/>
          <w:sz w:val="18"/>
        </w:rPr>
        <w:t>EA / EP: pronóstico fechado / cuenta del período; t: intervalo; i,j: estrato o clase; o: órgano o reservorio; g: gas; τ: cohorte del evento; ℓ: fila de cálculo.</w:t>
      </w:r>
    </w:p>
    <w:p>
      <w:pPr>
        <w:keepNext/>
        <w:spacing w:after="100"/>
      </w:pPr>
      <w:r>
        <w:rPr>
          <w:rFonts w:ascii="Arial" w:hAnsi="Arial" w:eastAsia="Arial" w:cs="Arial"/>
          <w:b/>
          <w:color w:val="215F52"/>
          <w:sz w:val="20"/>
        </w:rPr>
        <w:t>MR-CALC / Registro de cálculo repetible</w:t>
      </w:r>
    </w:p>
    <w:tbl>
      <w:tblPr>
        <w:tblW w:type="auto" w:w="0"/>
        <w:jc w:val="center"/>
        <w:tblLayout w:type="fixed"/>
        <w:tblLook w:firstColumn="1" w:firstRow="1" w:lastColumn="0" w:lastRow="0" w:noHBand="0" w:noVBand="1" w:val="04A0"/>
        <w:tblBorders>
          <w:top w:val="single" w:sz="3" w:color="C9D5CE"/>
          <w:bottom w:val="single" w:sz="3" w:color="C9D5CE"/>
          <w:insideH w:val="single" w:sz="3" w:color="C9D5CE"/>
          <w:insideV w:val="single" w:sz="3" w:color="C9D5CE"/>
          <w:left w:val="single" w:sz="3" w:color="C9D5CE"/>
          <w:right w:val="single" w:sz="3" w:color="C9D5CE"/>
        </w:tblBorders>
        <w:tblCellMar>
          <w:top w:w="75" w:type="dxa"/>
          <w:bottom w:w="75" w:type="dxa"/>
          <w:left w:w="75" w:type="dxa"/>
          <w:right w:w="75" w:type="dxa"/>
        </w:tblCellMar>
      </w:tblPr>
      <w:tblGrid>
        <w:gridCol w:w="3515"/>
        <w:gridCol w:w="6225"/>
      </w:tblGrid>
      <w:tr>
        <w:trPr>
          <w:tblHeader/>
        </w:trPr>
        <w:tc>
          <w:tcPr>
            <w:tcW w:type="dxa" w:w="3515"/>
            <w:vAlign w:val="center"/>
            <w:shd w:fill="F1F5F2"/>
          </w:tcPr>
          <w:p>
            <w:pPr>
              <w:keepNext/>
              <w:spacing w:after="20"/>
            </w:pPr>
            <w:r>
              <w:rPr>
                <w:rFonts w:ascii="Arial" w:hAnsi="Arial" w:eastAsia="Arial" w:cs="Arial"/>
                <w:b/>
                <w:color w:val="215F52"/>
                <w:sz w:val="17"/>
              </w:rPr>
              <w:t>Campo</w:t>
            </w:r>
          </w:p>
        </w:tc>
        <w:tc>
          <w:tcPr>
            <w:tcW w:type="dxa" w:w="6225"/>
            <w:vAlign w:val="center"/>
            <w:shd w:fill="F1F5F2"/>
          </w:tcPr>
          <w:p>
            <w:pPr>
              <w:keepNext/>
              <w:spacing w:after="20"/>
            </w:pPr>
            <w:r>
              <w:rPr>
                <w:rFonts w:ascii="Arial" w:hAnsi="Arial" w:eastAsia="Arial" w:cs="Arial"/>
                <w:b/>
                <w:color w:val="215F52"/>
                <w:sz w:val="17"/>
              </w:rPr>
              <w:t>Evidencia / valor / ubicación</w:t>
            </w:r>
          </w:p>
        </w:tc>
      </w:tr>
      <w:tr>
        <w:trPr>
          <w:trHeight w:val="442" w:hRule="atLeast"/>
        </w:trPr>
        <w:tc>
          <w:tcPr>
            <w:tcW w:type="dxa" w:w="3515"/>
            <w:vAlign w:val="top"/>
          </w:tcPr>
          <w:p>
            <w:pPr>
              <w:keepNext w:val="0"/>
              <w:spacing w:after="20"/>
            </w:pPr>
            <w:r>
              <w:rPr>
                <w:rFonts w:ascii="Arial" w:hAnsi="Arial" w:eastAsia="Arial" w:cs="Arial"/>
                <w:b w:val="0"/>
                <w:color w:val="243A36"/>
                <w:sz w:val="17"/>
              </w:rPr>
              <w:t>ID del cálculo / símbolo / resultado objetivo</w:t>
            </w:r>
          </w:p>
        </w:tc>
        <w:tc>
          <w:tcPr>
            <w:tcW w:type="dxa" w:w="6225"/>
            <w:vAlign w:val="top"/>
          </w:tcPr>
          <w:p>
            <w:pPr>
              <w:keepNext w:val="0"/>
              <w:spacing w:after="20"/>
            </w:pPr>
            <w:sdt>
              <w:sdtPr>
                <w:id w:val="1953"/>
                <w:alias w:val="MR-CALC-R1-C2"/>
                <w:tag w:val="MR-CALC-R1-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Archivo fuente / versión / huella exactos</w:t>
            </w:r>
          </w:p>
        </w:tc>
        <w:tc>
          <w:tcPr>
            <w:tcW w:type="dxa" w:w="6225"/>
            <w:vAlign w:val="top"/>
          </w:tcPr>
          <w:p>
            <w:pPr>
              <w:keepNext w:val="0"/>
              <w:spacing w:after="20"/>
            </w:pPr>
            <w:sdt>
              <w:sdtPr>
                <w:id w:val="1954"/>
                <w:alias w:val="MR-CALC-R2-C2"/>
                <w:tag w:val="MR-CALC-R2-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Hoja / celda / ID de observación original</w:t>
            </w:r>
          </w:p>
        </w:tc>
        <w:tc>
          <w:tcPr>
            <w:tcW w:type="dxa" w:w="6225"/>
            <w:vAlign w:val="top"/>
          </w:tcPr>
          <w:p>
            <w:pPr>
              <w:keepNext w:val="0"/>
              <w:spacing w:after="20"/>
            </w:pPr>
            <w:sdt>
              <w:sdtPr>
                <w:id w:val="1955"/>
                <w:alias w:val="MR-CALC-R3-C2"/>
                <w:tag w:val="MR-CALC-R3-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Fórmula original, unidades y período</w:t>
            </w:r>
          </w:p>
        </w:tc>
        <w:tc>
          <w:tcPr>
            <w:tcW w:type="dxa" w:w="6225"/>
            <w:vAlign w:val="top"/>
          </w:tcPr>
          <w:p>
            <w:pPr>
              <w:keepNext w:val="0"/>
              <w:spacing w:after="20"/>
            </w:pPr>
            <w:sdt>
              <w:sdtPr>
                <w:id w:val="1956"/>
                <w:alias w:val="MR-CALC-R4-C2"/>
                <w:tag w:val="MR-CALC-R4-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Símbolos, valores, unidades y estado de entradas</w:t>
            </w:r>
          </w:p>
        </w:tc>
        <w:tc>
          <w:tcPr>
            <w:tcW w:type="dxa" w:w="6225"/>
            <w:vAlign w:val="top"/>
          </w:tcPr>
          <w:p>
            <w:pPr>
              <w:keepNext w:val="0"/>
              <w:spacing w:after="20"/>
            </w:pPr>
            <w:sdt>
              <w:sdtPr>
                <w:id w:val="1957"/>
                <w:alias w:val="MR-CALC-R5-C2"/>
                <w:tag w:val="MR-CALC-R5-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Ecuación NEBIOT / método original o adaptado</w:t>
            </w:r>
          </w:p>
        </w:tc>
        <w:tc>
          <w:tcPr>
            <w:tcW w:type="dxa" w:w="6225"/>
            <w:vAlign w:val="top"/>
          </w:tcPr>
          <w:p>
            <w:pPr>
              <w:keepNext w:val="0"/>
              <w:spacing w:after="20"/>
            </w:pPr>
            <w:sdt>
              <w:sdtPr>
                <w:id w:val="1958"/>
                <w:alias w:val="MR-CALC-R6-C2"/>
                <w:tag w:val="MR-CALC-R6-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Fundamento de conversión, inclusión y exclusión</w:t>
            </w:r>
          </w:p>
        </w:tc>
        <w:tc>
          <w:tcPr>
            <w:tcW w:type="dxa" w:w="6225"/>
            <w:vAlign w:val="top"/>
          </w:tcPr>
          <w:p>
            <w:pPr>
              <w:keepNext w:val="0"/>
              <w:spacing w:after="20"/>
            </w:pPr>
            <w:sdt>
              <w:sdtPr>
                <w:id w:val="1959"/>
                <w:alias w:val="MR-CALC-R7-C2"/>
                <w:tag w:val="MR-CALC-R7-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Resultados intermedios y finales sin redondear</w:t>
            </w:r>
          </w:p>
        </w:tc>
        <w:tc>
          <w:tcPr>
            <w:tcW w:type="dxa" w:w="6225"/>
            <w:vAlign w:val="top"/>
          </w:tcPr>
          <w:p>
            <w:pPr>
              <w:keepNext w:val="0"/>
              <w:spacing w:after="20"/>
            </w:pPr>
            <w:sdt>
              <w:sdtPr>
                <w:id w:val="1960"/>
                <w:alias w:val="MR-CALC-R8-C2"/>
                <w:tag w:val="MR-CALC-R8-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Tabla MR / tabla ex post / celda receptora</w:t>
            </w:r>
          </w:p>
        </w:tc>
        <w:tc>
          <w:tcPr>
            <w:tcW w:type="dxa" w:w="6225"/>
            <w:vAlign w:val="top"/>
          </w:tcPr>
          <w:p>
            <w:pPr>
              <w:keepNext w:val="0"/>
              <w:spacing w:after="20"/>
            </w:pPr>
            <w:sdt>
              <w:sdtPr>
                <w:id w:val="1961"/>
                <w:alias w:val="MR-CALC-R9-C2"/>
                <w:tag w:val="MR-CALC-R9-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Diferencia aritmética y tolerancias</w:t>
            </w:r>
          </w:p>
        </w:tc>
        <w:tc>
          <w:tcPr>
            <w:tcW w:type="dxa" w:w="6225"/>
            <w:vAlign w:val="top"/>
          </w:tcPr>
          <w:p>
            <w:pPr>
              <w:keepNext w:val="0"/>
              <w:spacing w:after="20"/>
            </w:pPr>
            <w:sdt>
              <w:sdtPr>
                <w:id w:val="1962"/>
                <w:alias w:val="MR-CALC-R10-C2"/>
                <w:tag w:val="MR-CALC-R10-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Incertidumbre y materialidad: registros separados</w:t>
            </w:r>
          </w:p>
        </w:tc>
        <w:tc>
          <w:tcPr>
            <w:tcW w:type="dxa" w:w="6225"/>
            <w:vAlign w:val="top"/>
          </w:tcPr>
          <w:p>
            <w:pPr>
              <w:keepNext w:val="0"/>
              <w:spacing w:after="20"/>
            </w:pPr>
            <w:sdt>
              <w:sdtPr>
                <w:id w:val="1963"/>
                <w:alias w:val="MR-CALC-R11-C2"/>
                <w:tag w:val="MR-CALC-R11-C2"/>
                <w:text w:multiLine="1"/>
              </w:sdtPr>
              <w:sdtContent>
                <w:r>
                  <w:rPr>
                    <w:rFonts w:ascii="Arial" w:hAnsi="Arial"/>
                    <w:color w:val="62716E"/>
                    <w:sz w:val="18"/>
                  </w:rPr>
                  <w:t>[Completar]</w:t>
                </w:r>
              </w:sdtContent>
            </w:sdt>
          </w:p>
        </w:tc>
      </w:tr>
      <w:tr>
        <w:trPr>
          <w:trHeight w:val="442" w:hRule="atLeast"/>
        </w:trPr>
        <w:tc>
          <w:tcPr>
            <w:tcW w:type="dxa" w:w="3515"/>
            <w:vAlign w:val="top"/>
          </w:tcPr>
          <w:p>
            <w:pPr>
              <w:keepNext w:val="0"/>
              <w:spacing w:after="20"/>
            </w:pPr>
            <w:r>
              <w:rPr>
                <w:rFonts w:ascii="Arial" w:hAnsi="Arial" w:eastAsia="Arial" w:cs="Arial"/>
                <w:b w:val="0"/>
                <w:color w:val="243A36"/>
                <w:sz w:val="17"/>
              </w:rPr>
              <w:t>Revisor / evidencia / hallazgo / disposición</w:t>
            </w:r>
          </w:p>
        </w:tc>
        <w:tc>
          <w:tcPr>
            <w:tcW w:type="dxa" w:w="6225"/>
            <w:vAlign w:val="top"/>
          </w:tcPr>
          <w:p>
            <w:pPr>
              <w:keepNext w:val="0"/>
              <w:spacing w:after="20"/>
            </w:pPr>
            <w:sdt>
              <w:sdtPr>
                <w:id w:val="1964"/>
                <w:alias w:val="MR-CALC-R12-C2"/>
                <w:tag w:val="MR-CALC-R12-C2"/>
                <w:text w:multiLine="1"/>
              </w:sdtPr>
              <w:sdtContent>
                <w:r>
                  <w:rPr>
                    <w:rFonts w:ascii="Arial" w:hAnsi="Arial"/>
                    <w:color w:val="62716E"/>
                    <w:sz w:val="18"/>
                  </w:rPr>
                  <w:t>[Completar]</w:t>
                </w:r>
              </w:sdtContent>
            </w:sdt>
          </w:p>
        </w:tc>
      </w:tr>
    </w:tbl>
    <w:p>
      <w:pPr>
        <w:spacing w:after="20" w:before="0" w:line="40" w:lineRule="exact"/>
      </w:pPr>
      <w:r>
        <w:rPr>
          <w:sz w:val="4"/>
        </w:rPr>
      </w:r>
    </w:p>
    <w:p>
      <w:pPr>
        <w:spacing w:after="100"/>
      </w:pPr>
      <w:r>
        <w:rPr>
          <w:rFonts w:ascii="Arial" w:hAnsi="Arial" w:eastAsia="Arial" w:cs="Arial"/>
          <w:b/>
          <w:color w:val="215F52"/>
          <w:sz w:val="21"/>
        </w:rPr>
        <w:t>Comprobación del recálculo</w:t>
      </w:r>
    </w:p>
    <w:p>
      <w:pPr>
        <w:keepNext/>
        <w:jc w:val="center"/>
      </w:pPr>
      <m:oMath>
        <m:sSub>
          <m:e>
            <m:r>
              <w:rPr>
                <w:sz w:val="20"/>
                <w:rFonts w:ascii="Cambria Math" w:hAnsi="Cambria Math"/>
              </w:rPr>
              <m:t>δ</m:t>
            </m:r>
          </m:e>
          <m:sub>
            <m:r>
              <w:rPr>
                <w:sz w:val="20"/>
                <w:rFonts w:ascii="Cambria Math" w:hAnsi="Cambria Math"/>
              </w:rPr>
              <m:rPr>
                <m:sty m:val="p"/>
              </m:rPr>
              <m:t>ℓ</m:t>
            </m:r>
          </m:sub>
        </m:sSub>
        <m:r>
          <w:rPr>
            <w:sz w:val="20"/>
            <w:rFonts w:ascii="Cambria Math" w:hAnsi="Cambria Math"/>
          </w:rPr>
          <m:rPr>
            <m:sty m:val="p"/>
          </m:rPr>
          <m:t>=</m:t>
        </m:r>
        <m:sSubSup>
          <m:e>
            <m:r>
              <w:rPr>
                <w:sz w:val="20"/>
                <w:rFonts w:ascii="Cambria Math" w:hAnsi="Cambria Math"/>
              </w:rPr>
              <m:t>v</m:t>
            </m:r>
          </m:e>
          <m:sub>
            <m:r>
              <w:rPr>
                <w:sz w:val="20"/>
                <w:rFonts w:ascii="Cambria Math" w:hAnsi="Cambria Math"/>
              </w:rPr>
              <m:rPr>
                <m:sty m:val="p"/>
              </m:rPr>
              <m:t>ℓ</m:t>
            </m:r>
          </m:sub>
          <m:sup>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c</m:t>
            </m:r>
            <m:r>
              <w:rPr>
                <w:sz w:val="20"/>
                <w:rFonts w:ascii="Cambria Math" w:hAnsi="Cambria Math"/>
              </w:rPr>
              <m:rPr>
                <m:sty m:val="p"/>
              </m:rPr>
              <m:t>a</m:t>
            </m:r>
            <m:r>
              <w:rPr>
                <w:sz w:val="20"/>
                <w:rFonts w:ascii="Cambria Math" w:hAnsi="Cambria Math"/>
              </w:rPr>
              <m:rPr>
                <m:sty m:val="p"/>
              </m:rPr>
              <m:t>l</m:t>
            </m:r>
            <m:r>
              <w:rPr>
                <w:sz w:val="20"/>
                <w:rFonts w:ascii="Cambria Math" w:hAnsi="Cambria Math"/>
              </w:rPr>
              <m:rPr>
                <m:sty m:val="p"/>
              </m:rPr>
              <m:t>c</m:t>
            </m:r>
          </m:sup>
        </m:sSubSup>
        <m:r>
          <w:rPr>
            <w:sz w:val="20"/>
            <w:rFonts w:ascii="Cambria Math" w:hAnsi="Cambria Math"/>
          </w:rPr>
          <m:rPr>
            <m:sty m:val="p"/>
          </m:rPr>
          <m:t>−</m:t>
        </m:r>
        <m:sSubSup>
          <m:e>
            <m:r>
              <w:rPr>
                <w:sz w:val="20"/>
                <w:rFonts w:ascii="Cambria Math" w:hAnsi="Cambria Math"/>
              </w:rPr>
              <m:t>v</m:t>
            </m:r>
          </m:e>
          <m:sub>
            <m:r>
              <w:rPr>
                <w:sz w:val="20"/>
                <w:rFonts w:ascii="Cambria Math" w:hAnsi="Cambria Math"/>
              </w:rPr>
              <m:rPr>
                <m:sty m:val="p"/>
              </m:rPr>
              <m:t>ℓ</m:t>
            </m:r>
          </m:sub>
          <m:sup>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f</m:t>
            </m:r>
            <m:r>
              <w:rPr>
                <w:sz w:val="20"/>
                <w:rFonts w:ascii="Cambria Math" w:hAnsi="Cambria Math"/>
              </w:rPr>
              <m:rPr>
                <m:sty m:val="p"/>
              </m:rPr>
              <m:t>e</m:t>
            </m:r>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n</m:t>
            </m:r>
            <m:r>
              <w:rPr>
                <w:sz w:val="20"/>
                <w:rFonts w:ascii="Cambria Math" w:hAnsi="Cambria Math"/>
              </w:rPr>
              <m:rPr>
                <m:sty m:val="p"/>
              </m:rPr>
              <m:t>c</m:t>
            </m:r>
            <m:r>
              <w:rPr>
                <w:sz w:val="20"/>
                <w:rFonts w:ascii="Cambria Math" w:hAnsi="Cambria Math"/>
              </w:rPr>
              <m:rPr>
                <m:sty m:val="p"/>
              </m:rPr>
              <m:t>e</m:t>
            </m:r>
          </m:sup>
        </m:sSubSup>
      </m:oMath>
    </w:p>
    <w:p>
      <w:pPr>
        <w:keepNext/>
        <w:jc w:val="center"/>
      </w:pPr>
      <m:oMath>
        <m:d>
          <m:dPr>
            <m:begChr m:val="|"/>
            <m:endChr m:val="|"/>
            <m:sepChr m:val=""/>
            <m:grow/>
          </m:dPr>
          <m:e>
            <m:sSub>
              <m:e>
                <m:r>
                  <w:rPr>
                    <w:sz w:val="20"/>
                    <w:rFonts w:ascii="Cambria Math" w:hAnsi="Cambria Math"/>
                  </w:rPr>
                  <m:t>δ</m:t>
                </m:r>
              </m:e>
              <m:sub>
                <m:r>
                  <w:rPr>
                    <w:sz w:val="20"/>
                    <w:rFonts w:ascii="Cambria Math" w:hAnsi="Cambria Math"/>
                  </w:rPr>
                  <m:rPr>
                    <m:sty m:val="p"/>
                  </m:rPr>
                  <m:t>ℓ</m:t>
                </m:r>
              </m:sub>
            </m:sSub>
          </m:e>
        </m:d>
        <m:r>
          <w:rPr>
            <w:sz w:val="20"/>
            <w:rFonts w:ascii="Cambria Math" w:hAnsi="Cambria Math"/>
          </w:rPr>
          <m:rPr>
            <m:sty m:val="p"/>
          </m:rPr>
          <m:t>≤</m:t>
        </m:r>
        <m:sSub>
          <m:e>
            <m:r>
              <w:rPr>
                <w:sz w:val="20"/>
                <w:rFonts w:ascii="Cambria Math" w:hAnsi="Cambria Math"/>
              </w:rPr>
              <m:t>ε</m:t>
            </m:r>
          </m:e>
          <m:sub>
            <m:r>
              <w:rPr>
                <w:sz w:val="20"/>
                <w:rFonts w:ascii="Cambria Math" w:hAnsi="Cambria Math"/>
              </w:rPr>
              <m:t>a</m:t>
            </m:r>
          </m:sub>
        </m:sSub>
        <m:r>
          <w:rPr>
            <w:sz w:val="20"/>
            <w:rFonts w:ascii="Cambria Math" w:hAnsi="Cambria Math"/>
          </w:rPr>
          <m:rPr>
            <m:sty m:val="p"/>
          </m:rPr>
          <m:t>+</m:t>
        </m:r>
        <m:sSub>
          <m:e>
            <m:r>
              <w:rPr>
                <w:sz w:val="20"/>
                <w:rFonts w:ascii="Cambria Math" w:hAnsi="Cambria Math"/>
              </w:rPr>
              <m:t>ε</m:t>
            </m:r>
          </m:e>
          <m:sub>
            <m:r>
              <w:rPr>
                <w:sz w:val="20"/>
                <w:rFonts w:ascii="Cambria Math" w:hAnsi="Cambria Math"/>
              </w:rPr>
              <m:t>r</m:t>
            </m:r>
          </m:sub>
        </m:sSub>
        <m:d>
          <m:dPr>
            <m:begChr m:val="|"/>
            <m:endChr m:val="|"/>
            <m:sepChr m:val=""/>
            <m:grow/>
          </m:dPr>
          <m:e>
            <m:sSubSup>
              <m:e>
                <m:r>
                  <w:rPr>
                    <w:sz w:val="20"/>
                    <w:rFonts w:ascii="Cambria Math" w:hAnsi="Cambria Math"/>
                  </w:rPr>
                  <m:t>v</m:t>
                </m:r>
              </m:e>
              <m:sub>
                <m:r>
                  <w:rPr>
                    <w:sz w:val="20"/>
                    <w:rFonts w:ascii="Cambria Math" w:hAnsi="Cambria Math"/>
                  </w:rPr>
                  <m:rPr>
                    <m:sty m:val="p"/>
                  </m:rPr>
                  <m:t>ℓ</m:t>
                </m:r>
              </m:sub>
              <m:sup>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f</m:t>
                </m:r>
                <m:r>
                  <w:rPr>
                    <w:sz w:val="20"/>
                    <w:rFonts w:ascii="Cambria Math" w:hAnsi="Cambria Math"/>
                  </w:rPr>
                  <m:rPr>
                    <m:sty m:val="p"/>
                  </m:rPr>
                  <m:t>e</m:t>
                </m:r>
                <m:r>
                  <w:rPr>
                    <w:sz w:val="20"/>
                    <w:rFonts w:ascii="Cambria Math" w:hAnsi="Cambria Math"/>
                  </w:rPr>
                  <m:rPr>
                    <m:sty m:val="p"/>
                  </m:rPr>
                  <m:t>r</m:t>
                </m:r>
                <m:r>
                  <w:rPr>
                    <w:sz w:val="20"/>
                    <w:rFonts w:ascii="Cambria Math" w:hAnsi="Cambria Math"/>
                  </w:rPr>
                  <m:rPr>
                    <m:sty m:val="p"/>
                  </m:rPr>
                  <m:t>e</m:t>
                </m:r>
                <m:r>
                  <w:rPr>
                    <w:sz w:val="20"/>
                    <w:rFonts w:ascii="Cambria Math" w:hAnsi="Cambria Math"/>
                  </w:rPr>
                  <m:rPr>
                    <m:sty m:val="p"/>
                  </m:rPr>
                  <m:t>n</m:t>
                </m:r>
                <m:r>
                  <w:rPr>
                    <w:sz w:val="20"/>
                    <w:rFonts w:ascii="Cambria Math" w:hAnsi="Cambria Math"/>
                  </w:rPr>
                  <m:rPr>
                    <m:sty m:val="p"/>
                  </m:rPr>
                  <m:t>c</m:t>
                </m:r>
                <m:r>
                  <w:rPr>
                    <w:sz w:val="20"/>
                    <w:rFonts w:ascii="Cambria Math" w:hAnsi="Cambria Math"/>
                  </w:rPr>
                  <m:rPr>
                    <m:sty m:val="p"/>
                  </m:rPr>
                  <m:t>e</m:t>
                </m:r>
              </m:sup>
            </m:sSubSup>
          </m:e>
        </m:d>
      </m:oMath>
    </w:p>
    <w:p>
      <w:pPr>
        <w:spacing w:after="100"/>
      </w:pPr>
      <w:r>
        <w:rPr>
          <w:rFonts w:ascii="Arial" w:hAnsi="Arial" w:eastAsia="Arial" w:cs="Arial"/>
          <w:b w:val="0"/>
          <w:color w:val="243A36"/>
          <w:sz w:val="18"/>
        </w:rPr>
        <w:t>La tolerancia absoluta tiene la unidad del resultado y la relativa es adimensional. Registrar ambas como ajustes de comparación numérica, no materialidad. Comparar valores sin redondear tras confirmar método y soporte comparables. Una diferencia metodológica NEBIOT justificada no necesita ser cero.</w:t>
      </w:r>
    </w:p>
    <w:p>
      <w:bookmarkStart w:id="600" w:name="MR_XREF"/>
      <w:pPr>
        <w:pStyle w:val="Heading1"/>
        <w:keepNext/>
        <w:pageBreakBefore/>
      </w:pPr>
      <w:r>
        <w:rPr>
          <w:rFonts w:ascii="Arial" w:hAnsi="Arial" w:eastAsia="Arial" w:cs="Arial"/>
          <w:b w:val="0"/>
          <w:color w:val="215F52"/>
          <w:sz w:val="38"/>
        </w:rPr>
        <w:t>XREF  Correspondencia PD–Ex ante–Ex post</w:t>
      </w:r>
      <w:bookmarkEnd w:id="600"/>
    </w:p>
    <w:p>
      <w:pPr>
        <w:keepNext/>
        <w:spacing w:after="100"/>
      </w:pPr>
      <w:r>
        <w:rPr>
          <w:rFonts w:ascii="Arial" w:hAnsi="Arial" w:eastAsia="Arial" w:cs="Arial"/>
          <w:b w:val="0"/>
          <w:color w:val="62716E"/>
          <w:sz w:val="16"/>
        </w:rPr>
        <w:t>[1] CYC-05; P-02; P-04; FRM-01; FRM-02</w:t>
      </w:r>
    </w:p>
    <w:p>
      <w:pPr>
        <w:spacing w:after="100"/>
      </w:pPr>
      <w:r>
        <w:rPr>
          <w:rFonts w:ascii="Arial" w:hAnsi="Arial" w:eastAsia="Arial" w:cs="Arial"/>
          <w:b w:val="0"/>
          <w:color w:val="243A36"/>
          <w:sz w:val="19"/>
        </w:rPr>
        <w:t>Los números siguientes remiten a las plantillas edición 1.2 [2–4], no a todo documento de proyecto diligenciado. La Sección 02 registra versiones reales y secciones correspondientes. Vincular referencias con evidencia y fórmulas; la correspondencia no autoriza omitir requisitos.</w:t>
      </w:r>
    </w:p>
    <w:tbl>
      <w:tblPr>
        <w:tblW w:type="auto" w:w="0"/>
        <w:jc w:val="center"/>
        <w:tblLayout w:type="fixed"/>
        <w:tblLook w:firstColumn="1" w:firstRow="1" w:lastColumn="0" w:lastRow="0" w:noHBand="0" w:noVBand="1" w:val="04A0"/>
      </w:tblPr>
      <w:tblGrid>
        <w:gridCol w:w="4876"/>
        <w:gridCol w:w="1701"/>
        <w:gridCol w:w="1587"/>
        <w:gridCol w:w="1576"/>
      </w:tblGrid>
      <w:tr>
        <w:trPr>
          <w:tblHeader/>
        </w:trPr>
        <w:tc>
          <w:tcPr>
            <w:tcW w:type="dxa" w:w="2436"/>
            <w:shd w:fill="F1F5F2"/>
          </w:tcPr>
          <w:p>
            <w:r>
              <w:rPr>
                <w:rFonts w:ascii="Arial" w:hAnsi="Arial" w:eastAsia="Arial" w:cs="Arial"/>
                <w:b/>
                <w:color w:val="215F52"/>
                <w:sz w:val="18"/>
              </w:rPr>
              <w:t>Sección MR</w:t>
            </w:r>
          </w:p>
        </w:tc>
        <w:tc>
          <w:tcPr>
            <w:tcW w:type="dxa" w:w="2436"/>
            <w:shd w:fill="F1F5F2"/>
          </w:tcPr>
          <w:p>
            <w:r>
              <w:rPr>
                <w:rFonts w:ascii="Arial" w:hAnsi="Arial" w:eastAsia="Arial" w:cs="Arial"/>
                <w:b/>
                <w:color w:val="215F52"/>
                <w:sz w:val="18"/>
              </w:rPr>
              <w:t>PD [2]</w:t>
            </w:r>
          </w:p>
        </w:tc>
        <w:tc>
          <w:tcPr>
            <w:tcW w:type="dxa" w:w="2436"/>
            <w:shd w:fill="F1F5F2"/>
          </w:tcPr>
          <w:p>
            <w:r>
              <w:rPr>
                <w:rFonts w:ascii="Arial" w:hAnsi="Arial" w:eastAsia="Arial" w:cs="Arial"/>
                <w:b/>
                <w:color w:val="215F52"/>
                <w:sz w:val="18"/>
              </w:rPr>
              <w:t>EA [3]</w:t>
            </w:r>
          </w:p>
        </w:tc>
        <w:tc>
          <w:tcPr>
            <w:tcW w:type="dxa" w:w="2436"/>
            <w:shd w:fill="F1F5F2"/>
          </w:tcPr>
          <w:p>
            <w:r>
              <w:rPr>
                <w:rFonts w:ascii="Arial" w:hAnsi="Arial" w:eastAsia="Arial" w:cs="Arial"/>
                <w:b/>
                <w:color w:val="215F52"/>
                <w:sz w:val="18"/>
              </w:rPr>
              <w:t>EP [4]</w:t>
            </w:r>
          </w:p>
        </w:tc>
      </w:tr>
      <w:tr>
        <w:tc>
          <w:tcPr>
            <w:tcW w:type="dxa" w:w="4876"/>
          </w:tcPr>
          <w:p>
            <w:pPr>
              <w:keepNext w:val="0"/>
              <w:spacing w:after="100"/>
            </w:pPr>
            <w:hyperlink w:anchor="MR_01">
              <w:r>
                <w:rPr>
                  <w:color w:val="215F52"/>
                  <w:sz w:val="18"/>
                </w:rPr>
                <w:t>01 Período de monitoreo y resumen de resultados</w:t>
              </w:r>
            </w:hyperlink>
          </w:p>
        </w:tc>
        <w:tc>
          <w:tcPr>
            <w:tcW w:type="dxa" w:w="1701"/>
          </w:tcPr>
          <w:p>
            <w:pPr>
              <w:keepNext w:val="0"/>
              <w:spacing w:after="100"/>
            </w:pPr>
            <w:r>
              <w:rPr>
                <w:rFonts w:ascii="Arial" w:hAnsi="Arial" w:eastAsia="Arial" w:cs="Arial"/>
                <w:b w:val="0"/>
                <w:color w:val="243A36"/>
                <w:sz w:val="17"/>
              </w:rPr>
              <w:t>01; 12</w:t>
            </w:r>
          </w:p>
        </w:tc>
        <w:tc>
          <w:tcPr>
            <w:tcW w:type="dxa" w:w="1587"/>
          </w:tcPr>
          <w:p>
            <w:pPr>
              <w:keepNext w:val="0"/>
              <w:spacing w:after="100"/>
            </w:pPr>
            <w:r>
              <w:rPr>
                <w:rFonts w:ascii="Arial" w:hAnsi="Arial" w:eastAsia="Arial" w:cs="Arial"/>
                <w:b w:val="0"/>
                <w:color w:val="243A36"/>
                <w:sz w:val="17"/>
              </w:rPr>
              <w:t>01; 07</w:t>
            </w:r>
          </w:p>
        </w:tc>
        <w:tc>
          <w:tcPr>
            <w:tcW w:type="dxa" w:w="1576"/>
          </w:tcPr>
          <w:p>
            <w:pPr>
              <w:keepNext w:val="0"/>
              <w:spacing w:after="100"/>
            </w:pPr>
            <w:r>
              <w:rPr>
                <w:rFonts w:ascii="Arial" w:hAnsi="Arial" w:eastAsia="Arial" w:cs="Arial"/>
                <w:b w:val="0"/>
                <w:color w:val="243A36"/>
                <w:sz w:val="17"/>
              </w:rPr>
              <w:t>01; 07; 08</w:t>
            </w:r>
          </w:p>
        </w:tc>
      </w:tr>
      <w:tr>
        <w:tc>
          <w:tcPr>
            <w:tcW w:type="dxa" w:w="4876"/>
          </w:tcPr>
          <w:p>
            <w:pPr>
              <w:keepNext w:val="0"/>
              <w:spacing w:after="100"/>
            </w:pPr>
            <w:hyperlink w:anchor="MR_02">
              <w:r>
                <w:rPr>
                  <w:color w:val="215F52"/>
                  <w:sz w:val="18"/>
                </w:rPr>
                <w:t>02 Registros controlados del PD, pronóstico y resultados</w:t>
              </w:r>
            </w:hyperlink>
          </w:p>
        </w:tc>
        <w:tc>
          <w:tcPr>
            <w:tcW w:type="dxa" w:w="1701"/>
          </w:tcPr>
          <w:p>
            <w:pPr>
              <w:keepNext w:val="0"/>
              <w:spacing w:after="100"/>
            </w:pPr>
            <w:r>
              <w:rPr>
                <w:rFonts w:ascii="Arial" w:hAnsi="Arial" w:eastAsia="Arial" w:cs="Arial"/>
                <w:b w:val="0"/>
                <w:color w:val="243A36"/>
                <w:sz w:val="17"/>
              </w:rPr>
              <w:t>01; 14; 15; 17; A</w:t>
            </w:r>
          </w:p>
        </w:tc>
        <w:tc>
          <w:tcPr>
            <w:tcW w:type="dxa" w:w="1587"/>
          </w:tcPr>
          <w:p>
            <w:pPr>
              <w:keepNext w:val="0"/>
              <w:spacing w:after="100"/>
            </w:pPr>
            <w:r>
              <w:rPr>
                <w:rFonts w:ascii="Arial" w:hAnsi="Arial" w:eastAsia="Arial" w:cs="Arial"/>
                <w:b w:val="0"/>
                <w:color w:val="243A36"/>
                <w:sz w:val="17"/>
              </w:rPr>
              <w:t>01; 11</w:t>
            </w:r>
          </w:p>
        </w:tc>
        <w:tc>
          <w:tcPr>
            <w:tcW w:type="dxa" w:w="1576"/>
          </w:tcPr>
          <w:p>
            <w:pPr>
              <w:keepNext w:val="0"/>
              <w:spacing w:after="100"/>
            </w:pPr>
            <w:r>
              <w:rPr>
                <w:rFonts w:ascii="Arial" w:hAnsi="Arial" w:eastAsia="Arial" w:cs="Arial"/>
                <w:b w:val="0"/>
                <w:color w:val="243A36"/>
                <w:sz w:val="17"/>
              </w:rPr>
              <w:t>01; 12</w:t>
            </w:r>
          </w:p>
        </w:tc>
      </w:tr>
      <w:tr>
        <w:tc>
          <w:tcPr>
            <w:tcW w:type="dxa" w:w="4876"/>
          </w:tcPr>
          <w:p>
            <w:pPr>
              <w:keepNext w:val="0"/>
              <w:spacing w:after="100"/>
            </w:pPr>
            <w:hyperlink w:anchor="MR_03">
              <w:r>
                <w:rPr>
                  <w:color w:val="215F52"/>
                  <w:sz w:val="18"/>
                </w:rPr>
                <w:t>03 Responsables, derechos y acceso</w:t>
              </w:r>
            </w:hyperlink>
          </w:p>
        </w:tc>
        <w:tc>
          <w:tcPr>
            <w:tcW w:type="dxa" w:w="1701"/>
          </w:tcPr>
          <w:p>
            <w:pPr>
              <w:keepNext w:val="0"/>
              <w:spacing w:after="100"/>
            </w:pPr>
            <w:r>
              <w:rPr>
                <w:rFonts w:ascii="Arial" w:hAnsi="Arial" w:eastAsia="Arial" w:cs="Arial"/>
                <w:b w:val="0"/>
                <w:color w:val="243A36"/>
                <w:sz w:val="17"/>
              </w:rPr>
              <w:t>02</w:t>
            </w:r>
          </w:p>
        </w:tc>
        <w:tc>
          <w:tcPr>
            <w:tcW w:type="dxa" w:w="1587"/>
          </w:tcPr>
          <w:p>
            <w:pPr>
              <w:keepNext w:val="0"/>
              <w:spacing w:after="100"/>
            </w:pPr>
            <w:r>
              <w:rPr>
                <w:rFonts w:ascii="Arial" w:hAnsi="Arial" w:eastAsia="Arial" w:cs="Arial"/>
                <w:b w:val="0"/>
                <w:color w:val="243A36"/>
                <w:sz w:val="17"/>
              </w:rPr>
              <w:t>11</w:t>
            </w:r>
          </w:p>
        </w:tc>
        <w:tc>
          <w:tcPr>
            <w:tcW w:type="dxa" w:w="1576"/>
          </w:tcPr>
          <w:p>
            <w:pPr>
              <w:keepNext w:val="0"/>
              <w:spacing w:after="100"/>
            </w:pPr>
            <w:r>
              <w:rPr>
                <w:rFonts w:ascii="Arial" w:hAnsi="Arial" w:eastAsia="Arial" w:cs="Arial"/>
                <w:b w:val="0"/>
                <w:color w:val="243A36"/>
                <w:sz w:val="17"/>
              </w:rPr>
              <w:t>01; 10</w:t>
            </w:r>
          </w:p>
        </w:tc>
      </w:tr>
      <w:tr>
        <w:tc>
          <w:tcPr>
            <w:tcW w:type="dxa" w:w="4876"/>
          </w:tcPr>
          <w:p>
            <w:pPr>
              <w:keepNext w:val="0"/>
              <w:spacing w:after="100"/>
            </w:pPr>
            <w:hyperlink w:anchor="MR_04">
              <w:r>
                <w:rPr>
                  <w:color w:val="215F52"/>
                  <w:sz w:val="18"/>
                </w:rPr>
                <w:t>04 Implementación frente al PD</w:t>
              </w:r>
            </w:hyperlink>
          </w:p>
        </w:tc>
        <w:tc>
          <w:tcPr>
            <w:tcW w:type="dxa" w:w="1701"/>
          </w:tcPr>
          <w:p>
            <w:pPr>
              <w:keepNext w:val="0"/>
              <w:spacing w:after="100"/>
            </w:pPr>
            <w:r>
              <w:rPr>
                <w:rFonts w:ascii="Arial" w:hAnsi="Arial" w:eastAsia="Arial" w:cs="Arial"/>
                <w:b w:val="0"/>
                <w:color w:val="243A36"/>
                <w:sz w:val="17"/>
              </w:rPr>
              <w:t>04; 13</w:t>
            </w:r>
          </w:p>
        </w:tc>
        <w:tc>
          <w:tcPr>
            <w:tcW w:type="dxa" w:w="1587"/>
          </w:tcPr>
          <w:p>
            <w:pPr>
              <w:keepNext w:val="0"/>
              <w:spacing w:after="100"/>
            </w:pPr>
            <w:r>
              <w:rPr>
                <w:rFonts w:ascii="Arial" w:hAnsi="Arial" w:eastAsia="Arial" w:cs="Arial"/>
                <w:b w:val="0"/>
                <w:color w:val="243A36"/>
                <w:sz w:val="17"/>
              </w:rPr>
              <w:t>04; 10</w:t>
            </w:r>
          </w:p>
        </w:tc>
        <w:tc>
          <w:tcPr>
            <w:tcW w:type="dxa" w:w="1576"/>
          </w:tcPr>
          <w:p>
            <w:pPr>
              <w:keepNext w:val="0"/>
              <w:spacing w:after="100"/>
            </w:pPr>
            <w:r>
              <w:rPr>
                <w:rFonts w:ascii="Arial" w:hAnsi="Arial" w:eastAsia="Arial" w:cs="Arial"/>
                <w:b w:val="0"/>
                <w:color w:val="243A36"/>
                <w:sz w:val="17"/>
              </w:rPr>
              <w:t>04; 10</w:t>
            </w:r>
          </w:p>
        </w:tc>
      </w:tr>
      <w:tr>
        <w:tc>
          <w:tcPr>
            <w:tcW w:type="dxa" w:w="4876"/>
          </w:tcPr>
          <w:p>
            <w:pPr>
              <w:keepNext w:val="0"/>
              <w:spacing w:after="100"/>
            </w:pPr>
            <w:hyperlink w:anchor="MR_05">
              <w:r>
                <w:rPr>
                  <w:color w:val="215F52"/>
                  <w:sz w:val="18"/>
                </w:rPr>
                <w:t>05 Plan de monitoreo: previsto frente a ejecutado</w:t>
              </w:r>
            </w:hyperlink>
          </w:p>
        </w:tc>
        <w:tc>
          <w:tcPr>
            <w:tcW w:type="dxa" w:w="1701"/>
          </w:tcPr>
          <w:p>
            <w:pPr>
              <w:keepNext w:val="0"/>
              <w:spacing w:after="100"/>
            </w:pPr>
            <w:r>
              <w:rPr>
                <w:rFonts w:ascii="Arial" w:hAnsi="Arial" w:eastAsia="Arial" w:cs="Arial"/>
                <w:b w:val="0"/>
                <w:color w:val="243A36"/>
                <w:sz w:val="17"/>
              </w:rPr>
              <w:t>14; 15</w:t>
            </w:r>
          </w:p>
        </w:tc>
        <w:tc>
          <w:tcPr>
            <w:tcW w:type="dxa" w:w="1587"/>
          </w:tcPr>
          <w:p>
            <w:pPr>
              <w:keepNext w:val="0"/>
              <w:spacing w:after="100"/>
            </w:pPr>
            <w:r>
              <w:rPr>
                <w:rFonts w:ascii="Arial" w:hAnsi="Arial" w:eastAsia="Arial" w:cs="Arial"/>
                <w:b w:val="0"/>
                <w:color w:val="243A36"/>
                <w:sz w:val="17"/>
              </w:rPr>
              <w:t>02; 08</w:t>
            </w:r>
          </w:p>
        </w:tc>
        <w:tc>
          <w:tcPr>
            <w:tcW w:type="dxa" w:w="1576"/>
          </w:tcPr>
          <w:p>
            <w:pPr>
              <w:keepNext w:val="0"/>
              <w:spacing w:after="100"/>
            </w:pPr>
            <w:r>
              <w:rPr>
                <w:rFonts w:ascii="Arial" w:hAnsi="Arial" w:eastAsia="Arial" w:cs="Arial"/>
                <w:b w:val="0"/>
                <w:color w:val="243A36"/>
                <w:sz w:val="17"/>
              </w:rPr>
              <w:t>02</w:t>
            </w:r>
          </w:p>
        </w:tc>
      </w:tr>
      <w:tr>
        <w:tc>
          <w:tcPr>
            <w:tcW w:type="dxa" w:w="4876"/>
          </w:tcPr>
          <w:p>
            <w:pPr>
              <w:keepNext w:val="0"/>
              <w:spacing w:after="100"/>
            </w:pPr>
            <w:hyperlink w:anchor="MR_06">
              <w:r>
                <w:rPr>
                  <w:color w:val="215F52"/>
                  <w:sz w:val="18"/>
                </w:rPr>
                <w:t>06 Alcance espacial y mapas de monitoreo</w:t>
              </w:r>
            </w:hyperlink>
          </w:p>
        </w:tc>
        <w:tc>
          <w:tcPr>
            <w:tcW w:type="dxa" w:w="1701"/>
          </w:tcPr>
          <w:p>
            <w:pPr>
              <w:keepNext w:val="0"/>
              <w:spacing w:after="100"/>
            </w:pPr>
            <w:r>
              <w:rPr>
                <w:rFonts w:ascii="Arial" w:hAnsi="Arial" w:eastAsia="Arial" w:cs="Arial"/>
                <w:b w:val="0"/>
                <w:color w:val="243A36"/>
                <w:sz w:val="17"/>
              </w:rPr>
              <w:t>03; 08</w:t>
            </w:r>
          </w:p>
        </w:tc>
        <w:tc>
          <w:tcPr>
            <w:tcW w:type="dxa" w:w="1587"/>
          </w:tcPr>
          <w:p>
            <w:pPr>
              <w:keepNext w:val="0"/>
              <w:spacing w:after="100"/>
            </w:pPr>
            <w:r>
              <w:rPr>
                <w:rFonts w:ascii="Arial" w:hAnsi="Arial" w:eastAsia="Arial" w:cs="Arial"/>
                <w:b w:val="0"/>
                <w:color w:val="243A36"/>
                <w:sz w:val="17"/>
              </w:rPr>
              <w:t>02</w:t>
            </w:r>
          </w:p>
        </w:tc>
        <w:tc>
          <w:tcPr>
            <w:tcW w:type="dxa" w:w="1576"/>
          </w:tcPr>
          <w:p>
            <w:pPr>
              <w:keepNext w:val="0"/>
              <w:spacing w:after="100"/>
            </w:pPr>
            <w:r>
              <w:rPr>
                <w:rFonts w:ascii="Arial" w:hAnsi="Arial" w:eastAsia="Arial" w:cs="Arial"/>
                <w:b w:val="0"/>
                <w:color w:val="243A36"/>
                <w:sz w:val="17"/>
              </w:rPr>
              <w:t>02; 11</w:t>
            </w:r>
          </w:p>
        </w:tc>
      </w:tr>
      <w:tr>
        <w:tc>
          <w:tcPr>
            <w:tcW w:type="dxa" w:w="4876"/>
          </w:tcPr>
          <w:p>
            <w:pPr>
              <w:keepNext w:val="0"/>
              <w:spacing w:after="100"/>
            </w:pPr>
            <w:hyperlink w:anchor="MR_07">
              <w:r>
                <w:rPr>
                  <w:color w:val="215F52"/>
                  <w:sz w:val="18"/>
                </w:rPr>
                <w:t>07 NEB001: identidad y cambio de vegetación</w:t>
              </w:r>
            </w:hyperlink>
          </w:p>
        </w:tc>
        <w:tc>
          <w:tcPr>
            <w:tcW w:type="dxa" w:w="1701"/>
          </w:tcPr>
          <w:p>
            <w:pPr>
              <w:keepNext w:val="0"/>
              <w:spacing w:after="100"/>
            </w:pPr>
            <w:r>
              <w:rPr>
                <w:rFonts w:ascii="Arial" w:hAnsi="Arial" w:eastAsia="Arial" w:cs="Arial"/>
                <w:b w:val="0"/>
                <w:color w:val="243A36"/>
                <w:sz w:val="17"/>
              </w:rPr>
              <w:t>05; 14</w:t>
            </w:r>
          </w:p>
        </w:tc>
        <w:tc>
          <w:tcPr>
            <w:tcW w:type="dxa" w:w="1587"/>
          </w:tcPr>
          <w:p>
            <w:pPr>
              <w:keepNext w:val="0"/>
              <w:spacing w:after="100"/>
            </w:pPr>
            <w:r>
              <w:rPr>
                <w:rFonts w:ascii="Arial" w:hAnsi="Arial" w:eastAsia="Arial" w:cs="Arial"/>
                <w:b w:val="0"/>
                <w:color w:val="243A36"/>
                <w:sz w:val="17"/>
              </w:rPr>
              <w:t>02; 06</w:t>
            </w:r>
          </w:p>
        </w:tc>
        <w:tc>
          <w:tcPr>
            <w:tcW w:type="dxa" w:w="1576"/>
          </w:tcPr>
          <w:p>
            <w:pPr>
              <w:keepNext w:val="0"/>
              <w:spacing w:after="100"/>
            </w:pPr>
            <w:r>
              <w:rPr>
                <w:rFonts w:ascii="Arial" w:hAnsi="Arial" w:eastAsia="Arial" w:cs="Arial"/>
                <w:b w:val="0"/>
                <w:color w:val="243A36"/>
                <w:sz w:val="17"/>
              </w:rPr>
              <w:t>02</w:t>
            </w:r>
          </w:p>
        </w:tc>
      </w:tr>
      <w:tr>
        <w:tc>
          <w:tcPr>
            <w:tcW w:type="dxa" w:w="4876"/>
          </w:tcPr>
          <w:p>
            <w:pPr>
              <w:keepNext w:val="0"/>
              <w:spacing w:after="100"/>
            </w:pPr>
            <w:hyperlink w:anchor="MR_08">
              <w:r>
                <w:rPr>
                  <w:color w:val="215F52"/>
                  <w:sz w:val="18"/>
                </w:rPr>
                <w:t>08 NEB002: evidencia material, carbono y modelos</w:t>
              </w:r>
            </w:hyperlink>
          </w:p>
        </w:tc>
        <w:tc>
          <w:tcPr>
            <w:tcW w:type="dxa" w:w="1701"/>
          </w:tcPr>
          <w:p>
            <w:pPr>
              <w:keepNext w:val="0"/>
              <w:spacing w:after="100"/>
            </w:pPr>
            <w:r>
              <w:rPr>
                <w:rFonts w:ascii="Arial" w:hAnsi="Arial" w:eastAsia="Arial" w:cs="Arial"/>
                <w:b w:val="0"/>
                <w:color w:val="243A36"/>
                <w:sz w:val="17"/>
              </w:rPr>
              <w:t>05; 09; 14</w:t>
            </w:r>
          </w:p>
        </w:tc>
        <w:tc>
          <w:tcPr>
            <w:tcW w:type="dxa" w:w="1587"/>
          </w:tcPr>
          <w:p>
            <w:pPr>
              <w:keepNext w:val="0"/>
              <w:spacing w:after="100"/>
            </w:pPr>
            <w:r>
              <w:rPr>
                <w:rFonts w:ascii="Arial" w:hAnsi="Arial" w:eastAsia="Arial" w:cs="Arial"/>
                <w:b w:val="0"/>
                <w:color w:val="243A36"/>
                <w:sz w:val="17"/>
              </w:rPr>
              <w:t>02; 06</w:t>
            </w:r>
          </w:p>
        </w:tc>
        <w:tc>
          <w:tcPr>
            <w:tcW w:type="dxa" w:w="1576"/>
          </w:tcPr>
          <w:p>
            <w:pPr>
              <w:keepNext w:val="0"/>
              <w:spacing w:after="100"/>
            </w:pPr>
            <w:r>
              <w:rPr>
                <w:rFonts w:ascii="Arial" w:hAnsi="Arial" w:eastAsia="Arial" w:cs="Arial"/>
                <w:b w:val="0"/>
                <w:color w:val="243A36"/>
                <w:sz w:val="17"/>
              </w:rPr>
              <w:t>02; 06</w:t>
            </w:r>
          </w:p>
        </w:tc>
      </w:tr>
      <w:tr>
        <w:tc>
          <w:tcPr>
            <w:tcW w:type="dxa" w:w="4876"/>
          </w:tcPr>
          <w:p>
            <w:pPr>
              <w:keepNext w:val="0"/>
              <w:spacing w:after="100"/>
            </w:pPr>
            <w:hyperlink w:anchor="MR_09">
              <w:r>
                <w:rPr>
                  <w:color w:val="215F52"/>
                  <w:sz w:val="18"/>
                </w:rPr>
                <w:t>09 Control de calidad, custodia y observaciones faltantes</w:t>
              </w:r>
            </w:hyperlink>
          </w:p>
        </w:tc>
        <w:tc>
          <w:tcPr>
            <w:tcW w:type="dxa" w:w="1701"/>
          </w:tcPr>
          <w:p>
            <w:pPr>
              <w:keepNext w:val="0"/>
              <w:spacing w:after="100"/>
            </w:pPr>
            <w:r>
              <w:rPr>
                <w:rFonts w:ascii="Arial" w:hAnsi="Arial" w:eastAsia="Arial" w:cs="Arial"/>
                <w:b w:val="0"/>
                <w:color w:val="243A36"/>
                <w:sz w:val="17"/>
              </w:rPr>
              <w:t>05; 14; 17</w:t>
            </w:r>
          </w:p>
        </w:tc>
        <w:tc>
          <w:tcPr>
            <w:tcW w:type="dxa" w:w="1587"/>
          </w:tcPr>
          <w:p>
            <w:pPr>
              <w:keepNext w:val="0"/>
              <w:spacing w:after="100"/>
            </w:pPr>
            <w:r>
              <w:rPr>
                <w:rFonts w:ascii="Arial" w:hAnsi="Arial" w:eastAsia="Arial" w:cs="Arial"/>
                <w:b w:val="0"/>
                <w:color w:val="243A36"/>
                <w:sz w:val="17"/>
              </w:rPr>
              <w:t>02; 11</w:t>
            </w:r>
          </w:p>
        </w:tc>
        <w:tc>
          <w:tcPr>
            <w:tcW w:type="dxa" w:w="1576"/>
          </w:tcPr>
          <w:p>
            <w:pPr>
              <w:keepNext w:val="0"/>
              <w:spacing w:after="100"/>
            </w:pPr>
            <w:r>
              <w:rPr>
                <w:rFonts w:ascii="Arial" w:hAnsi="Arial" w:eastAsia="Arial" w:cs="Arial"/>
                <w:b w:val="0"/>
                <w:color w:val="243A36"/>
                <w:sz w:val="17"/>
              </w:rPr>
              <w:t>02; 12</w:t>
            </w:r>
          </w:p>
        </w:tc>
      </w:tr>
      <w:tr>
        <w:tc>
          <w:tcPr>
            <w:tcW w:type="dxa" w:w="4876"/>
          </w:tcPr>
          <w:p>
            <w:pPr>
              <w:keepNext w:val="0"/>
              <w:spacing w:after="100"/>
            </w:pPr>
            <w:hyperlink w:anchor="MR_10">
              <w:r>
                <w:rPr>
                  <w:color w:val="215F52"/>
                  <w:sz w:val="18"/>
                </w:rPr>
                <w:t>10 Desviaciones, correcciones y cambios de parámetros</w:t>
              </w:r>
            </w:hyperlink>
          </w:p>
        </w:tc>
        <w:tc>
          <w:tcPr>
            <w:tcW w:type="dxa" w:w="1701"/>
          </w:tcPr>
          <w:p>
            <w:pPr>
              <w:keepNext w:val="0"/>
              <w:spacing w:after="100"/>
            </w:pPr>
            <w:r>
              <w:rPr>
                <w:rFonts w:ascii="Arial" w:hAnsi="Arial" w:eastAsia="Arial" w:cs="Arial"/>
                <w:b w:val="0"/>
                <w:color w:val="243A36"/>
                <w:sz w:val="17"/>
              </w:rPr>
              <w:t>14; 15; 16</w:t>
            </w:r>
          </w:p>
        </w:tc>
        <w:tc>
          <w:tcPr>
            <w:tcW w:type="dxa" w:w="1587"/>
          </w:tcPr>
          <w:p>
            <w:pPr>
              <w:keepNext w:val="0"/>
              <w:spacing w:after="100"/>
            </w:pPr>
            <w:r>
              <w:rPr>
                <w:rFonts w:ascii="Arial" w:hAnsi="Arial" w:eastAsia="Arial" w:cs="Arial"/>
                <w:b w:val="0"/>
                <w:color w:val="243A36"/>
                <w:sz w:val="17"/>
              </w:rPr>
              <w:t>01; 08; 11</w:t>
            </w:r>
          </w:p>
        </w:tc>
        <w:tc>
          <w:tcPr>
            <w:tcW w:type="dxa" w:w="1576"/>
          </w:tcPr>
          <w:p>
            <w:pPr>
              <w:keepNext w:val="0"/>
              <w:spacing w:after="100"/>
            </w:pPr>
            <w:r>
              <w:rPr>
                <w:rFonts w:ascii="Arial" w:hAnsi="Arial" w:eastAsia="Arial" w:cs="Arial"/>
                <w:b w:val="0"/>
                <w:color w:val="243A36"/>
                <w:sz w:val="17"/>
              </w:rPr>
              <w:t>02; 03; 09; 12</w:t>
            </w:r>
          </w:p>
        </w:tc>
      </w:tr>
      <w:tr>
        <w:tc>
          <w:tcPr>
            <w:tcW w:type="dxa" w:w="4876"/>
          </w:tcPr>
          <w:p>
            <w:pPr>
              <w:keepNext w:val="0"/>
              <w:spacing w:after="100"/>
            </w:pPr>
            <w:hyperlink w:anchor="MR_11">
              <w:r>
                <w:rPr>
                  <w:color w:val="215F52"/>
                  <w:sz w:val="18"/>
                </w:rPr>
                <w:t>11 Contrafactual del intervalo monitoreado</w:t>
              </w:r>
            </w:hyperlink>
          </w:p>
        </w:tc>
        <w:tc>
          <w:tcPr>
            <w:tcW w:type="dxa" w:w="1701"/>
          </w:tcPr>
          <w:p>
            <w:pPr>
              <w:keepNext w:val="0"/>
              <w:spacing w:after="100"/>
            </w:pPr>
            <w:r>
              <w:rPr>
                <w:rFonts w:ascii="Arial" w:hAnsi="Arial" w:eastAsia="Arial" w:cs="Arial"/>
                <w:b w:val="0"/>
                <w:color w:val="243A36"/>
                <w:sz w:val="17"/>
              </w:rPr>
              <w:t>06; 07</w:t>
            </w:r>
          </w:p>
        </w:tc>
        <w:tc>
          <w:tcPr>
            <w:tcW w:type="dxa" w:w="1587"/>
          </w:tcPr>
          <w:p>
            <w:pPr>
              <w:keepNext w:val="0"/>
              <w:spacing w:after="100"/>
            </w:pPr>
            <w:r>
              <w:rPr>
                <w:rFonts w:ascii="Arial" w:hAnsi="Arial" w:eastAsia="Arial" w:cs="Arial"/>
                <w:b w:val="0"/>
                <w:color w:val="243A36"/>
                <w:sz w:val="17"/>
              </w:rPr>
              <w:t>03</w:t>
            </w:r>
          </w:p>
        </w:tc>
        <w:tc>
          <w:tcPr>
            <w:tcW w:type="dxa" w:w="1576"/>
          </w:tcPr>
          <w:p>
            <w:pPr>
              <w:keepNext w:val="0"/>
              <w:spacing w:after="100"/>
            </w:pPr>
            <w:r>
              <w:rPr>
                <w:rFonts w:ascii="Arial" w:hAnsi="Arial" w:eastAsia="Arial" w:cs="Arial"/>
                <w:b w:val="0"/>
                <w:color w:val="243A36"/>
                <w:sz w:val="17"/>
              </w:rPr>
              <w:t>03</w:t>
            </w:r>
          </w:p>
        </w:tc>
      </w:tr>
      <w:tr>
        <w:tc>
          <w:tcPr>
            <w:tcW w:type="dxa" w:w="4876"/>
          </w:tcPr>
          <w:p>
            <w:pPr>
              <w:keepNext w:val="0"/>
              <w:spacing w:after="100"/>
            </w:pPr>
            <w:hyperlink w:anchor="MR_12">
              <w:r>
                <w:rPr>
                  <w:color w:val="215F52"/>
                  <w:sz w:val="18"/>
                </w:rPr>
                <w:t>12 Emisiones y remociones reales del proyecto</w:t>
              </w:r>
            </w:hyperlink>
          </w:p>
        </w:tc>
        <w:tc>
          <w:tcPr>
            <w:tcW w:type="dxa" w:w="1701"/>
          </w:tcPr>
          <w:p>
            <w:pPr>
              <w:keepNext w:val="0"/>
              <w:spacing w:after="100"/>
            </w:pPr>
            <w:r>
              <w:rPr>
                <w:rFonts w:ascii="Arial" w:hAnsi="Arial" w:eastAsia="Arial" w:cs="Arial"/>
                <w:b w:val="0"/>
                <w:color w:val="243A36"/>
                <w:sz w:val="17"/>
              </w:rPr>
              <w:t>09; 13; 14</w:t>
            </w:r>
          </w:p>
        </w:tc>
        <w:tc>
          <w:tcPr>
            <w:tcW w:type="dxa" w:w="1587"/>
          </w:tcPr>
          <w:p>
            <w:pPr>
              <w:keepNext w:val="0"/>
              <w:spacing w:after="100"/>
            </w:pPr>
            <w:r>
              <w:rPr>
                <w:rFonts w:ascii="Arial" w:hAnsi="Arial" w:eastAsia="Arial" w:cs="Arial"/>
                <w:b w:val="0"/>
                <w:color w:val="243A36"/>
                <w:sz w:val="17"/>
              </w:rPr>
              <w:t>04; 06</w:t>
            </w:r>
          </w:p>
        </w:tc>
        <w:tc>
          <w:tcPr>
            <w:tcW w:type="dxa" w:w="1576"/>
          </w:tcPr>
          <w:p>
            <w:pPr>
              <w:keepNext w:val="0"/>
              <w:spacing w:after="100"/>
            </w:pPr>
            <w:r>
              <w:rPr>
                <w:rFonts w:ascii="Arial" w:hAnsi="Arial" w:eastAsia="Arial" w:cs="Arial"/>
                <w:b w:val="0"/>
                <w:color w:val="243A36"/>
                <w:sz w:val="17"/>
              </w:rPr>
              <w:t>04; 06</w:t>
            </w:r>
          </w:p>
        </w:tc>
      </w:tr>
      <w:tr>
        <w:tc>
          <w:tcPr>
            <w:tcW w:type="dxa" w:w="4876"/>
          </w:tcPr>
          <w:p>
            <w:pPr>
              <w:keepNext w:val="0"/>
              <w:spacing w:after="100"/>
            </w:pPr>
            <w:hyperlink w:anchor="MR_13">
              <w:r>
                <w:rPr>
                  <w:color w:val="215F52"/>
                  <w:sz w:val="18"/>
                </w:rPr>
                <w:t>13 Actividad externa y fugas atribuibles</w:t>
              </w:r>
            </w:hyperlink>
          </w:p>
        </w:tc>
        <w:tc>
          <w:tcPr>
            <w:tcW w:type="dxa" w:w="1701"/>
          </w:tcPr>
          <w:p>
            <w:pPr>
              <w:keepNext w:val="0"/>
              <w:spacing w:after="100"/>
            </w:pPr>
            <w:r>
              <w:rPr>
                <w:rFonts w:ascii="Arial" w:hAnsi="Arial" w:eastAsia="Arial" w:cs="Arial"/>
                <w:b w:val="0"/>
                <w:color w:val="243A36"/>
                <w:sz w:val="17"/>
              </w:rPr>
              <w:t>06; 09; 14</w:t>
            </w:r>
          </w:p>
        </w:tc>
        <w:tc>
          <w:tcPr>
            <w:tcW w:type="dxa" w:w="1587"/>
          </w:tcPr>
          <w:p>
            <w:pPr>
              <w:keepNext w:val="0"/>
              <w:spacing w:after="100"/>
            </w:pPr>
            <w:r>
              <w:rPr>
                <w:rFonts w:ascii="Arial" w:hAnsi="Arial" w:eastAsia="Arial" w:cs="Arial"/>
                <w:b w:val="0"/>
                <w:color w:val="243A36"/>
                <w:sz w:val="17"/>
              </w:rPr>
              <w:t>05</w:t>
            </w:r>
          </w:p>
        </w:tc>
        <w:tc>
          <w:tcPr>
            <w:tcW w:type="dxa" w:w="1576"/>
          </w:tcPr>
          <w:p>
            <w:pPr>
              <w:keepNext w:val="0"/>
              <w:spacing w:after="100"/>
            </w:pPr>
            <w:r>
              <w:rPr>
                <w:rFonts w:ascii="Arial" w:hAnsi="Arial" w:eastAsia="Arial" w:cs="Arial"/>
                <w:b w:val="0"/>
                <w:color w:val="243A36"/>
                <w:sz w:val="17"/>
              </w:rPr>
              <w:t>05</w:t>
            </w:r>
          </w:p>
        </w:tc>
      </w:tr>
      <w:tr>
        <w:tc>
          <w:tcPr>
            <w:tcW w:type="dxa" w:w="4876"/>
          </w:tcPr>
          <w:p>
            <w:pPr>
              <w:keepNext w:val="0"/>
              <w:spacing w:after="100"/>
            </w:pPr>
            <w:hyperlink w:anchor="MR_14">
              <w:r>
                <w:rPr>
                  <w:color w:val="215F52"/>
                  <w:sz w:val="18"/>
                </w:rPr>
                <w:t>14 Existencias, liberaciones diferidas y continuidad de cohortes</w:t>
              </w:r>
            </w:hyperlink>
          </w:p>
        </w:tc>
        <w:tc>
          <w:tcPr>
            <w:tcW w:type="dxa" w:w="1701"/>
          </w:tcPr>
          <w:p>
            <w:pPr>
              <w:keepNext w:val="0"/>
              <w:spacing w:after="100"/>
            </w:pPr>
            <w:r>
              <w:rPr>
                <w:rFonts w:ascii="Arial" w:hAnsi="Arial" w:eastAsia="Arial" w:cs="Arial"/>
                <w:b w:val="0"/>
                <w:color w:val="243A36"/>
                <w:sz w:val="17"/>
              </w:rPr>
              <w:t>09; 10</w:t>
            </w:r>
          </w:p>
        </w:tc>
        <w:tc>
          <w:tcPr>
            <w:tcW w:type="dxa" w:w="1587"/>
          </w:tcPr>
          <w:p>
            <w:pPr>
              <w:keepNext w:val="0"/>
              <w:spacing w:after="100"/>
            </w:pPr>
            <w:r>
              <w:rPr>
                <w:rFonts w:ascii="Arial" w:hAnsi="Arial" w:eastAsia="Arial" w:cs="Arial"/>
                <w:b w:val="0"/>
                <w:color w:val="243A36"/>
                <w:sz w:val="17"/>
              </w:rPr>
              <w:t>06</w:t>
            </w:r>
          </w:p>
        </w:tc>
        <w:tc>
          <w:tcPr>
            <w:tcW w:type="dxa" w:w="1576"/>
          </w:tcPr>
          <w:p>
            <w:pPr>
              <w:keepNext w:val="0"/>
              <w:spacing w:after="100"/>
            </w:pPr>
            <w:r>
              <w:rPr>
                <w:rFonts w:ascii="Arial" w:hAnsi="Arial" w:eastAsia="Arial" w:cs="Arial"/>
                <w:b w:val="0"/>
                <w:color w:val="243A36"/>
                <w:sz w:val="17"/>
              </w:rPr>
              <w:t>06</w:t>
            </w:r>
          </w:p>
        </w:tc>
      </w:tr>
      <w:tr>
        <w:tc>
          <w:tcPr>
            <w:tcW w:type="dxa" w:w="4876"/>
          </w:tcPr>
          <w:p>
            <w:pPr>
              <w:keepNext w:val="0"/>
              <w:spacing w:after="100"/>
            </w:pPr>
            <w:hyperlink w:anchor="MR_15">
              <w:r>
                <w:rPr>
                  <w:color w:val="215F52"/>
                  <w:sz w:val="18"/>
                </w:rPr>
                <w:t>15 Cuenta ex post con signo y totales reportados</w:t>
              </w:r>
            </w:hyperlink>
          </w:p>
        </w:tc>
        <w:tc>
          <w:tcPr>
            <w:tcW w:type="dxa" w:w="1701"/>
          </w:tcPr>
          <w:p>
            <w:pPr>
              <w:keepNext w:val="0"/>
              <w:spacing w:after="100"/>
            </w:pPr>
            <w:r>
              <w:rPr>
                <w:rFonts w:ascii="Arial" w:hAnsi="Arial" w:eastAsia="Arial" w:cs="Arial"/>
                <w:b w:val="0"/>
                <w:color w:val="243A36"/>
                <w:sz w:val="17"/>
              </w:rPr>
              <w:t>09; A; CALC</w:t>
            </w:r>
          </w:p>
        </w:tc>
        <w:tc>
          <w:tcPr>
            <w:tcW w:type="dxa" w:w="1587"/>
          </w:tcPr>
          <w:p>
            <w:pPr>
              <w:keepNext w:val="0"/>
              <w:spacing w:after="100"/>
            </w:pPr>
            <w:r>
              <w:rPr>
                <w:rFonts w:ascii="Arial" w:hAnsi="Arial" w:eastAsia="Arial" w:cs="Arial"/>
                <w:b w:val="0"/>
                <w:color w:val="243A36"/>
                <w:sz w:val="17"/>
              </w:rPr>
              <w:t>07</w:t>
            </w:r>
          </w:p>
        </w:tc>
        <w:tc>
          <w:tcPr>
            <w:tcW w:type="dxa" w:w="1576"/>
          </w:tcPr>
          <w:p>
            <w:pPr>
              <w:keepNext w:val="0"/>
              <w:spacing w:after="100"/>
            </w:pPr>
            <w:r>
              <w:rPr>
                <w:rFonts w:ascii="Arial" w:hAnsi="Arial" w:eastAsia="Arial" w:cs="Arial"/>
                <w:b w:val="0"/>
                <w:color w:val="243A36"/>
                <w:sz w:val="17"/>
              </w:rPr>
              <w:t>07</w:t>
            </w:r>
          </w:p>
        </w:tc>
      </w:tr>
      <w:tr>
        <w:tc>
          <w:tcPr>
            <w:tcW w:type="dxa" w:w="4876"/>
          </w:tcPr>
          <w:p>
            <w:pPr>
              <w:keepNext w:val="0"/>
              <w:spacing w:after="100"/>
            </w:pPr>
            <w:hyperlink w:anchor="MR_16">
              <w:r>
                <w:rPr>
                  <w:color w:val="215F52"/>
                  <w:sz w:val="18"/>
                </w:rPr>
                <w:t>16 Incertidumbre, conservadurismo y materialidad</w:t>
              </w:r>
            </w:hyperlink>
          </w:p>
        </w:tc>
        <w:tc>
          <w:tcPr>
            <w:tcW w:type="dxa" w:w="1701"/>
          </w:tcPr>
          <w:p>
            <w:pPr>
              <w:keepNext w:val="0"/>
              <w:spacing w:after="100"/>
            </w:pPr>
            <w:r>
              <w:rPr>
                <w:rFonts w:ascii="Arial" w:hAnsi="Arial" w:eastAsia="Arial" w:cs="Arial"/>
                <w:b w:val="0"/>
                <w:color w:val="243A36"/>
                <w:sz w:val="17"/>
              </w:rPr>
              <w:t>10; 15</w:t>
            </w:r>
          </w:p>
        </w:tc>
        <w:tc>
          <w:tcPr>
            <w:tcW w:type="dxa" w:w="1587"/>
          </w:tcPr>
          <w:p>
            <w:pPr>
              <w:keepNext w:val="0"/>
              <w:spacing w:after="100"/>
            </w:pPr>
            <w:r>
              <w:rPr>
                <w:rFonts w:ascii="Arial" w:hAnsi="Arial" w:eastAsia="Arial" w:cs="Arial"/>
                <w:b w:val="0"/>
                <w:color w:val="243A36"/>
                <w:sz w:val="17"/>
              </w:rPr>
              <w:t>08</w:t>
            </w:r>
          </w:p>
        </w:tc>
        <w:tc>
          <w:tcPr>
            <w:tcW w:type="dxa" w:w="1576"/>
          </w:tcPr>
          <w:p>
            <w:pPr>
              <w:keepNext w:val="0"/>
              <w:spacing w:after="100"/>
            </w:pPr>
            <w:r>
              <w:rPr>
                <w:rFonts w:ascii="Arial" w:hAnsi="Arial" w:eastAsia="Arial" w:cs="Arial"/>
                <w:b w:val="0"/>
                <w:color w:val="243A36"/>
                <w:sz w:val="17"/>
              </w:rPr>
              <w:t>07; CALC</w:t>
            </w:r>
          </w:p>
        </w:tc>
      </w:tr>
      <w:tr>
        <w:tc>
          <w:tcPr>
            <w:tcW w:type="dxa" w:w="4876"/>
          </w:tcPr>
          <w:p>
            <w:pPr>
              <w:keepNext w:val="0"/>
              <w:spacing w:after="100"/>
            </w:pPr>
            <w:hyperlink w:anchor="MR_17">
              <w:r>
                <w:rPr>
                  <w:color w:val="215F52"/>
                  <w:sz w:val="18"/>
                </w:rPr>
                <w:t>17 Riesgo, reserva y respuesta a perturbaciones</w:t>
              </w:r>
            </w:hyperlink>
          </w:p>
        </w:tc>
        <w:tc>
          <w:tcPr>
            <w:tcW w:type="dxa" w:w="1701"/>
          </w:tcPr>
          <w:p>
            <w:pPr>
              <w:keepNext w:val="0"/>
              <w:spacing w:after="100"/>
            </w:pPr>
            <w:r>
              <w:rPr>
                <w:rFonts w:ascii="Arial" w:hAnsi="Arial" w:eastAsia="Arial" w:cs="Arial"/>
                <w:b w:val="0"/>
                <w:color w:val="243A36"/>
                <w:sz w:val="17"/>
              </w:rPr>
              <w:t>10; 13</w:t>
            </w:r>
          </w:p>
        </w:tc>
        <w:tc>
          <w:tcPr>
            <w:tcW w:type="dxa" w:w="1587"/>
          </w:tcPr>
          <w:p>
            <w:pPr>
              <w:keepNext w:val="0"/>
              <w:spacing w:after="100"/>
            </w:pPr>
            <w:r>
              <w:rPr>
                <w:rFonts w:ascii="Arial" w:hAnsi="Arial" w:eastAsia="Arial" w:cs="Arial"/>
                <w:b w:val="0"/>
                <w:color w:val="243A36"/>
                <w:sz w:val="17"/>
              </w:rPr>
              <w:t>08</w:t>
            </w:r>
          </w:p>
        </w:tc>
        <w:tc>
          <w:tcPr>
            <w:tcW w:type="dxa" w:w="1576"/>
          </w:tcPr>
          <w:p>
            <w:pPr>
              <w:keepNext w:val="0"/>
              <w:spacing w:after="100"/>
            </w:pPr>
            <w:r>
              <w:rPr>
                <w:rFonts w:ascii="Arial" w:hAnsi="Arial" w:eastAsia="Arial" w:cs="Arial"/>
                <w:b w:val="0"/>
                <w:color w:val="243A36"/>
                <w:sz w:val="17"/>
              </w:rPr>
              <w:t>08</w:t>
            </w:r>
          </w:p>
        </w:tc>
      </w:tr>
      <w:tr>
        <w:tc>
          <w:tcPr>
            <w:tcW w:type="dxa" w:w="4876"/>
          </w:tcPr>
          <w:p>
            <w:pPr>
              <w:keepNext w:val="0"/>
              <w:spacing w:after="100"/>
            </w:pPr>
            <w:hyperlink w:anchor="MR_18">
              <w:r>
                <w:rPr>
                  <w:color w:val="215F52"/>
                  <w:sz w:val="18"/>
                </w:rPr>
                <w:t>18 Liquidación, resultados negativos y continuidad</w:t>
              </w:r>
            </w:hyperlink>
          </w:p>
        </w:tc>
        <w:tc>
          <w:tcPr>
            <w:tcW w:type="dxa" w:w="1701"/>
          </w:tcPr>
          <w:p>
            <w:pPr>
              <w:keepNext w:val="0"/>
              <w:spacing w:after="100"/>
            </w:pPr>
            <w:r>
              <w:rPr>
                <w:rFonts w:ascii="Arial" w:hAnsi="Arial" w:eastAsia="Arial" w:cs="Arial"/>
                <w:b w:val="0"/>
                <w:color w:val="243A36"/>
                <w:sz w:val="17"/>
              </w:rPr>
              <w:t>10; 15</w:t>
            </w:r>
          </w:p>
        </w:tc>
        <w:tc>
          <w:tcPr>
            <w:tcW w:type="dxa" w:w="1587"/>
          </w:tcPr>
          <w:p>
            <w:pPr>
              <w:keepNext w:val="0"/>
              <w:spacing w:after="100"/>
            </w:pPr>
            <w:r>
              <w:rPr>
                <w:rFonts w:ascii="Arial" w:hAnsi="Arial" w:eastAsia="Arial" w:cs="Arial"/>
                <w:b w:val="0"/>
                <w:color w:val="243A36"/>
                <w:sz w:val="17"/>
              </w:rPr>
              <w:t>07; 08</w:t>
            </w:r>
          </w:p>
        </w:tc>
        <w:tc>
          <w:tcPr>
            <w:tcW w:type="dxa" w:w="1576"/>
          </w:tcPr>
          <w:p>
            <w:pPr>
              <w:keepNext w:val="0"/>
              <w:spacing w:after="100"/>
            </w:pPr>
            <w:r>
              <w:rPr>
                <w:rFonts w:ascii="Arial" w:hAnsi="Arial" w:eastAsia="Arial" w:cs="Arial"/>
                <w:b w:val="0"/>
                <w:color w:val="243A36"/>
                <w:sz w:val="17"/>
              </w:rPr>
              <w:t>08</w:t>
            </w:r>
          </w:p>
        </w:tc>
      </w:tr>
      <w:tr>
        <w:tc>
          <w:tcPr>
            <w:tcW w:type="dxa" w:w="4876"/>
          </w:tcPr>
          <w:p>
            <w:pPr>
              <w:keepNext w:val="0"/>
              <w:spacing w:after="100"/>
            </w:pPr>
            <w:hyperlink w:anchor="MR_19">
              <w:r>
                <w:rPr>
                  <w:color w:val="215F52"/>
                  <w:sz w:val="18"/>
                </w:rPr>
                <w:t>19 Comparación con el pronóstico ex ante fijado</w:t>
              </w:r>
            </w:hyperlink>
          </w:p>
        </w:tc>
        <w:tc>
          <w:tcPr>
            <w:tcW w:type="dxa" w:w="1701"/>
          </w:tcPr>
          <w:p>
            <w:pPr>
              <w:keepNext w:val="0"/>
              <w:spacing w:after="100"/>
            </w:pPr>
            <w:r>
              <w:rPr>
                <w:rFonts w:ascii="Arial" w:hAnsi="Arial" w:eastAsia="Arial" w:cs="Arial"/>
                <w:b w:val="0"/>
                <w:color w:val="243A36"/>
                <w:sz w:val="17"/>
              </w:rPr>
              <w:t>09; 10; A</w:t>
            </w:r>
          </w:p>
        </w:tc>
        <w:tc>
          <w:tcPr>
            <w:tcW w:type="dxa" w:w="1587"/>
          </w:tcPr>
          <w:p>
            <w:pPr>
              <w:keepNext w:val="0"/>
              <w:spacing w:after="100"/>
            </w:pPr>
            <w:r>
              <w:rPr>
                <w:rFonts w:ascii="Arial" w:hAnsi="Arial" w:eastAsia="Arial" w:cs="Arial"/>
                <w:b w:val="0"/>
                <w:color w:val="243A36"/>
                <w:sz w:val="17"/>
              </w:rPr>
              <w:t>01; 07; 08</w:t>
            </w:r>
          </w:p>
        </w:tc>
        <w:tc>
          <w:tcPr>
            <w:tcW w:type="dxa" w:w="1576"/>
          </w:tcPr>
          <w:p>
            <w:pPr>
              <w:keepNext w:val="0"/>
              <w:spacing w:after="100"/>
            </w:pPr>
            <w:r>
              <w:rPr>
                <w:rFonts w:ascii="Arial" w:hAnsi="Arial" w:eastAsia="Arial" w:cs="Arial"/>
                <w:b w:val="0"/>
                <w:color w:val="243A36"/>
                <w:sz w:val="17"/>
              </w:rPr>
              <w:t>09</w:t>
            </w:r>
          </w:p>
        </w:tc>
      </w:tr>
      <w:tr>
        <w:tc>
          <w:tcPr>
            <w:tcW w:type="dxa" w:w="4876"/>
          </w:tcPr>
          <w:p>
            <w:pPr>
              <w:keepNext w:val="0"/>
              <w:spacing w:after="100"/>
            </w:pPr>
            <w:hyperlink w:anchor="MR_20">
              <w:r>
                <w:rPr>
                  <w:color w:val="215F52"/>
                  <w:sz w:val="18"/>
                </w:rPr>
                <w:t>20 Adicionalidad continua e iniciativas superpuestas</w:t>
              </w:r>
            </w:hyperlink>
          </w:p>
        </w:tc>
        <w:tc>
          <w:tcPr>
            <w:tcW w:type="dxa" w:w="1701"/>
          </w:tcPr>
          <w:p>
            <w:pPr>
              <w:keepNext w:val="0"/>
              <w:spacing w:after="100"/>
            </w:pPr>
            <w:r>
              <w:rPr>
                <w:rFonts w:ascii="Arial" w:hAnsi="Arial" w:eastAsia="Arial" w:cs="Arial"/>
                <w:b w:val="0"/>
                <w:color w:val="243A36"/>
                <w:sz w:val="17"/>
              </w:rPr>
              <w:t>07; 08</w:t>
            </w:r>
          </w:p>
        </w:tc>
        <w:tc>
          <w:tcPr>
            <w:tcW w:type="dxa" w:w="1587"/>
          </w:tcPr>
          <w:p>
            <w:pPr>
              <w:keepNext w:val="0"/>
              <w:spacing w:after="100"/>
            </w:pPr>
            <w:r>
              <w:rPr>
                <w:rFonts w:ascii="Arial" w:hAnsi="Arial" w:eastAsia="Arial" w:cs="Arial"/>
                <w:b w:val="0"/>
                <w:color w:val="243A36"/>
                <w:sz w:val="17"/>
              </w:rPr>
              <w:t>10</w:t>
            </w:r>
          </w:p>
        </w:tc>
        <w:tc>
          <w:tcPr>
            <w:tcW w:type="dxa" w:w="1576"/>
          </w:tcPr>
          <w:p>
            <w:pPr>
              <w:keepNext w:val="0"/>
              <w:spacing w:after="100"/>
            </w:pPr>
            <w:r>
              <w:rPr>
                <w:rFonts w:ascii="Arial" w:hAnsi="Arial" w:eastAsia="Arial" w:cs="Arial"/>
                <w:b w:val="0"/>
                <w:color w:val="243A36"/>
                <w:sz w:val="17"/>
              </w:rPr>
              <w:t>10; 11</w:t>
            </w:r>
          </w:p>
        </w:tc>
      </w:tr>
      <w:tr>
        <w:tc>
          <w:tcPr>
            <w:tcW w:type="dxa" w:w="4876"/>
          </w:tcPr>
          <w:p>
            <w:pPr>
              <w:keepNext w:val="0"/>
              <w:spacing w:after="100"/>
            </w:pPr>
            <w:hyperlink w:anchor="MR_21">
              <w:r>
                <w:rPr>
                  <w:color w:val="215F52"/>
                  <w:sz w:val="18"/>
                </w:rPr>
                <w:t>21 Participación, salvaguardas y reparto de beneficios</w:t>
              </w:r>
            </w:hyperlink>
          </w:p>
        </w:tc>
        <w:tc>
          <w:tcPr>
            <w:tcW w:type="dxa" w:w="1701"/>
          </w:tcPr>
          <w:p>
            <w:pPr>
              <w:keepNext w:val="0"/>
              <w:spacing w:after="100"/>
            </w:pPr>
            <w:r>
              <w:rPr>
                <w:rFonts w:ascii="Arial" w:hAnsi="Arial" w:eastAsia="Arial" w:cs="Arial"/>
                <w:b w:val="0"/>
                <w:color w:val="243A36"/>
                <w:sz w:val="17"/>
              </w:rPr>
              <w:t>11; 13</w:t>
            </w:r>
          </w:p>
        </w:tc>
        <w:tc>
          <w:tcPr>
            <w:tcW w:type="dxa" w:w="1587"/>
          </w:tcPr>
          <w:p>
            <w:pPr>
              <w:keepNext w:val="0"/>
              <w:spacing w:after="100"/>
            </w:pPr>
            <w:r>
              <w:rPr>
                <w:rFonts w:ascii="Arial" w:hAnsi="Arial" w:eastAsia="Arial" w:cs="Arial"/>
                <w:b w:val="0"/>
                <w:color w:val="243A36"/>
                <w:sz w:val="17"/>
              </w:rPr>
              <w:t>10</w:t>
            </w:r>
          </w:p>
        </w:tc>
        <w:tc>
          <w:tcPr>
            <w:tcW w:type="dxa" w:w="1576"/>
          </w:tcPr>
          <w:p>
            <w:pPr>
              <w:keepNext w:val="0"/>
              <w:spacing w:after="100"/>
            </w:pPr>
            <w:r>
              <w:rPr>
                <w:rFonts w:ascii="Arial" w:hAnsi="Arial" w:eastAsia="Arial" w:cs="Arial"/>
                <w:b w:val="0"/>
                <w:color w:val="243A36"/>
                <w:sz w:val="17"/>
              </w:rPr>
              <w:t>10</w:t>
            </w:r>
          </w:p>
        </w:tc>
      </w:tr>
      <w:tr>
        <w:tc>
          <w:tcPr>
            <w:tcW w:type="dxa" w:w="4876"/>
          </w:tcPr>
          <w:p>
            <w:pPr>
              <w:keepNext w:val="0"/>
              <w:spacing w:after="100"/>
            </w:pPr>
            <w:hyperlink w:anchor="MR_22">
              <w:r>
                <w:rPr>
                  <w:color w:val="215F52"/>
                  <w:sz w:val="18"/>
                </w:rPr>
                <w:t>22 Resultados ecosistémicos, de biodiversidad y sociales</w:t>
              </w:r>
            </w:hyperlink>
          </w:p>
        </w:tc>
        <w:tc>
          <w:tcPr>
            <w:tcW w:type="dxa" w:w="1701"/>
          </w:tcPr>
          <w:p>
            <w:pPr>
              <w:keepNext w:val="0"/>
              <w:spacing w:after="100"/>
            </w:pPr>
            <w:r>
              <w:rPr>
                <w:rFonts w:ascii="Arial" w:hAnsi="Arial" w:eastAsia="Arial" w:cs="Arial"/>
                <w:b w:val="0"/>
                <w:color w:val="243A36"/>
                <w:sz w:val="17"/>
              </w:rPr>
              <w:t>04; 11; 12; 14</w:t>
            </w:r>
          </w:p>
        </w:tc>
        <w:tc>
          <w:tcPr>
            <w:tcW w:type="dxa" w:w="1587"/>
          </w:tcPr>
          <w:p>
            <w:pPr>
              <w:keepNext w:val="0"/>
              <w:spacing w:after="100"/>
            </w:pPr>
            <w:r>
              <w:rPr>
                <w:rFonts w:ascii="Arial" w:hAnsi="Arial" w:eastAsia="Arial" w:cs="Arial"/>
                <w:b w:val="0"/>
                <w:color w:val="243A36"/>
                <w:sz w:val="17"/>
              </w:rPr>
              <w:t>10</w:t>
            </w:r>
          </w:p>
        </w:tc>
        <w:tc>
          <w:tcPr>
            <w:tcW w:type="dxa" w:w="1576"/>
          </w:tcPr>
          <w:p>
            <w:pPr>
              <w:keepNext w:val="0"/>
              <w:spacing w:after="100"/>
            </w:pPr>
            <w:r>
              <w:rPr>
                <w:rFonts w:ascii="Arial" w:hAnsi="Arial" w:eastAsia="Arial" w:cs="Arial"/>
                <w:b w:val="0"/>
                <w:color w:val="243A36"/>
                <w:sz w:val="17"/>
              </w:rPr>
              <w:t>10</w:t>
            </w:r>
          </w:p>
        </w:tc>
      </w:tr>
      <w:tr>
        <w:tc>
          <w:tcPr>
            <w:tcW w:type="dxa" w:w="4876"/>
          </w:tcPr>
          <w:p>
            <w:pPr>
              <w:keepNext w:val="0"/>
              <w:spacing w:after="100"/>
            </w:pPr>
            <w:hyperlink w:anchor="MR_23">
              <w:r>
                <w:rPr>
                  <w:color w:val="215F52"/>
                  <w:sz w:val="18"/>
                </w:rPr>
                <w:t>23 Migración y continuidad de afirmaciones previas</w:t>
              </w:r>
            </w:hyperlink>
          </w:p>
        </w:tc>
        <w:tc>
          <w:tcPr>
            <w:tcW w:type="dxa" w:w="1701"/>
          </w:tcPr>
          <w:p>
            <w:pPr>
              <w:keepNext w:val="0"/>
              <w:spacing w:after="100"/>
            </w:pPr>
            <w:r>
              <w:rPr>
                <w:rFonts w:ascii="Arial" w:hAnsi="Arial" w:eastAsia="Arial" w:cs="Arial"/>
                <w:b w:val="0"/>
                <w:color w:val="243A36"/>
                <w:sz w:val="17"/>
              </w:rPr>
              <w:t>08; A</w:t>
            </w:r>
          </w:p>
        </w:tc>
        <w:tc>
          <w:tcPr>
            <w:tcW w:type="dxa" w:w="1587"/>
          </w:tcPr>
          <w:p>
            <w:pPr>
              <w:keepNext w:val="0"/>
              <w:spacing w:after="100"/>
            </w:pPr>
            <w:r>
              <w:rPr>
                <w:rFonts w:ascii="Arial" w:hAnsi="Arial" w:eastAsia="Arial" w:cs="Arial"/>
                <w:b w:val="0"/>
                <w:color w:val="243A36"/>
                <w:sz w:val="17"/>
              </w:rPr>
              <w:t>09</w:t>
            </w:r>
          </w:p>
        </w:tc>
        <w:tc>
          <w:tcPr>
            <w:tcW w:type="dxa" w:w="1576"/>
          </w:tcPr>
          <w:p>
            <w:pPr>
              <w:keepNext w:val="0"/>
              <w:spacing w:after="100"/>
            </w:pPr>
            <w:r>
              <w:rPr>
                <w:rFonts w:ascii="Arial" w:hAnsi="Arial" w:eastAsia="Arial" w:cs="Arial"/>
                <w:b w:val="0"/>
                <w:color w:val="243A36"/>
                <w:sz w:val="17"/>
              </w:rPr>
              <w:t>11</w:t>
            </w:r>
          </w:p>
        </w:tc>
      </w:tr>
      <w:tr>
        <w:tc>
          <w:tcPr>
            <w:tcW w:type="dxa" w:w="4876"/>
          </w:tcPr>
          <w:p>
            <w:pPr>
              <w:keepNext w:val="0"/>
              <w:spacing w:after="100"/>
            </w:pPr>
            <w:hyperlink w:anchor="MR_24">
              <w:r>
                <w:rPr>
                  <w:color w:val="215F52"/>
                  <w:sz w:val="18"/>
                </w:rPr>
                <w:t>24 Solicitud de NVEU y límites de afirmaciones</w:t>
              </w:r>
            </w:hyperlink>
          </w:p>
        </w:tc>
        <w:tc>
          <w:tcPr>
            <w:tcW w:type="dxa" w:w="1701"/>
          </w:tcPr>
          <w:p>
            <w:pPr>
              <w:keepNext w:val="0"/>
              <w:spacing w:after="100"/>
            </w:pPr>
            <w:r>
              <w:rPr>
                <w:rFonts w:ascii="Arial" w:hAnsi="Arial" w:eastAsia="Arial" w:cs="Arial"/>
                <w:b w:val="0"/>
                <w:color w:val="243A36"/>
                <w:sz w:val="17"/>
              </w:rPr>
              <w:t>12; 15; 18</w:t>
            </w:r>
          </w:p>
        </w:tc>
        <w:tc>
          <w:tcPr>
            <w:tcW w:type="dxa" w:w="1587"/>
          </w:tcPr>
          <w:p>
            <w:pPr>
              <w:keepNext w:val="0"/>
              <w:spacing w:after="100"/>
            </w:pPr>
            <w:r>
              <w:rPr>
                <w:rFonts w:ascii="Arial" w:hAnsi="Arial" w:eastAsia="Arial" w:cs="Arial"/>
                <w:b w:val="0"/>
                <w:color w:val="243A36"/>
                <w:sz w:val="17"/>
              </w:rPr>
              <w:t>07; 10</w:t>
            </w:r>
          </w:p>
        </w:tc>
        <w:tc>
          <w:tcPr>
            <w:tcW w:type="dxa" w:w="1576"/>
          </w:tcPr>
          <w:p>
            <w:pPr>
              <w:keepNext w:val="0"/>
              <w:spacing w:after="100"/>
            </w:pPr>
            <w:r>
              <w:rPr>
                <w:rFonts w:ascii="Arial" w:hAnsi="Arial" w:eastAsia="Arial" w:cs="Arial"/>
                <w:b w:val="0"/>
                <w:color w:val="243A36"/>
                <w:sz w:val="17"/>
              </w:rPr>
              <w:t>08; 12</w:t>
            </w:r>
          </w:p>
        </w:tc>
      </w:tr>
      <w:tr>
        <w:tc>
          <w:tcPr>
            <w:tcW w:type="dxa" w:w="4876"/>
          </w:tcPr>
          <w:p>
            <w:pPr>
              <w:keepNext w:val="0"/>
              <w:spacing w:after="100"/>
            </w:pPr>
            <w:hyperlink w:anchor="MR_25">
              <w:r>
                <w:rPr>
                  <w:color w:val="215F52"/>
                  <w:sz w:val="18"/>
                </w:rPr>
                <w:t>25 Hallazgos, presentación y decisiones separadas</w:t>
              </w:r>
            </w:hyperlink>
          </w:p>
        </w:tc>
        <w:tc>
          <w:tcPr>
            <w:tcW w:type="dxa" w:w="1701"/>
          </w:tcPr>
          <w:p>
            <w:pPr>
              <w:keepNext w:val="0"/>
              <w:spacing w:after="100"/>
            </w:pPr>
            <w:r>
              <w:rPr>
                <w:rFonts w:ascii="Arial" w:hAnsi="Arial" w:eastAsia="Arial" w:cs="Arial"/>
                <w:b w:val="0"/>
                <w:color w:val="243A36"/>
                <w:sz w:val="17"/>
              </w:rPr>
              <w:t>16; 18</w:t>
            </w:r>
          </w:p>
        </w:tc>
        <w:tc>
          <w:tcPr>
            <w:tcW w:type="dxa" w:w="1587"/>
          </w:tcPr>
          <w:p>
            <w:pPr>
              <w:keepNext w:val="0"/>
              <w:spacing w:after="100"/>
            </w:pPr>
            <w:r>
              <w:rPr>
                <w:rFonts w:ascii="Arial" w:hAnsi="Arial" w:eastAsia="Arial" w:cs="Arial"/>
                <w:b w:val="0"/>
                <w:color w:val="243A36"/>
                <w:sz w:val="17"/>
              </w:rPr>
              <w:t>11</w:t>
            </w:r>
          </w:p>
        </w:tc>
        <w:tc>
          <w:tcPr>
            <w:tcW w:type="dxa" w:w="1576"/>
          </w:tcPr>
          <w:p>
            <w:pPr>
              <w:keepNext w:val="0"/>
              <w:spacing w:after="100"/>
            </w:pPr>
            <w:r>
              <w:rPr>
                <w:rFonts w:ascii="Arial" w:hAnsi="Arial" w:eastAsia="Arial" w:cs="Arial"/>
                <w:b w:val="0"/>
                <w:color w:val="243A36"/>
                <w:sz w:val="17"/>
              </w:rPr>
              <w:t>12</w:t>
            </w:r>
          </w:p>
        </w:tc>
      </w:tr>
      <w:tr>
        <w:tc>
          <w:tcPr>
            <w:tcW w:type="dxa" w:w="4876"/>
          </w:tcPr>
          <w:p>
            <w:pPr>
              <w:keepNext w:val="0"/>
              <w:spacing w:after="100"/>
            </w:pPr>
            <w:hyperlink w:anchor="MR_26">
              <w:r>
                <w:rPr>
                  <w:color w:val="215F52"/>
                  <w:sz w:val="18"/>
                </w:rPr>
                <w:t>26 Entrega de evidencia y acciones del período siguiente</w:t>
              </w:r>
            </w:hyperlink>
          </w:p>
        </w:tc>
        <w:tc>
          <w:tcPr>
            <w:tcW w:type="dxa" w:w="1701"/>
          </w:tcPr>
          <w:p>
            <w:pPr>
              <w:keepNext w:val="0"/>
              <w:spacing w:after="100"/>
            </w:pPr>
            <w:r>
              <w:rPr>
                <w:rFonts w:ascii="Arial" w:hAnsi="Arial" w:eastAsia="Arial" w:cs="Arial"/>
                <w:b w:val="0"/>
                <w:color w:val="243A36"/>
                <w:sz w:val="17"/>
              </w:rPr>
              <w:t>14; 17; 18</w:t>
            </w:r>
          </w:p>
        </w:tc>
        <w:tc>
          <w:tcPr>
            <w:tcW w:type="dxa" w:w="1587"/>
          </w:tcPr>
          <w:p>
            <w:pPr>
              <w:keepNext w:val="0"/>
              <w:spacing w:after="100"/>
            </w:pPr>
            <w:r>
              <w:rPr>
                <w:rFonts w:ascii="Arial" w:hAnsi="Arial" w:eastAsia="Arial" w:cs="Arial"/>
                <w:b w:val="0"/>
                <w:color w:val="243A36"/>
                <w:sz w:val="17"/>
              </w:rPr>
              <w:t>11</w:t>
            </w:r>
          </w:p>
        </w:tc>
        <w:tc>
          <w:tcPr>
            <w:tcW w:type="dxa" w:w="1576"/>
          </w:tcPr>
          <w:p>
            <w:pPr>
              <w:keepNext w:val="0"/>
              <w:spacing w:after="100"/>
            </w:pPr>
            <w:r>
              <w:rPr>
                <w:rFonts w:ascii="Arial" w:hAnsi="Arial" w:eastAsia="Arial" w:cs="Arial"/>
                <w:b w:val="0"/>
                <w:color w:val="243A36"/>
                <w:sz w:val="17"/>
              </w:rPr>
              <w:t>12</w:t>
            </w:r>
          </w:p>
        </w:tc>
      </w:tr>
    </w:tbl>
    <w:p>
      <w:bookmarkStart w:id="603" w:name="MR_REF"/>
      <w:pPr>
        <w:pStyle w:val="Heading1"/>
        <w:keepNext/>
        <w:pageBreakBefore/>
      </w:pPr>
      <w:r>
        <w:rPr>
          <w:rFonts w:ascii="Arial" w:hAnsi="Arial" w:eastAsia="Arial" w:cs="Arial"/>
          <w:b w:val="0"/>
          <w:color w:val="215F52"/>
          <w:sz w:val="38"/>
        </w:rPr>
        <w:t>REF  Referencias y límites de diligenciamiento</w:t>
      </w:r>
      <w:bookmarkEnd w:id="603"/>
    </w:p>
    <w:p>
      <w:pPr>
        <w:keepNext/>
        <w:spacing w:after="100"/>
      </w:pPr>
      <w:r>
        <w:rPr>
          <w:rFonts w:ascii="Arial" w:hAnsi="Arial" w:eastAsia="Arial" w:cs="Arial"/>
          <w:b w:val="0"/>
          <w:color w:val="62716E"/>
          <w:sz w:val="16"/>
        </w:rPr>
        <w:t>[1] NEBIOT Standard 0.8.2</w:t>
      </w:r>
    </w:p>
    <w:p>
      <w:pPr>
        <w:spacing w:after="100"/>
      </w:pPr>
      <w:r>
        <w:rPr>
          <w:rFonts w:ascii="Arial" w:hAnsi="Arial" w:eastAsia="Arial" w:cs="Arial"/>
          <w:b w:val="0"/>
          <w:color w:val="243A36"/>
          <w:sz w:val="19"/>
        </w:rPr>
        <w:t>[1] NEBIOT. NEBIOT Standard, versión controlada 0.8.2. Edición integrada NEB-DOC-000. Requisitos centrales y Anexo A aplicables; métodos NEB-MTH-001/002; ciclo NEB-CYC-001; aseguramiento NEB-PRO-001; NVEU NEB-UNT-001; migración NEB-MIG-001; evaluación NEB-AUD-001; formularios NEB-FRM-001.</w:t>
      </w:r>
    </w:p>
    <w:p>
      <w:pPr>
        <w:spacing w:after="100"/>
      </w:pPr>
      <w:r>
        <w:rPr>
          <w:rFonts w:ascii="Arial" w:hAnsi="Arial" w:eastAsia="Arial" w:cs="Arial"/>
          <w:b w:val="0"/>
          <w:color w:val="243A36"/>
          <w:sz w:val="19"/>
        </w:rPr>
        <w:t>[2] NEBIOT. Plantilla de Descripción del Proyecto. Edición 1.2. Secciones 01–18, apéndice A de anexos contables y apéndice CALC. El PD real y sus cambios autorizados se identifican en la Sección 02 de este informe.</w:t>
      </w:r>
    </w:p>
    <w:p>
      <w:pPr>
        <w:spacing w:after="100"/>
      </w:pPr>
      <w:r>
        <w:rPr>
          <w:rFonts w:ascii="Arial" w:hAnsi="Arial" w:eastAsia="Arial" w:cs="Arial"/>
          <w:b w:val="0"/>
          <w:color w:val="243A36"/>
          <w:sz w:val="19"/>
        </w:rPr>
        <w:t>[3] NEBIOT. Plantilla de Estimación ex ante. Edición 1.2. Secciones 01–11 y apéndice CALC. Conservar el pronóstico fechado del proyecto usado en la comparación.</w:t>
      </w:r>
    </w:p>
    <w:p>
      <w:pPr>
        <w:spacing w:after="100"/>
      </w:pPr>
      <w:r>
        <w:rPr>
          <w:rFonts w:ascii="Arial" w:hAnsi="Arial" w:eastAsia="Arial" w:cs="Arial"/>
          <w:b w:val="0"/>
          <w:color w:val="243A36"/>
          <w:sz w:val="19"/>
        </w:rPr>
        <w:t>[4] NEBIOT. Plantilla de Informe de resultados ex post. Edición 1.2. Secciones 01–12 y apéndice CALC. Adjuntar o integrar el informe cuantitativo controlado del mismo intervalo y alcance.</w:t>
      </w:r>
    </w:p>
    <w:p>
      <w:pPr>
        <w:spacing w:after="100"/>
      </w:pPr>
      <w:r>
        <w:rPr>
          <w:rFonts w:ascii="Arial" w:hAnsi="Arial" w:eastAsia="Arial" w:cs="Arial"/>
          <w:b w:val="0"/>
          <w:color w:val="243A36"/>
          <w:sz w:val="19"/>
        </w:rPr>
        <w:t>[5] NEBIOT. Libro de Cuentas Ambientales y catálogo de notación matemática. Edición 1.2. Registrar versión y huella reales. Las referencias a hojas y columnas identifican la estructura sin cambios de la edición 1.2; completar fila y celda exactas.</w:t>
      </w:r>
    </w:p>
    <w:p>
      <w:pPr>
        <w:spacing w:after="100"/>
      </w:pPr>
      <w:r>
        <w:rPr>
          <w:rFonts w:ascii="Arial" w:hAnsi="Arial" w:eastAsia="Arial" w:cs="Arial"/>
          <w:b w:val="0"/>
          <w:color w:val="243A36"/>
          <w:sz w:val="19"/>
        </w:rPr>
        <w:t>[6] NEBIOT. Plantilla de Conciliación de migración. Edición 1.2. Aplicar a las cuentas históricas y actuales afectadas solo cuando migración o afirmaciones previas sean relevantes.</w:t>
      </w:r>
    </w:p>
    <w:p>
      <w:pPr>
        <w:spacing w:after="100"/>
      </w:pPr>
      <w:r>
        <w:rPr>
          <w:rFonts w:ascii="Arial" w:hAnsi="Arial" w:eastAsia="Arial" w:cs="Arial"/>
          <w:b/>
          <w:color w:val="215F52"/>
          <w:sz w:val="21"/>
        </w:rPr>
        <w:t>Comprobaciones antes de presentar</w:t>
      </w:r>
    </w:p>
    <w:p>
      <w:pPr>
        <w:spacing w:after="100"/>
      </w:pPr>
      <w:r>
        <w:rPr>
          <w:rFonts w:ascii="Arial" w:hAnsi="Arial" w:eastAsia="Arial" w:cs="Arial"/>
          <w:b w:val="0"/>
          <w:color w:val="243A36"/>
          <w:sz w:val="19"/>
        </w:rPr>
        <w:t>Confirmar que la Sección 01 reproduce la misma cuenta rectora que Secciones 15–19 y el informe ex post adjunto; verificar unidades y totales sin redondear antes de dar formato.</w:t>
      </w:r>
    </w:p>
    <w:p>
      <w:pPr>
        <w:spacing w:after="100"/>
      </w:pPr>
      <w:r>
        <w:rPr>
          <w:rFonts w:ascii="Arial" w:hAnsi="Arial" w:eastAsia="Arial" w:cs="Arial"/>
          <w:b w:val="0"/>
          <w:color w:val="243A36"/>
          <w:sz w:val="19"/>
        </w:rPr>
        <w:t>Confirmar que cada obligación de monitoreo aplicable del PD dispone de observación real, decisión justificada de no aplicabilidad o vacío pendiente explícito. Confirmar acceso de destinatarios autorizados a referencias públicas y controladas.</w:t>
      </w:r>
    </w:p>
    <w:p>
      <w:pPr>
        <w:spacing w:after="100"/>
      </w:pPr>
      <w:r>
        <w:rPr>
          <w:rFonts w:ascii="Arial" w:hAnsi="Arial" w:eastAsia="Arial" w:cs="Arial"/>
          <w:b w:val="0"/>
          <w:color w:val="243A36"/>
          <w:sz w:val="19"/>
        </w:rPr>
        <w:t>Confirmar conciliación única de períodos previos, cancelación de reserva, obligaciones y cohortes continuas. Mantener pendientes los dictámenes OVV y decisiones del programa que no se hayan emitido, sin conclusiones prellenadas.</w:t>
      </w:r>
    </w:p>
    <w:p>
      <w:pPr>
        <w:spacing w:after="100"/>
      </w:pPr>
      <w:r>
        <w:rPr>
          <w:rFonts w:ascii="Arial" w:hAnsi="Arial" w:eastAsia="Arial" w:cs="Arial"/>
          <w:b w:val="0"/>
          <w:color w:val="243A36"/>
          <w:sz w:val="19"/>
        </w:rPr>
        <w:t>Las tablas son registros editables, no calculadoras automáticas. Word, LaTeX y Excel no sincronizan valores automáticamente. Conservar referencias exactas informe–libro e inspeccionar documento diligenciado tras ampliar tablas o campos.</w:t>
      </w:r>
    </w:p>
    <w:sectPr w:rsidR="00FC693F" w:rsidRPr="0006063C" w:rsidSect="00034616">
      <w:headerReference w:type="default" r:id="rId9"/>
      <w:footerReference w:type="default" r:id="rId10"/>
      <w:headerReference w:type="first" r:id="rId12"/>
      <w:footerReference w:type="first" r:id="rId13"/>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PLANTILLA 1.3  / MONITORING /  NEBIOT 0.8.2</w:t>
    </w:r>
    <w:r>
      <w:tab/>
    </w:r>
    <w:r>
      <w:rPr>
        <w:rFonts w:ascii="Arial" w:hAnsi="Arial"/>
        <w:b w:val="0"/>
        <w:i w:val="0"/>
        <w:color w:val="62716E"/>
        <w:sz w:val="14"/>
      </w:rPr>
      <w:t xml:space="preserve">Página </w:t>
    </w:r>
    <w:fldSimple w:instr="PAGE">
      <w:r>
        <w:t>1</w:t>
      </w:r>
    </w:fldSimple>
    <w:r>
      <w:t xml:space="preserve"> /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INFORME DE MONITOREO</w:t>
    </w:r>
    <w:r>
      <w:tab/>
    </w:r>
    <w:r>
      <w:rPr>
        <w:rFonts w:ascii="Arial" w:hAnsi="Arial"/>
        <w:b w:val="0"/>
        <w:i w:val="0"/>
        <w:color w:val="62716E"/>
        <w:sz w:val="16"/>
      </w:rPr>
      <w:t>ES   |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O"/>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sz w:val="19"/>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lang w:val="es-CO"/>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lang w:val="es-C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CO"/>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CO"/>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CO"/>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CO"/>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CO"/>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lang w:val="es-CO"/>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lang w:val="es-CO"/>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lang w:val="es-CO"/>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CO"/>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CO"/>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CO"/>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CO"/>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CO"/>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CO"/>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lang w:val="es-CO"/>
    </w:rPr>
  </w:style>
  <w:style w:type="character" w:styleId="Emphasis">
    <w:name w:val="Emphasis"/>
    <w:basedOn w:val="DefaultParagraphFont"/>
    <w:uiPriority w:val="20"/>
    <w:qFormat/>
    <w:rsid w:val="00FC693F"/>
    <w:rPr>
      <w:i/>
      <w:iCs/>
      <w:lang w:val="es-CO"/>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lang w:val="es-CO"/>
    </w:rPr>
  </w:style>
  <w:style w:type="character" w:styleId="SubtleEmphasis">
    <w:name w:val="Subtle Emphasis"/>
    <w:basedOn w:val="DefaultParagraphFont"/>
    <w:uiPriority w:val="19"/>
    <w:qFormat/>
    <w:rsid w:val="00FC693F"/>
    <w:rPr>
      <w:i/>
      <w:iCs/>
      <w:color w:val="808080" w:themeColor="text1" w:themeTint="7F"/>
      <w:lang w:val="es-CO"/>
    </w:rPr>
  </w:style>
  <w:style w:type="character" w:styleId="IntenseEmphasis">
    <w:name w:val="Intense Emphasis"/>
    <w:basedOn w:val="DefaultParagraphFont"/>
    <w:uiPriority w:val="21"/>
    <w:qFormat/>
    <w:rsid w:val="00FC693F"/>
    <w:rPr>
      <w:b/>
      <w:bCs/>
      <w:i/>
      <w:iCs/>
      <w:color w:val="4F81BD" w:themeColor="accent1"/>
      <w:lang w:val="es-CO"/>
    </w:rPr>
  </w:style>
  <w:style w:type="character" w:styleId="SubtleReference">
    <w:name w:val="Subtle Reference"/>
    <w:basedOn w:val="DefaultParagraphFont"/>
    <w:uiPriority w:val="31"/>
    <w:qFormat/>
    <w:rsid w:val="00FC693F"/>
    <w:rPr>
      <w:smallCaps/>
      <w:color w:val="C0504D" w:themeColor="accent2"/>
      <w:u w:val="single"/>
      <w:lang w:val="es-CO"/>
    </w:rPr>
  </w:style>
  <w:style w:type="character" w:styleId="IntenseReference">
    <w:name w:val="Intense Reference"/>
    <w:basedOn w:val="DefaultParagraphFont"/>
    <w:uiPriority w:val="32"/>
    <w:qFormat/>
    <w:rsid w:val="00FC693F"/>
    <w:rPr>
      <w:b/>
      <w:bCs/>
      <w:smallCaps/>
      <w:color w:val="C0504D" w:themeColor="accent2"/>
      <w:spacing w:val="5"/>
      <w:u w:val="single"/>
      <w:lang w:val="es-CO"/>
    </w:rPr>
  </w:style>
  <w:style w:type="character" w:styleId="BookTitle">
    <w:name w:val="Book Title"/>
    <w:basedOn w:val="DefaultParagraphFont"/>
    <w:uiPriority w:val="33"/>
    <w:qFormat/>
    <w:rsid w:val="00FC693F"/>
    <w:rPr>
      <w:b/>
      <w:bCs/>
      <w:smallCaps/>
      <w:spacing w:val="5"/>
      <w:lang w:val="es-C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C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lang w:val="es-C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lang w:val="es-CO"/>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lang w:val="es-CO"/>
      </w:rPr>
    </w:tblStylePr>
    <w:tblStylePr w:type="lastCol">
      <w:rPr>
        <w:b/>
        <w:bCs/>
        <w:lang w:val="es-CO"/>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C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lang w:val="es-CO"/>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lang w:val="es-CO"/>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lang w:val="es-CO"/>
      </w:rPr>
    </w:tblStylePr>
    <w:tblStylePr w:type="lastCol">
      <w:rPr>
        <w:b/>
        <w:bCs/>
        <w:lang w:val="es-CO"/>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C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lang w:val="es-CO"/>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lang w:val="es-CO"/>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lang w:val="es-CO"/>
      </w:rPr>
    </w:tblStylePr>
    <w:tblStylePr w:type="lastCol">
      <w:rPr>
        <w:b/>
        <w:bCs/>
        <w:lang w:val="es-CO"/>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C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lang w:val="es-CO"/>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lang w:val="es-CO"/>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lang w:val="es-CO"/>
      </w:rPr>
    </w:tblStylePr>
    <w:tblStylePr w:type="lastCol">
      <w:rPr>
        <w:b/>
        <w:bCs/>
        <w:lang w:val="es-CO"/>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C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lang w:val="es-CO"/>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lang w:val="es-CO"/>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lang w:val="es-CO"/>
      </w:rPr>
    </w:tblStylePr>
    <w:tblStylePr w:type="lastCol">
      <w:rPr>
        <w:b/>
        <w:bCs/>
        <w:lang w:val="es-CO"/>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C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lang w:val="es-CO"/>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lang w:val="es-CO"/>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lang w:val="es-CO"/>
      </w:rPr>
    </w:tblStylePr>
    <w:tblStylePr w:type="lastCol">
      <w:rPr>
        <w:b/>
        <w:bCs/>
        <w:lang w:val="es-CO"/>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C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lang w:val="es-CO"/>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lang w:val="es-CO"/>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lang w:val="es-CO"/>
      </w:rPr>
    </w:tblStylePr>
    <w:tblStylePr w:type="lastCol">
      <w:rPr>
        <w:b/>
        <w:bCs/>
        <w:lang w:val="es-CO"/>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shd w:val="clear" w:color="auto" w:fill="000000" w:themeFill="text1"/>
      </w:tcPr>
    </w:tblStylePr>
    <w:tblStylePr w:type="lastRow">
      <w:pPr>
        <w:spacing w:before="0" w:after="0" w:line="240" w:lineRule="auto"/>
      </w:pPr>
      <w:rPr>
        <w:b/>
        <w:bCs/>
        <w:lang w:val="es-C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lang w:val="es-CO"/>
      </w:rPr>
    </w:tblStylePr>
    <w:tblStylePr w:type="lastCol">
      <w:rPr>
        <w:b/>
        <w:bCs/>
        <w:lang w:val="es-C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shd w:val="clear" w:color="auto" w:fill="4F81BD" w:themeFill="accent1"/>
      </w:tcPr>
    </w:tblStylePr>
    <w:tblStylePr w:type="lastRow">
      <w:pPr>
        <w:spacing w:before="0" w:after="0" w:line="240" w:lineRule="auto"/>
      </w:pPr>
      <w:rPr>
        <w:b/>
        <w:bCs/>
        <w:lang w:val="es-C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lang w:val="es-CO"/>
      </w:rPr>
    </w:tblStylePr>
    <w:tblStylePr w:type="lastCol">
      <w:rPr>
        <w:b/>
        <w:bCs/>
        <w:lang w:val="es-CO"/>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shd w:val="clear" w:color="auto" w:fill="C0504D" w:themeFill="accent2"/>
      </w:tcPr>
    </w:tblStylePr>
    <w:tblStylePr w:type="lastRow">
      <w:pPr>
        <w:spacing w:before="0" w:after="0" w:line="240" w:lineRule="auto"/>
      </w:pPr>
      <w:rPr>
        <w:b/>
        <w:bCs/>
        <w:lang w:val="es-C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lang w:val="es-CO"/>
      </w:rPr>
    </w:tblStylePr>
    <w:tblStylePr w:type="lastCol">
      <w:rPr>
        <w:b/>
        <w:bCs/>
        <w:lang w:val="es-CO"/>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shd w:val="clear" w:color="auto" w:fill="9BBB59" w:themeFill="accent3"/>
      </w:tcPr>
    </w:tblStylePr>
    <w:tblStylePr w:type="lastRow">
      <w:pPr>
        <w:spacing w:before="0" w:after="0" w:line="240" w:lineRule="auto"/>
      </w:pPr>
      <w:rPr>
        <w:b/>
        <w:bCs/>
        <w:lang w:val="es-C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lang w:val="es-CO"/>
      </w:rPr>
    </w:tblStylePr>
    <w:tblStylePr w:type="lastCol">
      <w:rPr>
        <w:b/>
        <w:bCs/>
        <w:lang w:val="es-CO"/>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shd w:val="clear" w:color="auto" w:fill="8064A2" w:themeFill="accent4"/>
      </w:tcPr>
    </w:tblStylePr>
    <w:tblStylePr w:type="lastRow">
      <w:pPr>
        <w:spacing w:before="0" w:after="0" w:line="240" w:lineRule="auto"/>
      </w:pPr>
      <w:rPr>
        <w:b/>
        <w:bCs/>
        <w:lang w:val="es-C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lang w:val="es-CO"/>
      </w:rPr>
    </w:tblStylePr>
    <w:tblStylePr w:type="lastCol">
      <w:rPr>
        <w:b/>
        <w:bCs/>
        <w:lang w:val="es-CO"/>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shd w:val="clear" w:color="auto" w:fill="4BACC6" w:themeFill="accent5"/>
      </w:tcPr>
    </w:tblStylePr>
    <w:tblStylePr w:type="lastRow">
      <w:pPr>
        <w:spacing w:before="0" w:after="0" w:line="240" w:lineRule="auto"/>
      </w:pPr>
      <w:rPr>
        <w:b/>
        <w:bCs/>
        <w:lang w:val="es-C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lang w:val="es-CO"/>
      </w:rPr>
    </w:tblStylePr>
    <w:tblStylePr w:type="lastCol">
      <w:rPr>
        <w:b/>
        <w:bCs/>
        <w:lang w:val="es-CO"/>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shd w:val="clear" w:color="auto" w:fill="F79646" w:themeFill="accent6"/>
      </w:tcPr>
    </w:tblStylePr>
    <w:tblStylePr w:type="lastRow">
      <w:pPr>
        <w:spacing w:before="0" w:after="0" w:line="240" w:lineRule="auto"/>
      </w:pPr>
      <w:rPr>
        <w:b/>
        <w:bCs/>
        <w:lang w:val="es-C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lang w:val="es-CO"/>
      </w:rPr>
    </w:tblStylePr>
    <w:tblStylePr w:type="lastCol">
      <w:rPr>
        <w:b/>
        <w:bCs/>
        <w:lang w:val="es-CO"/>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s-CO"/>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lang w:val="es-CO"/>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lang w:val="es-CO"/>
      </w:rPr>
    </w:tblStylePr>
    <w:tblStylePr w:type="lastCol">
      <w:rPr>
        <w:rFonts w:asciiTheme="majorHAnsi" w:eastAsiaTheme="majorEastAsia" w:hAnsiTheme="majorHAnsi" w:cstheme="majorBidi"/>
        <w:b/>
        <w:bCs/>
        <w:lang w:val="es-CO"/>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s-CO"/>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lang w:val="es-CO"/>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lang w:val="es-CO"/>
      </w:rPr>
    </w:tblStylePr>
    <w:tblStylePr w:type="lastCol">
      <w:rPr>
        <w:rFonts w:asciiTheme="majorHAnsi" w:eastAsiaTheme="majorEastAsia" w:hAnsiTheme="majorHAnsi" w:cstheme="majorBidi"/>
        <w:b/>
        <w:bCs/>
        <w:lang w:val="es-CO"/>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s-CO"/>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lang w:val="es-CO"/>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lang w:val="es-CO"/>
      </w:rPr>
    </w:tblStylePr>
    <w:tblStylePr w:type="lastCol">
      <w:rPr>
        <w:rFonts w:asciiTheme="majorHAnsi" w:eastAsiaTheme="majorEastAsia" w:hAnsiTheme="majorHAnsi" w:cstheme="majorBidi"/>
        <w:b/>
        <w:bCs/>
        <w:lang w:val="es-CO"/>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s-CO"/>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lang w:val="es-CO"/>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lang w:val="es-CO"/>
      </w:rPr>
    </w:tblStylePr>
    <w:tblStylePr w:type="lastCol">
      <w:rPr>
        <w:rFonts w:asciiTheme="majorHAnsi" w:eastAsiaTheme="majorEastAsia" w:hAnsiTheme="majorHAnsi" w:cstheme="majorBidi"/>
        <w:b/>
        <w:bCs/>
        <w:lang w:val="es-CO"/>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s-CO"/>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lang w:val="es-CO"/>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lang w:val="es-CO"/>
      </w:rPr>
    </w:tblStylePr>
    <w:tblStylePr w:type="lastCol">
      <w:rPr>
        <w:rFonts w:asciiTheme="majorHAnsi" w:eastAsiaTheme="majorEastAsia" w:hAnsiTheme="majorHAnsi" w:cstheme="majorBidi"/>
        <w:b/>
        <w:bCs/>
        <w:lang w:val="es-CO"/>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s-CO"/>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lang w:val="es-CO"/>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lang w:val="es-CO"/>
      </w:rPr>
    </w:tblStylePr>
    <w:tblStylePr w:type="lastCol">
      <w:rPr>
        <w:rFonts w:asciiTheme="majorHAnsi" w:eastAsiaTheme="majorEastAsia" w:hAnsiTheme="majorHAnsi" w:cstheme="majorBidi"/>
        <w:b/>
        <w:bCs/>
        <w:lang w:val="es-CO"/>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lang w:val="es-CO"/>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lang w:val="es-CO"/>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lang w:val="es-CO"/>
      </w:rPr>
    </w:tblStylePr>
    <w:tblStylePr w:type="lastCol">
      <w:rPr>
        <w:rFonts w:asciiTheme="majorHAnsi" w:eastAsiaTheme="majorEastAsia" w:hAnsiTheme="majorHAnsi" w:cstheme="majorBidi"/>
        <w:b/>
        <w:bCs/>
        <w:lang w:val="es-CO"/>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lang w:val="es-CO"/>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lang w:val="es-CO"/>
      </w:rPr>
    </w:tblStylePr>
    <w:tblStylePr w:type="lastCol">
      <w:rPr>
        <w:b/>
        <w:bCs/>
        <w:lang w:val="es-CO"/>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lang w:val="es-CO"/>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lang w:val="es-CO"/>
      </w:rPr>
    </w:tblStylePr>
    <w:tblStylePr w:type="lastCol">
      <w:rPr>
        <w:b/>
        <w:bCs/>
        <w:lang w:val="es-CO"/>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lang w:val="es-CO"/>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lang w:val="es-CO"/>
      </w:rPr>
    </w:tblStylePr>
    <w:tblStylePr w:type="lastCol">
      <w:rPr>
        <w:b/>
        <w:bCs/>
        <w:lang w:val="es-CO"/>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lang w:val="es-CO"/>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lang w:val="es-CO"/>
      </w:rPr>
    </w:tblStylePr>
    <w:tblStylePr w:type="lastCol">
      <w:rPr>
        <w:b/>
        <w:bCs/>
        <w:lang w:val="es-CO"/>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lang w:val="es-CO"/>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lang w:val="es-CO"/>
      </w:rPr>
    </w:tblStylePr>
    <w:tblStylePr w:type="lastCol">
      <w:rPr>
        <w:b/>
        <w:bCs/>
        <w:lang w:val="es-CO"/>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lang w:val="es-CO"/>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lang w:val="es-CO"/>
      </w:rPr>
    </w:tblStylePr>
    <w:tblStylePr w:type="lastCol">
      <w:rPr>
        <w:b/>
        <w:bCs/>
        <w:lang w:val="es-CO"/>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lang w:val="es-CO"/>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lang w:val="es-CO"/>
      </w:rPr>
    </w:tblStylePr>
    <w:tblStylePr w:type="lastCol">
      <w:rPr>
        <w:b/>
        <w:bCs/>
        <w:lang w:val="es-CO"/>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lang w:val="es-C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s-CO"/>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lang w:val="es-CO"/>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s-CO"/>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lang w:val="es-C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s-CO"/>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lang w:val="es-CO"/>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s-CO"/>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lang w:val="es-C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s-CO"/>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lang w:val="es-CO"/>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s-CO"/>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lang w:val="es-C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s-CO"/>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lang w:val="es-CO"/>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s-CO"/>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lang w:val="es-C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s-CO"/>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lang w:val="es-CO"/>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s-CO"/>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lang w:val="es-C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s-CO"/>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lang w:val="es-CO"/>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s-CO"/>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lang w:val="es-CO"/>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lang w:val="es-C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lang w:val="es-CO"/>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lang w:val="es-CO"/>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lang w:val="es-CO"/>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C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lang w:val="es-CO"/>
      </w:rPr>
      <w:tblPr/>
      <w:tcPr>
        <w:tcBorders>
          <w:top w:val="nil"/>
          <w:bottom w:val="single" w:sz="8" w:space="0" w:color="000000" w:themeColor="text1"/>
        </w:tcBorders>
      </w:tcPr>
    </w:tblStylePr>
    <w:tblStylePr w:type="lastRow">
      <w:rPr>
        <w:b/>
        <w:bCs/>
        <w:color w:val="1F497D" w:themeColor="text2"/>
        <w:lang w:val="es-CO"/>
      </w:rPr>
      <w:tblPr/>
      <w:tcPr>
        <w:tcBorders>
          <w:top w:val="single" w:sz="8" w:space="0" w:color="000000" w:themeColor="text1"/>
          <w:bottom w:val="single" w:sz="8" w:space="0" w:color="000000" w:themeColor="text1"/>
        </w:tcBorders>
      </w:tcPr>
    </w:tblStylePr>
    <w:tblStylePr w:type="firstCol">
      <w:rPr>
        <w:b/>
        <w:bCs/>
        <w:lang w:val="es-CO"/>
      </w:rPr>
    </w:tblStylePr>
    <w:tblStylePr w:type="lastCol">
      <w:rPr>
        <w:b/>
        <w:bCs/>
        <w:lang w:val="es-CO"/>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C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lang w:val="es-CO"/>
      </w:rPr>
      <w:tblPr/>
      <w:tcPr>
        <w:tcBorders>
          <w:top w:val="nil"/>
          <w:bottom w:val="single" w:sz="8" w:space="0" w:color="4F81BD" w:themeColor="accent1"/>
        </w:tcBorders>
      </w:tcPr>
    </w:tblStylePr>
    <w:tblStylePr w:type="lastRow">
      <w:rPr>
        <w:b/>
        <w:bCs/>
        <w:color w:val="1F497D" w:themeColor="text2"/>
        <w:lang w:val="es-CO"/>
      </w:rPr>
      <w:tblPr/>
      <w:tcPr>
        <w:tcBorders>
          <w:top w:val="single" w:sz="8" w:space="0" w:color="4F81BD" w:themeColor="accent1"/>
          <w:bottom w:val="single" w:sz="8" w:space="0" w:color="4F81BD" w:themeColor="accent1"/>
        </w:tcBorders>
      </w:tcPr>
    </w:tblStylePr>
    <w:tblStylePr w:type="firstCol">
      <w:rPr>
        <w:b/>
        <w:bCs/>
        <w:lang w:val="es-CO"/>
      </w:rPr>
    </w:tblStylePr>
    <w:tblStylePr w:type="lastCol">
      <w:rPr>
        <w:b/>
        <w:bCs/>
        <w:lang w:val="es-CO"/>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C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lang w:val="es-CO"/>
      </w:rPr>
      <w:tblPr/>
      <w:tcPr>
        <w:tcBorders>
          <w:top w:val="nil"/>
          <w:bottom w:val="single" w:sz="8" w:space="0" w:color="C0504D" w:themeColor="accent2"/>
        </w:tcBorders>
      </w:tcPr>
    </w:tblStylePr>
    <w:tblStylePr w:type="lastRow">
      <w:rPr>
        <w:b/>
        <w:bCs/>
        <w:color w:val="1F497D" w:themeColor="text2"/>
        <w:lang w:val="es-CO"/>
      </w:rPr>
      <w:tblPr/>
      <w:tcPr>
        <w:tcBorders>
          <w:top w:val="single" w:sz="8" w:space="0" w:color="C0504D" w:themeColor="accent2"/>
          <w:bottom w:val="single" w:sz="8" w:space="0" w:color="C0504D" w:themeColor="accent2"/>
        </w:tcBorders>
      </w:tcPr>
    </w:tblStylePr>
    <w:tblStylePr w:type="firstCol">
      <w:rPr>
        <w:b/>
        <w:bCs/>
        <w:lang w:val="es-CO"/>
      </w:rPr>
    </w:tblStylePr>
    <w:tblStylePr w:type="lastCol">
      <w:rPr>
        <w:b/>
        <w:bCs/>
        <w:lang w:val="es-CO"/>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C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lang w:val="es-CO"/>
      </w:rPr>
      <w:tblPr/>
      <w:tcPr>
        <w:tcBorders>
          <w:top w:val="nil"/>
          <w:bottom w:val="single" w:sz="8" w:space="0" w:color="9BBB59" w:themeColor="accent3"/>
        </w:tcBorders>
      </w:tcPr>
    </w:tblStylePr>
    <w:tblStylePr w:type="lastRow">
      <w:rPr>
        <w:b/>
        <w:bCs/>
        <w:color w:val="1F497D" w:themeColor="text2"/>
        <w:lang w:val="es-CO"/>
      </w:rPr>
      <w:tblPr/>
      <w:tcPr>
        <w:tcBorders>
          <w:top w:val="single" w:sz="8" w:space="0" w:color="9BBB59" w:themeColor="accent3"/>
          <w:bottom w:val="single" w:sz="8" w:space="0" w:color="9BBB59" w:themeColor="accent3"/>
        </w:tcBorders>
      </w:tcPr>
    </w:tblStylePr>
    <w:tblStylePr w:type="firstCol">
      <w:rPr>
        <w:b/>
        <w:bCs/>
        <w:lang w:val="es-CO"/>
      </w:rPr>
    </w:tblStylePr>
    <w:tblStylePr w:type="lastCol">
      <w:rPr>
        <w:b/>
        <w:bCs/>
        <w:lang w:val="es-CO"/>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C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lang w:val="es-CO"/>
      </w:rPr>
      <w:tblPr/>
      <w:tcPr>
        <w:tcBorders>
          <w:top w:val="nil"/>
          <w:bottom w:val="single" w:sz="8" w:space="0" w:color="8064A2" w:themeColor="accent4"/>
        </w:tcBorders>
      </w:tcPr>
    </w:tblStylePr>
    <w:tblStylePr w:type="lastRow">
      <w:rPr>
        <w:b/>
        <w:bCs/>
        <w:color w:val="1F497D" w:themeColor="text2"/>
        <w:lang w:val="es-CO"/>
      </w:rPr>
      <w:tblPr/>
      <w:tcPr>
        <w:tcBorders>
          <w:top w:val="single" w:sz="8" w:space="0" w:color="8064A2" w:themeColor="accent4"/>
          <w:bottom w:val="single" w:sz="8" w:space="0" w:color="8064A2" w:themeColor="accent4"/>
        </w:tcBorders>
      </w:tcPr>
    </w:tblStylePr>
    <w:tblStylePr w:type="firstCol">
      <w:rPr>
        <w:b/>
        <w:bCs/>
        <w:lang w:val="es-CO"/>
      </w:rPr>
    </w:tblStylePr>
    <w:tblStylePr w:type="lastCol">
      <w:rPr>
        <w:b/>
        <w:bCs/>
        <w:lang w:val="es-CO"/>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C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lang w:val="es-CO"/>
      </w:rPr>
      <w:tblPr/>
      <w:tcPr>
        <w:tcBorders>
          <w:top w:val="nil"/>
          <w:bottom w:val="single" w:sz="8" w:space="0" w:color="4BACC6" w:themeColor="accent5"/>
        </w:tcBorders>
      </w:tcPr>
    </w:tblStylePr>
    <w:tblStylePr w:type="lastRow">
      <w:rPr>
        <w:b/>
        <w:bCs/>
        <w:color w:val="1F497D" w:themeColor="text2"/>
        <w:lang w:val="es-CO"/>
      </w:rPr>
      <w:tblPr/>
      <w:tcPr>
        <w:tcBorders>
          <w:top w:val="single" w:sz="8" w:space="0" w:color="4BACC6" w:themeColor="accent5"/>
          <w:bottom w:val="single" w:sz="8" w:space="0" w:color="4BACC6" w:themeColor="accent5"/>
        </w:tcBorders>
      </w:tcPr>
    </w:tblStylePr>
    <w:tblStylePr w:type="firstCol">
      <w:rPr>
        <w:b/>
        <w:bCs/>
        <w:lang w:val="es-CO"/>
      </w:rPr>
    </w:tblStylePr>
    <w:tblStylePr w:type="lastCol">
      <w:rPr>
        <w:b/>
        <w:bCs/>
        <w:lang w:val="es-CO"/>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C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lang w:val="es-CO"/>
      </w:rPr>
      <w:tblPr/>
      <w:tcPr>
        <w:tcBorders>
          <w:top w:val="nil"/>
          <w:bottom w:val="single" w:sz="8" w:space="0" w:color="F79646" w:themeColor="accent6"/>
        </w:tcBorders>
      </w:tcPr>
    </w:tblStylePr>
    <w:tblStylePr w:type="lastRow">
      <w:rPr>
        <w:b/>
        <w:bCs/>
        <w:color w:val="1F497D" w:themeColor="text2"/>
        <w:lang w:val="es-CO"/>
      </w:rPr>
      <w:tblPr/>
      <w:tcPr>
        <w:tcBorders>
          <w:top w:val="single" w:sz="8" w:space="0" w:color="F79646" w:themeColor="accent6"/>
          <w:bottom w:val="single" w:sz="8" w:space="0" w:color="F79646" w:themeColor="accent6"/>
        </w:tcBorders>
      </w:tcPr>
    </w:tblStylePr>
    <w:tblStylePr w:type="firstCol">
      <w:rPr>
        <w:b/>
        <w:bCs/>
        <w:lang w:val="es-CO"/>
      </w:rPr>
    </w:tblStylePr>
    <w:tblStylePr w:type="lastCol">
      <w:rPr>
        <w:b/>
        <w:bCs/>
        <w:lang w:val="es-CO"/>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lang w:val="es-CO"/>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lang w:val="es-CO"/>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lang w:val="es-C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lang w:val="es-C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lang w:val="es-C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lang w:val="es-C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lang w:val="es-C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lang w:val="es-CO"/>
      </w:rPr>
    </w:tblStylePr>
    <w:tblStylePr w:type="lastRow">
      <w:rPr>
        <w:b/>
        <w:bCs/>
        <w:lang w:val="es-CO"/>
      </w:rPr>
      <w:tblPr/>
      <w:tcPr>
        <w:tcBorders>
          <w:top w:val="single" w:sz="18" w:space="0" w:color="404040" w:themeColor="text1" w:themeTint="BF"/>
        </w:tcBorders>
      </w:tcPr>
    </w:tblStylePr>
    <w:tblStylePr w:type="firstCol">
      <w:rPr>
        <w:b/>
        <w:bCs/>
        <w:lang w:val="es-CO"/>
      </w:rPr>
    </w:tblStylePr>
    <w:tblStylePr w:type="lastCol">
      <w:rPr>
        <w:b/>
        <w:bCs/>
        <w:lang w:val="es-CO"/>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lang w:val="es-CO"/>
      </w:rPr>
    </w:tblStylePr>
    <w:tblStylePr w:type="lastRow">
      <w:rPr>
        <w:b/>
        <w:bCs/>
        <w:lang w:val="es-CO"/>
      </w:rPr>
      <w:tblPr/>
      <w:tcPr>
        <w:tcBorders>
          <w:top w:val="single" w:sz="18" w:space="0" w:color="7BA0CD" w:themeColor="accent1" w:themeTint="BF"/>
        </w:tcBorders>
      </w:tcPr>
    </w:tblStylePr>
    <w:tblStylePr w:type="firstCol">
      <w:rPr>
        <w:b/>
        <w:bCs/>
        <w:lang w:val="es-CO"/>
      </w:rPr>
    </w:tblStylePr>
    <w:tblStylePr w:type="lastCol">
      <w:rPr>
        <w:b/>
        <w:bCs/>
        <w:lang w:val="es-CO"/>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lang w:val="es-CO"/>
      </w:rPr>
    </w:tblStylePr>
    <w:tblStylePr w:type="lastRow">
      <w:rPr>
        <w:b/>
        <w:bCs/>
        <w:lang w:val="es-CO"/>
      </w:rPr>
      <w:tblPr/>
      <w:tcPr>
        <w:tcBorders>
          <w:top w:val="single" w:sz="18" w:space="0" w:color="CF7B79" w:themeColor="accent2" w:themeTint="BF"/>
        </w:tcBorders>
      </w:tcPr>
    </w:tblStylePr>
    <w:tblStylePr w:type="firstCol">
      <w:rPr>
        <w:b/>
        <w:bCs/>
        <w:lang w:val="es-CO"/>
      </w:rPr>
    </w:tblStylePr>
    <w:tblStylePr w:type="lastCol">
      <w:rPr>
        <w:b/>
        <w:bCs/>
        <w:lang w:val="es-CO"/>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lang w:val="es-CO"/>
      </w:rPr>
    </w:tblStylePr>
    <w:tblStylePr w:type="lastRow">
      <w:rPr>
        <w:b/>
        <w:bCs/>
        <w:lang w:val="es-CO"/>
      </w:rPr>
      <w:tblPr/>
      <w:tcPr>
        <w:tcBorders>
          <w:top w:val="single" w:sz="18" w:space="0" w:color="B3CC82" w:themeColor="accent3" w:themeTint="BF"/>
        </w:tcBorders>
      </w:tcPr>
    </w:tblStylePr>
    <w:tblStylePr w:type="firstCol">
      <w:rPr>
        <w:b/>
        <w:bCs/>
        <w:lang w:val="es-CO"/>
      </w:rPr>
    </w:tblStylePr>
    <w:tblStylePr w:type="lastCol">
      <w:rPr>
        <w:b/>
        <w:bCs/>
        <w:lang w:val="es-CO"/>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lang w:val="es-CO"/>
      </w:rPr>
    </w:tblStylePr>
    <w:tblStylePr w:type="lastRow">
      <w:rPr>
        <w:b/>
        <w:bCs/>
        <w:lang w:val="es-CO"/>
      </w:rPr>
      <w:tblPr/>
      <w:tcPr>
        <w:tcBorders>
          <w:top w:val="single" w:sz="18" w:space="0" w:color="9F8AB9" w:themeColor="accent4" w:themeTint="BF"/>
        </w:tcBorders>
      </w:tcPr>
    </w:tblStylePr>
    <w:tblStylePr w:type="firstCol">
      <w:rPr>
        <w:b/>
        <w:bCs/>
        <w:lang w:val="es-CO"/>
      </w:rPr>
    </w:tblStylePr>
    <w:tblStylePr w:type="lastCol">
      <w:rPr>
        <w:b/>
        <w:bCs/>
        <w:lang w:val="es-CO"/>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lang w:val="es-CO"/>
      </w:rPr>
    </w:tblStylePr>
    <w:tblStylePr w:type="lastRow">
      <w:rPr>
        <w:b/>
        <w:bCs/>
        <w:lang w:val="es-CO"/>
      </w:rPr>
      <w:tblPr/>
      <w:tcPr>
        <w:tcBorders>
          <w:top w:val="single" w:sz="18" w:space="0" w:color="78C0D4" w:themeColor="accent5" w:themeTint="BF"/>
        </w:tcBorders>
      </w:tcPr>
    </w:tblStylePr>
    <w:tblStylePr w:type="firstCol">
      <w:rPr>
        <w:b/>
        <w:bCs/>
        <w:lang w:val="es-CO"/>
      </w:rPr>
    </w:tblStylePr>
    <w:tblStylePr w:type="lastCol">
      <w:rPr>
        <w:b/>
        <w:bCs/>
        <w:lang w:val="es-CO"/>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lang w:val="es-CO"/>
      </w:rPr>
    </w:tblStylePr>
    <w:tblStylePr w:type="lastRow">
      <w:rPr>
        <w:b/>
        <w:bCs/>
        <w:lang w:val="es-CO"/>
      </w:rPr>
      <w:tblPr/>
      <w:tcPr>
        <w:tcBorders>
          <w:top w:val="single" w:sz="18" w:space="0" w:color="F9B074" w:themeColor="accent6" w:themeTint="BF"/>
        </w:tcBorders>
      </w:tcPr>
    </w:tblStylePr>
    <w:tblStylePr w:type="firstCol">
      <w:rPr>
        <w:b/>
        <w:bCs/>
        <w:lang w:val="es-CO"/>
      </w:rPr>
    </w:tblStylePr>
    <w:tblStylePr w:type="lastCol">
      <w:rPr>
        <w:b/>
        <w:bCs/>
        <w:lang w:val="es-CO"/>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lang w:val="es-CO"/>
      </w:rPr>
      <w:tblPr/>
      <w:tcPr>
        <w:shd w:val="clear" w:color="auto" w:fill="E6E6E6" w:themeFill="text1" w:themeFillTint="19"/>
      </w:tcPr>
    </w:tblStylePr>
    <w:tblStylePr w:type="lastRow">
      <w:rPr>
        <w:b/>
        <w:bCs/>
        <w:color w:val="000000" w:themeColor="text1"/>
        <w:lang w:val="es-C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s-C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s-CO"/>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lang w:val="es-CO"/>
      </w:rPr>
      <w:tblPr/>
      <w:tcPr>
        <w:shd w:val="clear" w:color="auto" w:fill="EDF2F8" w:themeFill="accent1" w:themeFillTint="19"/>
      </w:tcPr>
    </w:tblStylePr>
    <w:tblStylePr w:type="lastRow">
      <w:rPr>
        <w:b/>
        <w:bCs/>
        <w:color w:val="000000" w:themeColor="text1"/>
        <w:lang w:val="es-C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s-C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s-CO"/>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lang w:val="es-CO"/>
      </w:rPr>
      <w:tblPr/>
      <w:tcPr>
        <w:shd w:val="clear" w:color="auto" w:fill="F8EDED" w:themeFill="accent2" w:themeFillTint="19"/>
      </w:tcPr>
    </w:tblStylePr>
    <w:tblStylePr w:type="lastRow">
      <w:rPr>
        <w:b/>
        <w:bCs/>
        <w:color w:val="000000" w:themeColor="text1"/>
        <w:lang w:val="es-C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s-C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s-CO"/>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lang w:val="es-CO"/>
      </w:rPr>
      <w:tblPr/>
      <w:tcPr>
        <w:shd w:val="clear" w:color="auto" w:fill="F5F8EE" w:themeFill="accent3" w:themeFillTint="19"/>
      </w:tcPr>
    </w:tblStylePr>
    <w:tblStylePr w:type="lastRow">
      <w:rPr>
        <w:b/>
        <w:bCs/>
        <w:color w:val="000000" w:themeColor="text1"/>
        <w:lang w:val="es-C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s-C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s-CO"/>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lang w:val="es-CO"/>
      </w:rPr>
      <w:tblPr/>
      <w:tcPr>
        <w:shd w:val="clear" w:color="auto" w:fill="F2EFF6" w:themeFill="accent4" w:themeFillTint="19"/>
      </w:tcPr>
    </w:tblStylePr>
    <w:tblStylePr w:type="lastRow">
      <w:rPr>
        <w:b/>
        <w:bCs/>
        <w:color w:val="000000" w:themeColor="text1"/>
        <w:lang w:val="es-C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s-C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s-CO"/>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lang w:val="es-CO"/>
      </w:rPr>
      <w:tblPr/>
      <w:tcPr>
        <w:shd w:val="clear" w:color="auto" w:fill="EDF6F9" w:themeFill="accent5" w:themeFillTint="19"/>
      </w:tcPr>
    </w:tblStylePr>
    <w:tblStylePr w:type="lastRow">
      <w:rPr>
        <w:b/>
        <w:bCs/>
        <w:color w:val="000000" w:themeColor="text1"/>
        <w:lang w:val="es-C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s-C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s-CO"/>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CO"/>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lang w:val="es-CO"/>
      </w:rPr>
      <w:tblPr/>
      <w:tcPr>
        <w:shd w:val="clear" w:color="auto" w:fill="FEF4EC" w:themeFill="accent6" w:themeFillTint="19"/>
      </w:tcPr>
    </w:tblStylePr>
    <w:tblStylePr w:type="lastRow">
      <w:rPr>
        <w:b/>
        <w:bCs/>
        <w:color w:val="000000" w:themeColor="text1"/>
        <w:lang w:val="es-C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lang w:val="es-CO"/>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lang w:val="es-CO"/>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lang w:val="es-C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lang w:val="es-C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lang w:val="es-CO"/>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lang w:val="es-CO"/>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lang w:val="es-C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lang w:val="es-C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lang w:val="es-CO"/>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lang w:val="es-CO"/>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lang w:val="es-C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lang w:val="es-C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lang w:val="es-CO"/>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lang w:val="es-CO"/>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lang w:val="es-C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lang w:val="es-C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lang w:val="es-CO"/>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lang w:val="es-CO"/>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lang w:val="es-C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lang w:val="es-C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lang w:val="es-CO"/>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lang w:val="es-CO"/>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lang w:val="es-C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lang w:val="es-C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lang w:val="es-CO"/>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lang w:val="es-CO"/>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lang w:val="es-C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lang w:val="es-C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lang w:val="es-CO"/>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lang w:val="es-CO"/>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CO"/>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lang w:val="es-C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CO"/>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lang w:val="es-C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CO"/>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lang w:val="es-C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CO"/>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lang w:val="es-C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CO"/>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lang w:val="es-C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CO"/>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lang w:val="es-C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CO"/>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lang w:val="es-C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CO"/>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lang w:val="es-C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s-CO"/>
      </w:rPr>
      <w:tblPr/>
      <w:tcPr>
        <w:tcBorders>
          <w:top w:val="single" w:sz="6" w:space="0" w:color="FFFFFF" w:themeColor="background1"/>
        </w:tcBorders>
        <w:shd w:val="clear" w:color="auto" w:fill="000000" w:themeFill="text1" w:themeFillShade="99"/>
      </w:tcPr>
    </w:tblStylePr>
    <w:tblStylePr w:type="firstCol">
      <w:rPr>
        <w:color w:val="FFFFFF" w:themeColor="background1"/>
        <w:lang w:val="es-CO"/>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lang w:val="es-CO"/>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lang w:val="es-CO"/>
      </w:rPr>
    </w:tblStylePr>
    <w:tblStylePr w:type="nwCell">
      <w:rPr>
        <w:color w:val="000000" w:themeColor="text1"/>
        <w:lang w:val="es-CO"/>
      </w:rPr>
    </w:tblStylePr>
  </w:style>
  <w:style w:type="table" w:styleId="ColorfulShading-Accent1">
    <w:name w:val="Colorful Shading Accent 1"/>
    <w:basedOn w:val="TableNormal"/>
    <w:uiPriority w:val="71"/>
    <w:rsid w:val="00CB0664"/>
    <w:pPr>
      <w:spacing w:after="0" w:line="240" w:lineRule="auto"/>
    </w:pPr>
    <w:rPr>
      <w:color w:val="000000" w:themeColor="text1"/>
      <w:lang w:val="es-CO"/>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lang w:val="es-C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s-CO"/>
      </w:rPr>
      <w:tblPr/>
      <w:tcPr>
        <w:tcBorders>
          <w:top w:val="single" w:sz="6" w:space="0" w:color="FFFFFF" w:themeColor="background1"/>
        </w:tcBorders>
        <w:shd w:val="clear" w:color="auto" w:fill="2C4C74" w:themeFill="accent1" w:themeFillShade="99"/>
      </w:tcPr>
    </w:tblStylePr>
    <w:tblStylePr w:type="firstCol">
      <w:rPr>
        <w:color w:val="FFFFFF" w:themeColor="background1"/>
        <w:lang w:val="es-CO"/>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lang w:val="es-CO"/>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lang w:val="es-CO"/>
      </w:rPr>
    </w:tblStylePr>
    <w:tblStylePr w:type="nwCell">
      <w:rPr>
        <w:color w:val="000000" w:themeColor="text1"/>
        <w:lang w:val="es-CO"/>
      </w:rPr>
    </w:tblStylePr>
  </w:style>
  <w:style w:type="table" w:styleId="ColorfulShading-Accent2">
    <w:name w:val="Colorful Shading Accent 2"/>
    <w:basedOn w:val="TableNormal"/>
    <w:uiPriority w:val="71"/>
    <w:rsid w:val="00CB0664"/>
    <w:pPr>
      <w:spacing w:after="0" w:line="240" w:lineRule="auto"/>
    </w:pPr>
    <w:rPr>
      <w:color w:val="000000" w:themeColor="text1"/>
      <w:lang w:val="es-CO"/>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lang w:val="es-CO"/>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lang w:val="es-CO"/>
      </w:rPr>
      <w:tblPr/>
      <w:tcPr>
        <w:tcBorders>
          <w:top w:val="single" w:sz="6" w:space="0" w:color="FFFFFF" w:themeColor="background1"/>
        </w:tcBorders>
        <w:shd w:val="clear" w:color="auto" w:fill="772C2A" w:themeFill="accent2" w:themeFillShade="99"/>
      </w:tcPr>
    </w:tblStylePr>
    <w:tblStylePr w:type="firstCol">
      <w:rPr>
        <w:color w:val="FFFFFF" w:themeColor="background1"/>
        <w:lang w:val="es-CO"/>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lang w:val="es-CO"/>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lang w:val="es-CO"/>
      </w:rPr>
    </w:tblStylePr>
    <w:tblStylePr w:type="nwCell">
      <w:rPr>
        <w:color w:val="000000" w:themeColor="text1"/>
        <w:lang w:val="es-CO"/>
      </w:rPr>
    </w:tblStylePr>
  </w:style>
  <w:style w:type="table" w:styleId="ColorfulShading-Accent3">
    <w:name w:val="Colorful Shading Accent 3"/>
    <w:basedOn w:val="TableNormal"/>
    <w:uiPriority w:val="71"/>
    <w:rsid w:val="00CB0664"/>
    <w:pPr>
      <w:spacing w:after="0" w:line="240" w:lineRule="auto"/>
    </w:pPr>
    <w:rPr>
      <w:color w:val="000000" w:themeColor="text1"/>
      <w:lang w:val="es-CO"/>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lang w:val="es-CO"/>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lang w:val="es-CO"/>
      </w:rPr>
      <w:tblPr/>
      <w:tcPr>
        <w:tcBorders>
          <w:top w:val="single" w:sz="6" w:space="0" w:color="FFFFFF" w:themeColor="background1"/>
        </w:tcBorders>
        <w:shd w:val="clear" w:color="auto" w:fill="5E7530" w:themeFill="accent3" w:themeFillShade="99"/>
      </w:tcPr>
    </w:tblStylePr>
    <w:tblStylePr w:type="firstCol">
      <w:rPr>
        <w:color w:val="FFFFFF" w:themeColor="background1"/>
        <w:lang w:val="es-CO"/>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lang w:val="es-CO"/>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CO"/>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lang w:val="es-CO"/>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lang w:val="es-CO"/>
      </w:rPr>
      <w:tblPr/>
      <w:tcPr>
        <w:tcBorders>
          <w:top w:val="single" w:sz="6" w:space="0" w:color="FFFFFF" w:themeColor="background1"/>
        </w:tcBorders>
        <w:shd w:val="clear" w:color="auto" w:fill="4C3B62" w:themeFill="accent4" w:themeFillShade="99"/>
      </w:tcPr>
    </w:tblStylePr>
    <w:tblStylePr w:type="firstCol">
      <w:rPr>
        <w:color w:val="FFFFFF" w:themeColor="background1"/>
        <w:lang w:val="es-CO"/>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lang w:val="es-CO"/>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lang w:val="es-CO"/>
      </w:rPr>
    </w:tblStylePr>
    <w:tblStylePr w:type="nwCell">
      <w:rPr>
        <w:color w:val="000000" w:themeColor="text1"/>
        <w:lang w:val="es-CO"/>
      </w:rPr>
    </w:tblStylePr>
  </w:style>
  <w:style w:type="table" w:styleId="ColorfulShading-Accent5">
    <w:name w:val="Colorful Shading Accent 5"/>
    <w:basedOn w:val="TableNormal"/>
    <w:uiPriority w:val="71"/>
    <w:rsid w:val="00CB0664"/>
    <w:pPr>
      <w:spacing w:after="0" w:line="240" w:lineRule="auto"/>
    </w:pPr>
    <w:rPr>
      <w:color w:val="000000" w:themeColor="text1"/>
      <w:lang w:val="es-CO"/>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lang w:val="es-CO"/>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lang w:val="es-CO"/>
      </w:rPr>
      <w:tblPr/>
      <w:tcPr>
        <w:tcBorders>
          <w:top w:val="single" w:sz="6" w:space="0" w:color="FFFFFF" w:themeColor="background1"/>
        </w:tcBorders>
        <w:shd w:val="clear" w:color="auto" w:fill="276A7C" w:themeFill="accent5" w:themeFillShade="99"/>
      </w:tcPr>
    </w:tblStylePr>
    <w:tblStylePr w:type="firstCol">
      <w:rPr>
        <w:color w:val="FFFFFF" w:themeColor="background1"/>
        <w:lang w:val="es-CO"/>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lang w:val="es-CO"/>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lang w:val="es-CO"/>
      </w:rPr>
    </w:tblStylePr>
    <w:tblStylePr w:type="nwCell">
      <w:rPr>
        <w:color w:val="000000" w:themeColor="text1"/>
        <w:lang w:val="es-CO"/>
      </w:rPr>
    </w:tblStylePr>
  </w:style>
  <w:style w:type="table" w:styleId="ColorfulShading-Accent6">
    <w:name w:val="Colorful Shading Accent 6"/>
    <w:basedOn w:val="TableNormal"/>
    <w:uiPriority w:val="71"/>
    <w:rsid w:val="00CB0664"/>
    <w:pPr>
      <w:spacing w:after="0" w:line="240" w:lineRule="auto"/>
    </w:pPr>
    <w:rPr>
      <w:color w:val="000000" w:themeColor="text1"/>
      <w:lang w:val="es-CO"/>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lang w:val="es-CO"/>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lang w:val="es-CO"/>
      </w:rPr>
      <w:tblPr/>
      <w:tcPr>
        <w:tcBorders>
          <w:top w:val="single" w:sz="6" w:space="0" w:color="FFFFFF" w:themeColor="background1"/>
        </w:tcBorders>
        <w:shd w:val="clear" w:color="auto" w:fill="B65608" w:themeFill="accent6" w:themeFillShade="99"/>
      </w:tcPr>
    </w:tblStylePr>
    <w:tblStylePr w:type="firstCol">
      <w:rPr>
        <w:color w:val="FFFFFF" w:themeColor="background1"/>
        <w:lang w:val="es-CO"/>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lang w:val="es-CO"/>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lang w:val="es-CO"/>
      </w:rPr>
    </w:tblStylePr>
    <w:tblStylePr w:type="nwCell">
      <w:rPr>
        <w:color w:val="000000" w:themeColor="text1"/>
        <w:lang w:val="es-CO"/>
      </w:rPr>
    </w:tblStylePr>
  </w:style>
  <w:style w:type="table" w:styleId="ColorfulList">
    <w:name w:val="Colorful List"/>
    <w:basedOn w:val="TableNormal"/>
    <w:uiPriority w:val="72"/>
    <w:rsid w:val="00CB0664"/>
    <w:pPr>
      <w:spacing w:after="0" w:line="240" w:lineRule="auto"/>
    </w:pPr>
    <w:rPr>
      <w:color w:val="000000" w:themeColor="text1"/>
      <w:lang w:val="es-CO"/>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lang w:val="es-C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s-CO"/>
      </w:rPr>
      <w:tblPr/>
      <w:tcPr>
        <w:tcBorders>
          <w:top w:val="single" w:sz="12" w:space="0" w:color="000000" w:themeColor="text1"/>
        </w:tcBorders>
        <w:shd w:val="clear" w:color="auto" w:fill="FFFFFF" w:themeFill="background1"/>
      </w:tcPr>
    </w:tblStylePr>
    <w:tblStylePr w:type="firstCol">
      <w:rPr>
        <w:b/>
        <w:bCs/>
        <w:lang w:val="es-CO"/>
      </w:rPr>
    </w:tblStylePr>
    <w:tblStylePr w:type="lastCol">
      <w:rPr>
        <w:b/>
        <w:bCs/>
        <w:lang w:val="es-CO"/>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CO"/>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lang w:val="es-C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s-CO"/>
      </w:rPr>
      <w:tblPr/>
      <w:tcPr>
        <w:tcBorders>
          <w:top w:val="single" w:sz="12" w:space="0" w:color="000000" w:themeColor="text1"/>
        </w:tcBorders>
        <w:shd w:val="clear" w:color="auto" w:fill="FFFFFF" w:themeFill="background1"/>
      </w:tcPr>
    </w:tblStylePr>
    <w:tblStylePr w:type="firstCol">
      <w:rPr>
        <w:b/>
        <w:bCs/>
        <w:lang w:val="es-CO"/>
      </w:rPr>
    </w:tblStylePr>
    <w:tblStylePr w:type="lastCol">
      <w:rPr>
        <w:b/>
        <w:bCs/>
        <w:lang w:val="es-CO"/>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CO"/>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lang w:val="es-CO"/>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lang w:val="es-CO"/>
      </w:rPr>
      <w:tblPr/>
      <w:tcPr>
        <w:tcBorders>
          <w:top w:val="single" w:sz="12" w:space="0" w:color="000000" w:themeColor="text1"/>
        </w:tcBorders>
        <w:shd w:val="clear" w:color="auto" w:fill="FFFFFF" w:themeFill="background1"/>
      </w:tcPr>
    </w:tblStylePr>
    <w:tblStylePr w:type="firstCol">
      <w:rPr>
        <w:b/>
        <w:bCs/>
        <w:lang w:val="es-CO"/>
      </w:rPr>
    </w:tblStylePr>
    <w:tblStylePr w:type="lastCol">
      <w:rPr>
        <w:b/>
        <w:bCs/>
        <w:lang w:val="es-CO"/>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CO"/>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lang w:val="es-CO"/>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lang w:val="es-CO"/>
      </w:rPr>
      <w:tblPr/>
      <w:tcPr>
        <w:tcBorders>
          <w:top w:val="single" w:sz="12" w:space="0" w:color="000000" w:themeColor="text1"/>
        </w:tcBorders>
        <w:shd w:val="clear" w:color="auto" w:fill="FFFFFF" w:themeFill="background1"/>
      </w:tcPr>
    </w:tblStylePr>
    <w:tblStylePr w:type="firstCol">
      <w:rPr>
        <w:b/>
        <w:bCs/>
        <w:lang w:val="es-CO"/>
      </w:rPr>
    </w:tblStylePr>
    <w:tblStylePr w:type="lastCol">
      <w:rPr>
        <w:b/>
        <w:bCs/>
        <w:lang w:val="es-CO"/>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CO"/>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lang w:val="es-CO"/>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lang w:val="es-CO"/>
      </w:rPr>
      <w:tblPr/>
      <w:tcPr>
        <w:tcBorders>
          <w:top w:val="single" w:sz="12" w:space="0" w:color="000000" w:themeColor="text1"/>
        </w:tcBorders>
        <w:shd w:val="clear" w:color="auto" w:fill="FFFFFF" w:themeFill="background1"/>
      </w:tcPr>
    </w:tblStylePr>
    <w:tblStylePr w:type="firstCol">
      <w:rPr>
        <w:b/>
        <w:bCs/>
        <w:lang w:val="es-CO"/>
      </w:rPr>
    </w:tblStylePr>
    <w:tblStylePr w:type="lastCol">
      <w:rPr>
        <w:b/>
        <w:bCs/>
        <w:lang w:val="es-CO"/>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CO"/>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lang w:val="es-CO"/>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lang w:val="es-CO"/>
      </w:rPr>
      <w:tblPr/>
      <w:tcPr>
        <w:tcBorders>
          <w:top w:val="single" w:sz="12" w:space="0" w:color="000000" w:themeColor="text1"/>
        </w:tcBorders>
        <w:shd w:val="clear" w:color="auto" w:fill="FFFFFF" w:themeFill="background1"/>
      </w:tcPr>
    </w:tblStylePr>
    <w:tblStylePr w:type="firstCol">
      <w:rPr>
        <w:b/>
        <w:bCs/>
        <w:lang w:val="es-CO"/>
      </w:rPr>
    </w:tblStylePr>
    <w:tblStylePr w:type="lastCol">
      <w:rPr>
        <w:b/>
        <w:bCs/>
        <w:lang w:val="es-CO"/>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CO"/>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lang w:val="es-CO"/>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lang w:val="es-CO"/>
      </w:rPr>
      <w:tblPr/>
      <w:tcPr>
        <w:tcBorders>
          <w:top w:val="single" w:sz="12" w:space="0" w:color="000000" w:themeColor="text1"/>
        </w:tcBorders>
        <w:shd w:val="clear" w:color="auto" w:fill="FFFFFF" w:themeFill="background1"/>
      </w:tcPr>
    </w:tblStylePr>
    <w:tblStylePr w:type="firstCol">
      <w:rPr>
        <w:b/>
        <w:bCs/>
        <w:lang w:val="es-CO"/>
      </w:rPr>
    </w:tblStylePr>
    <w:tblStylePr w:type="lastCol">
      <w:rPr>
        <w:b/>
        <w:bCs/>
        <w:lang w:val="es-CO"/>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lang w:val="es-CO"/>
      </w:rPr>
      <w:tblPr/>
      <w:tcPr>
        <w:shd w:val="clear" w:color="auto" w:fill="999999" w:themeFill="text1" w:themeFillTint="66"/>
      </w:tcPr>
    </w:tblStylePr>
    <w:tblStylePr w:type="lastRow">
      <w:rPr>
        <w:b/>
        <w:bCs/>
        <w:color w:val="000000" w:themeColor="text1"/>
        <w:lang w:val="es-CO"/>
      </w:rPr>
      <w:tblPr/>
      <w:tcPr>
        <w:shd w:val="clear" w:color="auto" w:fill="999999" w:themeFill="text1" w:themeFillTint="66"/>
      </w:tcPr>
    </w:tblStylePr>
    <w:tblStylePr w:type="firstCol">
      <w:rPr>
        <w:color w:val="FFFFFF" w:themeColor="background1"/>
        <w:lang w:val="es-CO"/>
      </w:rPr>
      <w:tblPr/>
      <w:tcPr>
        <w:shd w:val="clear" w:color="auto" w:fill="000000" w:themeFill="text1" w:themeFillShade="BF"/>
      </w:tcPr>
    </w:tblStylePr>
    <w:tblStylePr w:type="lastCol">
      <w:rPr>
        <w:color w:val="FFFFFF" w:themeColor="background1"/>
        <w:lang w:val="es-CO"/>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lang w:val="es-CO"/>
      </w:rPr>
      <w:tblPr/>
      <w:tcPr>
        <w:shd w:val="clear" w:color="auto" w:fill="B8CCE4" w:themeFill="accent1" w:themeFillTint="66"/>
      </w:tcPr>
    </w:tblStylePr>
    <w:tblStylePr w:type="lastRow">
      <w:rPr>
        <w:b/>
        <w:bCs/>
        <w:color w:val="000000" w:themeColor="text1"/>
        <w:lang w:val="es-CO"/>
      </w:rPr>
      <w:tblPr/>
      <w:tcPr>
        <w:shd w:val="clear" w:color="auto" w:fill="B8CCE4" w:themeFill="accent1" w:themeFillTint="66"/>
      </w:tcPr>
    </w:tblStylePr>
    <w:tblStylePr w:type="firstCol">
      <w:rPr>
        <w:color w:val="FFFFFF" w:themeColor="background1"/>
        <w:lang w:val="es-CO"/>
      </w:rPr>
      <w:tblPr/>
      <w:tcPr>
        <w:shd w:val="clear" w:color="auto" w:fill="365F91" w:themeFill="accent1" w:themeFillShade="BF"/>
      </w:tcPr>
    </w:tblStylePr>
    <w:tblStylePr w:type="lastCol">
      <w:rPr>
        <w:color w:val="FFFFFF" w:themeColor="background1"/>
        <w:lang w:val="es-CO"/>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lang w:val="es-CO"/>
      </w:rPr>
      <w:tblPr/>
      <w:tcPr>
        <w:shd w:val="clear" w:color="auto" w:fill="E5B8B7" w:themeFill="accent2" w:themeFillTint="66"/>
      </w:tcPr>
    </w:tblStylePr>
    <w:tblStylePr w:type="lastRow">
      <w:rPr>
        <w:b/>
        <w:bCs/>
        <w:color w:val="000000" w:themeColor="text1"/>
        <w:lang w:val="es-CO"/>
      </w:rPr>
      <w:tblPr/>
      <w:tcPr>
        <w:shd w:val="clear" w:color="auto" w:fill="E5B8B7" w:themeFill="accent2" w:themeFillTint="66"/>
      </w:tcPr>
    </w:tblStylePr>
    <w:tblStylePr w:type="firstCol">
      <w:rPr>
        <w:color w:val="FFFFFF" w:themeColor="background1"/>
        <w:lang w:val="es-CO"/>
      </w:rPr>
      <w:tblPr/>
      <w:tcPr>
        <w:shd w:val="clear" w:color="auto" w:fill="943634" w:themeFill="accent2" w:themeFillShade="BF"/>
      </w:tcPr>
    </w:tblStylePr>
    <w:tblStylePr w:type="lastCol">
      <w:rPr>
        <w:color w:val="FFFFFF" w:themeColor="background1"/>
        <w:lang w:val="es-CO"/>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lang w:val="es-CO"/>
      </w:rPr>
      <w:tblPr/>
      <w:tcPr>
        <w:shd w:val="clear" w:color="auto" w:fill="D6E3BC" w:themeFill="accent3" w:themeFillTint="66"/>
      </w:tcPr>
    </w:tblStylePr>
    <w:tblStylePr w:type="lastRow">
      <w:rPr>
        <w:b/>
        <w:bCs/>
        <w:color w:val="000000" w:themeColor="text1"/>
        <w:lang w:val="es-CO"/>
      </w:rPr>
      <w:tblPr/>
      <w:tcPr>
        <w:shd w:val="clear" w:color="auto" w:fill="D6E3BC" w:themeFill="accent3" w:themeFillTint="66"/>
      </w:tcPr>
    </w:tblStylePr>
    <w:tblStylePr w:type="firstCol">
      <w:rPr>
        <w:color w:val="FFFFFF" w:themeColor="background1"/>
        <w:lang w:val="es-CO"/>
      </w:rPr>
      <w:tblPr/>
      <w:tcPr>
        <w:shd w:val="clear" w:color="auto" w:fill="76923C" w:themeFill="accent3" w:themeFillShade="BF"/>
      </w:tcPr>
    </w:tblStylePr>
    <w:tblStylePr w:type="lastCol">
      <w:rPr>
        <w:color w:val="FFFFFF" w:themeColor="background1"/>
        <w:lang w:val="es-CO"/>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lang w:val="es-CO"/>
      </w:rPr>
      <w:tblPr/>
      <w:tcPr>
        <w:shd w:val="clear" w:color="auto" w:fill="CCC0D9" w:themeFill="accent4" w:themeFillTint="66"/>
      </w:tcPr>
    </w:tblStylePr>
    <w:tblStylePr w:type="lastRow">
      <w:rPr>
        <w:b/>
        <w:bCs/>
        <w:color w:val="000000" w:themeColor="text1"/>
        <w:lang w:val="es-CO"/>
      </w:rPr>
      <w:tblPr/>
      <w:tcPr>
        <w:shd w:val="clear" w:color="auto" w:fill="CCC0D9" w:themeFill="accent4" w:themeFillTint="66"/>
      </w:tcPr>
    </w:tblStylePr>
    <w:tblStylePr w:type="firstCol">
      <w:rPr>
        <w:color w:val="FFFFFF" w:themeColor="background1"/>
        <w:lang w:val="es-CO"/>
      </w:rPr>
      <w:tblPr/>
      <w:tcPr>
        <w:shd w:val="clear" w:color="auto" w:fill="5F497A" w:themeFill="accent4" w:themeFillShade="BF"/>
      </w:tcPr>
    </w:tblStylePr>
    <w:tblStylePr w:type="lastCol">
      <w:rPr>
        <w:color w:val="FFFFFF" w:themeColor="background1"/>
        <w:lang w:val="es-CO"/>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lang w:val="es-CO"/>
      </w:rPr>
      <w:tblPr/>
      <w:tcPr>
        <w:shd w:val="clear" w:color="auto" w:fill="B6DDE8" w:themeFill="accent5" w:themeFillTint="66"/>
      </w:tcPr>
    </w:tblStylePr>
    <w:tblStylePr w:type="lastRow">
      <w:rPr>
        <w:b/>
        <w:bCs/>
        <w:color w:val="000000" w:themeColor="text1"/>
        <w:lang w:val="es-CO"/>
      </w:rPr>
      <w:tblPr/>
      <w:tcPr>
        <w:shd w:val="clear" w:color="auto" w:fill="B6DDE8" w:themeFill="accent5" w:themeFillTint="66"/>
      </w:tcPr>
    </w:tblStylePr>
    <w:tblStylePr w:type="firstCol">
      <w:rPr>
        <w:color w:val="FFFFFF" w:themeColor="background1"/>
        <w:lang w:val="es-CO"/>
      </w:rPr>
      <w:tblPr/>
      <w:tcPr>
        <w:shd w:val="clear" w:color="auto" w:fill="31849B" w:themeFill="accent5" w:themeFillShade="BF"/>
      </w:tcPr>
    </w:tblStylePr>
    <w:tblStylePr w:type="lastCol">
      <w:rPr>
        <w:color w:val="FFFFFF" w:themeColor="background1"/>
        <w:lang w:val="es-CO"/>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C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lang w:val="es-CO"/>
      </w:rPr>
      <w:tblPr/>
      <w:tcPr>
        <w:shd w:val="clear" w:color="auto" w:fill="FBD4B4" w:themeFill="accent6" w:themeFillTint="66"/>
      </w:tcPr>
    </w:tblStylePr>
    <w:tblStylePr w:type="lastRow">
      <w:rPr>
        <w:b/>
        <w:bCs/>
        <w:color w:val="000000" w:themeColor="text1"/>
        <w:lang w:val="es-CO"/>
      </w:rPr>
      <w:tblPr/>
      <w:tcPr>
        <w:shd w:val="clear" w:color="auto" w:fill="FBD4B4" w:themeFill="accent6" w:themeFillTint="66"/>
      </w:tcPr>
    </w:tblStylePr>
    <w:tblStylePr w:type="firstCol">
      <w:rPr>
        <w:color w:val="FFFFFF" w:themeColor="background1"/>
        <w:lang w:val="es-CO"/>
      </w:rPr>
      <w:tblPr/>
      <w:tcPr>
        <w:shd w:val="clear" w:color="auto" w:fill="E36C0A" w:themeFill="accent6" w:themeFillShade="BF"/>
      </w:tcPr>
    </w:tblStylePr>
    <w:tblStylePr w:type="lastCol">
      <w:rPr>
        <w:color w:val="FFFFFF" w:themeColor="background1"/>
        <w:lang w:val="es-CO"/>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monitoreo | NEBIOT</dc:title>
  <dc:subject>NEBIOT Standard 0.8.2 | Monitoring template 1.3</dc:subject>
  <dc:creator>Henry Arellano-Peña</dc:creator>
  <cp:keywords>NEBIOT; monitoreo; NVEU</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