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Estimación ex ante</w:t>
      </w:r>
    </w:p>
    <w:p>
      <w:pPr>
        <w:keepNext w:val="0"/>
        <w:spacing w:after="180" w:line="259" w:lineRule="auto"/>
      </w:pPr>
      <w:r>
        <w:rPr>
          <w:rFonts w:ascii="Arial" w:hAnsi="Arial"/>
          <w:b w:val="0"/>
          <w:i/>
          <w:color w:val="215F52"/>
          <w:sz w:val="21"/>
        </w:rPr>
        <w:t>Expediente de escenarios y resultados proyectados</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Estimación ex ante.</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EX-ANTE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CYC-05</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pPr>
      <w:hyperlink w:anchor="sec_01">
        <w:r>
          <w:rPr>
            <w:color w:val="215F52"/>
          </w:rPr>
          <w:t>01  Alcance, versión de la proyección y uso previsto</w:t>
        </w:r>
      </w:hyperlink>
    </w:p>
    <w:p>
      <w:pPr>
        <w:spacing w:after="60"/>
      </w:pPr>
      <w:hyperlink w:anchor="sec_02">
        <w:r>
          <w:rPr>
            <w:color w:val="215F52"/>
          </w:rPr>
          <w:t>02  Fuentes, mapas y referencia inicial de carbono</w:t>
        </w:r>
      </w:hyperlink>
    </w:p>
    <w:p>
      <w:pPr>
        <w:spacing w:after="60"/>
      </w:pPr>
      <w:hyperlink w:anchor="sec_03">
        <w:r>
          <w:rPr>
            <w:color w:val="215F52"/>
          </w:rPr>
          <w:t>03  Línea base y escenarios por impulsor</w:t>
        </w:r>
      </w:hyperlink>
    </w:p>
    <w:p>
      <w:pPr>
        <w:spacing w:after="60"/>
      </w:pPr>
      <w:hyperlink w:anchor="sec_04">
        <w:r>
          <w:rPr>
            <w:color w:val="215F52"/>
          </w:rPr>
          <w:t>04  Escenario del proyecto y emisiones de implementación</w:t>
        </w:r>
      </w:hyperlink>
    </w:p>
    <w:p>
      <w:pPr>
        <w:spacing w:after="60"/>
      </w:pPr>
      <w:hyperlink w:anchor="sec_05">
        <w:r>
          <w:rPr>
            <w:color w:val="215F52"/>
          </w:rPr>
          <w:t>05  Fugas y contrafactual fuera del proyecto</w:t>
        </w:r>
      </w:hyperlink>
    </w:p>
    <w:p>
      <w:pPr>
        <w:spacing w:after="60"/>
      </w:pPr>
      <w:hyperlink w:anchor="sec_06">
        <w:r>
          <w:rPr>
            <w:color w:val="215F52"/>
          </w:rPr>
          <w:t>06  Existencias, flujos, reservorios y liberación temporal</w:t>
        </w:r>
      </w:hyperlink>
    </w:p>
    <w:p>
      <w:pPr>
        <w:spacing w:after="60"/>
      </w:pPr>
      <w:hyperlink w:anchor="sec_07">
        <w:r>
          <w:rPr>
            <w:color w:val="215F52"/>
          </w:rPr>
          <w:t>07  Cuenta proyectada por período y horizonte</w:t>
        </w:r>
      </w:hyperlink>
    </w:p>
    <w:p>
      <w:pPr>
        <w:spacing w:after="60"/>
      </w:pPr>
      <w:hyperlink w:anchor="sec_08">
        <w:r>
          <w:rPr>
            <w:color w:val="215F52"/>
          </w:rPr>
          <w:t>08  Incertidumbre, materialidad y riesgo residual</w:t>
        </w:r>
      </w:hyperlink>
    </w:p>
    <w:p>
      <w:pPr>
        <w:spacing w:after="60"/>
      </w:pPr>
      <w:hyperlink w:anchor="sec_09">
        <w:r>
          <w:rPr>
            <w:color w:val="215F52"/>
          </w:rPr>
          <w:t>09  Migración y referencia de comparación</w:t>
        </w:r>
      </w:hyperlink>
    </w:p>
    <w:p>
      <w:pPr>
        <w:spacing w:after="60"/>
      </w:pPr>
      <w:hyperlink w:anchor="sec_10">
        <w:r>
          <w:rPr>
            <w:color w:val="215F52"/>
          </w:rPr>
          <w:t>10  Otros atributos y adicionalidad continua</w:t>
        </w:r>
      </w:hyperlink>
    </w:p>
    <w:p>
      <w:pPr>
        <w:spacing w:after="60"/>
      </w:pPr>
      <w:hyperlink w:anchor="sec_11">
        <w:r>
          <w:rPr>
            <w:color w:val="215F52"/>
          </w:rPr>
          <w:t>11  Revisión, entrega y anexos controlados</w:t>
        </w:r>
      </w:hyperlink>
    </w:p>
    <w:p>
      <w:pPr>
        <w:spacing w:after="80"/>
      </w:pPr>
      <w:hyperlink w:anchor="calc_register" w:history="1">
        <w:r>
          <w:rPr>
            <w:color w:val="215F52"/>
          </w:rPr>
          <w:t>CALC  Trazabilidad y notación del cálculo</w:t>
        </w:r>
      </w:hyperlink>
    </w:p>
    <w:p>
      <w:bookmarkStart w:id="3001" w:name="sec_01"/>
      <w:pPr>
        <w:pStyle w:val="Heading1"/>
        <w:keepNext/>
        <w:pageBreakBefore/>
      </w:pPr>
      <w:r>
        <w:t>01  Alcance, versión de la proyección y uso previsto</w:t>
      </w:r>
      <w:bookmarkEnd w:id="3001"/>
    </w:p>
    <w:p>
      <w:pPr>
        <w:spacing w:after="120"/>
      </w:pPr>
      <w:r>
        <w:rPr>
          <w:rFonts w:ascii="Lato" w:hAnsi="Lato"/>
          <w:b w:val="0"/>
          <w:color w:val="62716E"/>
          <w:sz w:val="16"/>
        </w:rPr>
        <w:t>[1] Referencia: CYC-01; CYC-03; CYC-04; CYC-05; S-18; U-01</w:t>
      </w:r>
    </w:p>
    <w:p>
      <w:pPr>
        <w:pStyle w:val="Heading2"/>
        <w:keepNext/>
      </w:pPr>
      <w:r>
        <w:t>Identidad de la proyección</w:t>
      </w:r>
    </w:p>
    <w:p>
      <w:pPr>
        <w:spacing w:after="80"/>
      </w:pPr>
      <w:r>
        <w:rPr>
          <w:rFonts w:ascii="Lato" w:hAnsi="Lato"/>
          <w:b w:val="0"/>
          <w:color w:val="62716E"/>
          <w:sz w:val="18"/>
        </w:rPr>
        <w:t>Identificar proyecto, etapa, versión del escenario, fecha de preparación, corte de información, horizonte e intervalos de reporte. Fijar la proyección de referencia antes de compararla con el monitoreo posterior. Indicar si respalda prefactibilidad, factibilidad, PD o una solicitud de migración.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0-ES"/>
                <w:tag w:val="sec_01-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Alcance y estado</w:t>
      </w:r>
    </w:p>
    <w:p>
      <w:pPr>
        <w:keepNext/>
        <w:spacing w:before="40" w:after="60"/>
      </w:pPr>
      <w:r>
        <w:rPr>
          <w:rFonts w:ascii="Lato" w:hAnsi="Lato"/>
          <w:color w:val="315B50"/>
          <w:sz w:val="18"/>
        </w:rPr>
        <w:t>EXANTE-T03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Atributo / actividad / área</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Período y versión del modelo</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Uso previsto y restricciones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1-1-ES-1-1"/>
                <w:tag w:val="sec_01-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1-2"/>
                <w:tag w:val="sec_01-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1-3"/>
                <w:tag w:val="sec_01-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1-ES-2-1"/>
                <w:tag w:val="sec_01-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1-ES-2-2"/>
                <w:tag w:val="sec_01-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1-1-ES-2-3"/>
                <w:tag w:val="sec_01-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1-ES-3-1"/>
                <w:tag w:val="sec_01-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3-2"/>
                <w:tag w:val="sec_01-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1-1-ES-3-3"/>
                <w:tag w:val="sec_01-1-ES-3-3"/>
                <w:text/>
              </w:sdtPr>
              <w:sdtContent>
                <w:r>
                  <w:rPr>
                    <w:rFonts w:ascii="Lato" w:hAnsi="Lato"/>
                    <w:sz w:val="18"/>
                    <w:color w:val="62716E"/>
                  </w:rPr>
                  <w:t>[Completar]</w:t>
                </w:r>
              </w:sdtContent>
            </w:sdt>
          </w:p>
        </w:tc>
      </w:tr>
    </w:tbl>
    <w:p>
      <w:pPr>
        <w:spacing w:after="0"/>
      </w:pPr>
    </w:p>
    <w:p>
      <w:pPr>
        <w:pStyle w:val="Heading2"/>
        <w:keepNext/>
      </w:pPr>
      <w:r>
        <w:t>Límite de la decisión</w:t>
      </w:r>
    </w:p>
    <w:p>
      <w:pPr>
        <w:spacing w:after="80"/>
      </w:pPr>
      <w:r>
        <w:rPr>
          <w:rFonts w:ascii="Lato" w:hAnsi="Lato"/>
          <w:b w:val="0"/>
          <w:color w:val="62716E"/>
          <w:sz w:val="18"/>
        </w:rPr>
        <w:t>Identificar todos los resultados como proyectados. Una fecha pasada no convierte un escenario reconstruido después en evidencia ex ante contemporánea. Registrar versiones originales disponibles y cambios. Una estimación no es resultado verificado, NVEU emitida ni autorización de declaración.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2-ES"/>
                <w:tag w:val="sec_01-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2" w:name="sec_02"/>
      <w:pPr>
        <w:pStyle w:val="Heading1"/>
        <w:keepNext/>
        <w:pageBreakBefore/>
      </w:pPr>
      <w:r>
        <w:t>02  Fuentes, mapas y referencia inicial de carbono</w:t>
      </w:r>
      <w:bookmarkEnd w:id="3002"/>
    </w:p>
    <w:p>
      <w:pPr>
        <w:spacing w:after="120"/>
      </w:pPr>
      <w:r>
        <w:rPr>
          <w:rFonts w:ascii="Lato" w:hAnsi="Lato"/>
          <w:b w:val="0"/>
          <w:color w:val="62716E"/>
          <w:sz w:val="16"/>
        </w:rPr>
        <w:t>[1] Referencia: T-01; T-11; T-12; T-13; T-15; MIG-13; MIG-15; FRM-08</w:t>
      </w:r>
    </w:p>
    <w:p>
      <w:pPr>
        <w:pStyle w:val="Heading2"/>
        <w:keepNext/>
      </w:pPr>
      <w:r>
        <w:t>Pasaporte de datos y parámetros</w:t>
      </w:r>
    </w:p>
    <w:p>
      <w:pPr>
        <w:keepNext/>
        <w:spacing w:before="40" w:after="60"/>
      </w:pPr>
      <w:r>
        <w:rPr>
          <w:rFonts w:ascii="Lato" w:hAnsi="Lato"/>
          <w:color w:val="315B50"/>
          <w:sz w:val="18"/>
        </w:rPr>
        <w:t>EXANTE-T04 / Notación del cálculo</w:t>
      </w:r>
    </w:p>
    <w:p>
      <w:pPr>
        <w:keepNext/>
        <w:spacing w:before="40" w:after="60"/>
      </w:pPr>
      <m:oMath>
        <m:sSub>
          <m:e>
            <m:r>
              <w:rPr>
                <w:sz w:val="18"/>
              </w:rPr>
              <m:t>c</m:t>
            </m:r>
          </m:e>
          <m:sub>
            <m:r>
              <w:rPr>
                <w:sz w:val="18"/>
              </w:rPr>
              <m:t>i</m:t>
            </m:r>
          </m:sub>
        </m:sSub>
        <m:r>
          <w:rPr>
            <w:sz w:val="18"/>
          </w:rPr>
          <m:rPr>
            <m:sty m:val="p"/>
          </m:rPr>
          <m:t>=</m:t>
        </m:r>
        <m:sSub>
          <m:e>
            <m:r>
              <w:rPr>
                <w:sz w:val="18"/>
              </w:rPr>
              <m:t>b</m:t>
            </m:r>
          </m:e>
          <m:sub>
            <m:r>
              <w:rPr>
                <w:sz w:val="18"/>
              </w:rPr>
              <m:t>i</m:t>
            </m:r>
          </m:sub>
        </m:sSub>
        <m:sSubSup>
          <m:e>
            <m:r>
              <w:rPr>
                <w:sz w:val="18"/>
              </w:rPr>
              <m:t>f</m:t>
            </m:r>
          </m:e>
          <m:sub>
            <m:r>
              <w:rPr>
                <w:sz w:val="18"/>
              </w:rPr>
              <m:t>i</m:t>
            </m:r>
          </m:sub>
          <m:sup>
            <m:r>
              <w:rPr>
                <w:sz w:val="18"/>
              </w:rPr>
              <m:t>C</m:t>
            </m:r>
          </m:sup>
        </m:sSubSup>
        <m:r>
          <w:rPr>
            <w:sz w:val="18"/>
          </w:rPr>
          <m:rPr>
            <m:sty m:val="p"/>
          </m:rPr>
          <m:t>,</m:t>
        </m:r>
        <m:r>
          <w:rPr>
            <w:sz w:val="18"/>
          </w:rPr>
          <m:t>  </m:t>
        </m:r>
        <m:sSubSup>
          <m:e>
            <m:r>
              <w:rPr>
                <w:sz w:val="18"/>
              </w:rPr>
              <m:t>e</m:t>
            </m:r>
          </m:e>
          <m:sub>
            <m:r>
              <w:rPr>
                <w:sz w:val="18"/>
              </w:rPr>
              <m:t>i</m:t>
            </m:r>
          </m:sub>
          <m:sup>
            <m:r>
              <w:rPr>
                <w:sz w:val="18"/>
              </w:rPr>
              <m:rPr>
                <m:sty m:val="p"/>
              </m:rPr>
              <m:t>s</m:t>
            </m:r>
            <m:r>
              <w:rPr>
                <w:sz w:val="18"/>
              </w:rPr>
              <m:rPr>
                <m:sty m:val="p"/>
              </m:rPr>
              <m:t>t</m:t>
            </m:r>
            <m:r>
              <w:rPr>
                <w:sz w:val="18"/>
              </w:rPr>
              <m:rPr>
                <m:sty m:val="p"/>
              </m:rPr>
              <m:t>o</m:t>
            </m:r>
            <m:r>
              <w:rPr>
                <w:sz w:val="18"/>
              </w:rPr>
              <m:rPr>
                <m:sty m:val="p"/>
              </m:rPr>
              <m:t>c</m:t>
            </m:r>
            <m:r>
              <w:rPr>
                <w:sz w:val="18"/>
              </w:rPr>
              <m:rPr>
                <m:sty m:val="p"/>
              </m:rPr>
              <m:t>k</m:t>
            </m:r>
          </m:sup>
        </m:sSubSup>
        <m:r>
          <w:rPr>
            <w:sz w:val="18"/>
          </w:rPr>
          <m:rPr>
            <m:sty m:val="p"/>
          </m:rPr>
          <m:t>=</m:t>
        </m:r>
        <m:f>
          <m:fPr>
            <m:type m:val="bar"/>
          </m:fPr>
          <m:num>
            <m:r>
              <w:rPr>
                <w:sz w:val="18"/>
              </w:rPr>
              <m:t>44</m:t>
            </m:r>
          </m:num>
          <m:den>
            <m:r>
              <w:rPr>
                <w:sz w:val="18"/>
              </w:rPr>
              <m:t>12</m:t>
            </m:r>
          </m:den>
        </m:f>
        <m:sSub>
          <m:e>
            <m:r>
              <w:rPr>
                <w:sz w:val="18"/>
              </w:rPr>
              <m:t>c</m:t>
            </m:r>
          </m:e>
          <m:sub>
            <m:r>
              <w:rPr>
                <w:sz w:val="18"/>
              </w:rPr>
              <m:t>i</m:t>
            </m:r>
          </m:sub>
        </m:sSub>
      </m:oMath>
    </w:p>
    <w:p>
      <w:pPr>
        <w:keepNext/>
        <w:spacing w:before="40" w:after="60"/>
      </w:pPr>
      <w:r>
        <w:rPr>
          <w:rFonts w:ascii="Lato" w:hAnsi="Lato"/>
          <w:color w:val="315B50"/>
          <w:sz w:val="16"/>
        </w:rPr>
        <w:t>b es densidad de biomasa seca en Mg/ha; c es densidad de carbono en Mg C/ha. Aplicar la fracción solo a BIOMASS, no a una banda CARBON. e_stock equivale al stock en masa de CO2, no a emisión anual o crédito. Una entrada CO2E ya caracterizada requiere alcance de gases propio.</w:t>
      </w:r>
    </w:p>
    <w:p>
      <w:pPr>
        <w:keepNext/>
        <w:spacing w:before="40" w:after="60"/>
      </w:pPr>
      <w:r>
        <w:rPr>
          <w:rFonts w:ascii="Lato" w:hAnsi="Lato"/>
          <w:color w:val="315B50"/>
          <w:sz w:val="14"/>
        </w:rPr>
        <w:t>Base: M02; M04.2; F-C02 | Libro: Factors!C:G; Profile!B16</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Variable / fuente / ID de evidencia</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oMath>
          </w:p>
        </w:tc>
        <w:tc>
          <w:tcPr>
            <w:tcW w:type="dxa" w:w="3250"/>
            <w:tcMar>
              <w:top w:w="90" w:type="dxa"/>
              <w:bottom w:w="90" w:type="dxa"/>
              <w:left w:w="100" w:type="dxa"/>
              <w:right w:w="100" w:type="dxa"/>
            </w:tcMar>
            <w:vAlign w:val="center"/>
            <w:shd w:fill="E6F0EB"/>
          </w:tcPr>
          <w:p>
            <w:r>
              <w:rPr>
                <w:rFonts w:ascii="Lato" w:hAnsi="Lato"/>
                <w:b/>
                <w:color w:val="173E34"/>
                <w:sz w:val="17"/>
              </w:rPr>
              <w:t>Banda, unidad, fecha y soporte espacial</w:t>
            </w:r>
          </w:p>
          <w:p>
            <w:pPr>
              <w:spacing w:before="40" w:after="40"/>
            </w:pPr>
            <m:oMath>
              <m:sSub>
                <m:e>
                  <m:r>
                    <w:rPr>
                      <w:sz w:val="16"/>
                      <w:color w:val="173E34"/>
                    </w:rPr>
                    <m:t>b</m:t>
                  </m:r>
                </m:e>
                <m:sub>
                  <m:r>
                    <w:rPr>
                      <w:sz w:val="16"/>
                      <w:color w:val="173E34"/>
                    </w:rPr>
                    <m:t>i</m:t>
                  </m:r>
                </m:sub>
              </m:sSub>
              <m:r>
                <w:rPr>
                  <w:sz w:val="16"/>
                  <w:color w:val="173E34"/>
                </w:rPr>
                <m:rPr>
                  <m:sty m:val="p"/>
                </m:rPr>
                <m:t>,</m:t>
              </m:r>
              <m:r>
                <w:rPr>
                  <w:sz w:val="16"/>
                  <w:color w:val="173E34"/>
                </w:rPr>
                <m:t> </m:t>
              </m:r>
              <m:sSubSup>
                <m:e>
                  <m:r>
                    <w:rPr>
                      <w:sz w:val="16"/>
                      <w:color w:val="173E34"/>
                    </w:rPr>
                    <m:t>f</m:t>
                  </m:r>
                </m:e>
                <m:sub>
                  <m:r>
                    <w:rPr>
                      <w:sz w:val="16"/>
                      <w:color w:val="173E34"/>
                    </w:rPr>
                    <m:t>i</m:t>
                  </m:r>
                </m:sub>
                <m:sup>
                  <m:r>
                    <w:rPr>
                      <w:sz w:val="16"/>
                      <w:color w:val="173E34"/>
                    </w:rPr>
                    <m:t>C</m:t>
                  </m:r>
                </m:sup>
              </m:sSubSup>
              <m:r>
                <w:rPr>
                  <w:sz w:val="16"/>
                  <w:color w:val="173E34"/>
                </w:rPr>
                <m:rPr>
                  <m:sty m:val="p"/>
                </m:rPr>
                <m:t>,</m:t>
              </m:r>
              <m:r>
                <w:rPr>
                  <w:sz w:val="16"/>
                  <w:color w:val="173E34"/>
                </w:rPr>
                <m:t> </m:t>
              </m:r>
              <m:sSub>
                <m:e>
                  <m:r>
                    <w:rPr>
                      <w:sz w:val="16"/>
                      <w:color w:val="173E34"/>
                    </w:rPr>
                    <m:t>c</m:t>
                  </m:r>
                </m:e>
                <m:sub>
                  <m:r>
                    <w:rPr>
                      <w:sz w:val="16"/>
                      <w:color w:val="173E34"/>
                    </w:rPr>
                    <m:t>i</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Ruta, incertidumbre y uso permitido</w:t>
            </w:r>
          </w:p>
          <w:p>
            <w:pPr>
              <w:spacing w:before="40" w:after="40"/>
            </w:pPr>
            <m:oMath>
              <m:sSubSup>
                <m:e>
                  <m:r>
                    <w:rPr>
                      <w:sz w:val="16"/>
                      <w:color w:val="173E34"/>
                    </w:rPr>
                    <m:t>e</m:t>
                  </m:r>
                </m:e>
                <m:sub>
                  <m:r>
                    <w:rPr>
                      <w:sz w:val="16"/>
                      <w:color w:val="173E34"/>
                    </w:rPr>
                    <m:t>i</m:t>
                  </m:r>
                </m:sub>
                <m:sup>
                  <m:r>
                    <w:rPr>
                      <w:sz w:val="16"/>
                      <w:color w:val="173E34"/>
                    </w:rPr>
                    <m:rPr>
                      <m:sty m:val="p"/>
                    </m:rPr>
                    <m:t>s</m:t>
                  </m:r>
                  <m:r>
                    <w:rPr>
                      <w:sz w:val="16"/>
                      <w:color w:val="173E34"/>
                    </w:rPr>
                    <m:rPr>
                      <m:sty m:val="p"/>
                    </m:rPr>
                    <m:t>t</m:t>
                  </m:r>
                  <m:r>
                    <w:rPr>
                      <w:sz w:val="16"/>
                      <w:color w:val="173E34"/>
                    </w:rPr>
                    <m:rPr>
                      <m:sty m:val="p"/>
                    </m:rPr>
                    <m:t>o</m:t>
                  </m:r>
                  <m:r>
                    <w:rPr>
                      <w:sz w:val="16"/>
                      <w:color w:val="173E34"/>
                    </w:rPr>
                    <m:rPr>
                      <m:sty m:val="p"/>
                    </m:rPr>
                    <m:t>c</m:t>
                  </m:r>
                  <m:r>
                    <w:rPr>
                      <w:sz w:val="16"/>
                      <w:color w:val="173E34"/>
                    </w:rPr>
                    <m:rPr>
                      <m:sty m:val="p"/>
                    </m:rPr>
                    <m:t>k</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2-0-ES-1-1"/>
                <w:tag w:val="sec_02-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1-2"/>
                <w:tag w:val="sec_02-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1-3"/>
                <w:tag w:val="sec_02-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0-ES-2-1"/>
                <w:tag w:val="sec_02-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0-ES-2-2"/>
                <w:tag w:val="sec_02-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0-ES-2-3"/>
                <w:tag w:val="sec_02-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0-ES-3-1"/>
                <w:tag w:val="sec_02-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3-2"/>
                <w:tag w:val="sec_02-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0-ES-3-3"/>
                <w:tag w:val="sec_02-0-ES-3-3"/>
                <w:text/>
              </w:sdtPr>
              <w:sdtContent>
                <w:r>
                  <w:rPr>
                    <w:rFonts w:ascii="Lato" w:hAnsi="Lato"/>
                    <w:sz w:val="18"/>
                    <w:color w:val="62716E"/>
                  </w:rPr>
                  <w:t>[Completar]</w:t>
                </w:r>
              </w:sdtContent>
            </w:sdt>
          </w:p>
        </w:tc>
      </w:tr>
    </w:tbl>
    <w:p>
      <w:pPr>
        <w:spacing w:after="0"/>
      </w:pPr>
    </w:p>
    <w:p>
      <w:pPr>
        <w:pStyle w:val="Heading2"/>
        <w:keepNext/>
      </w:pPr>
      <w:r>
        <w:t>Compatibilidad y custodia</w:t>
      </w:r>
    </w:p>
    <w:p>
      <w:pPr>
        <w:spacing w:after="80"/>
      </w:pPr>
      <w:r>
        <w:rPr>
          <w:rFonts w:ascii="Lato" w:hAnsi="Lato"/>
          <w:b w:val="0"/>
          <w:color w:val="62716E"/>
          <w:sz w:val="18"/>
        </w:rPr>
        <w:t>Registrar banda real, significado de biomasa o carbono, factores de escala, máscara sin datos, cobertura elegible, fechas de adquisición, derechos y procesamiento. Distinguir tamaño de celda de exactitud de referencia independiente. Calificar datos existentes mediante A/B/C sin imponer reconstrucción nueva automáticamente.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2-1-ES"/>
                <w:tag w:val="sec_02-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Trazabilidad de la evidencia</w:t>
      </w:r>
    </w:p>
    <w:p>
      <w:pPr>
        <w:keepNext/>
        <w:spacing w:before="40" w:after="60"/>
      </w:pPr>
      <w:r>
        <w:rPr>
          <w:rFonts w:ascii="Lato" w:hAnsi="Lato"/>
          <w:color w:val="315B50"/>
          <w:sz w:val="18"/>
        </w:rPr>
        <w:t>EXANTE-T05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Entrada / ubicación original</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Observado, modelado o supuesto</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Uso seleccionado / restricción pendiente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2-ES-1-1"/>
                <w:tag w:val="sec_02-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1-2"/>
                <w:tag w:val="sec_02-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1-3"/>
                <w:tag w:val="sec_02-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2-ES-2-1"/>
                <w:tag w:val="sec_02-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2-ES-2-2"/>
                <w:tag w:val="sec_02-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2-2-ES-2-3"/>
                <w:tag w:val="sec_02-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2-ES-3-1"/>
                <w:tag w:val="sec_02-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3-2"/>
                <w:tag w:val="sec_02-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2-2-ES-3-3"/>
                <w:tag w:val="sec_02-2-ES-3-3"/>
                <w:text/>
              </w:sdtPr>
              <w:sdtContent>
                <w:r>
                  <w:rPr>
                    <w:rFonts w:ascii="Lato" w:hAnsi="Lato"/>
                    <w:sz w:val="18"/>
                    <w:color w:val="62716E"/>
                  </w:rPr>
                  <w:t>[Completar]</w:t>
                </w:r>
              </w:sdtContent>
            </w:sdt>
          </w:p>
        </w:tc>
      </w:tr>
    </w:tbl>
    <w:p>
      <w:pPr>
        <w:spacing w:after="0"/>
      </w:pPr>
    </w:p>
    <w:p>
      <w:bookmarkStart w:id="3003" w:name="sec_03"/>
      <w:pPr>
        <w:pStyle w:val="Heading1"/>
        <w:keepNext/>
        <w:pageBreakBefore/>
      </w:pPr>
      <w:r>
        <w:t>03  Línea base y escenarios por impulsor</w:t>
      </w:r>
      <w:bookmarkEnd w:id="3003"/>
    </w:p>
    <w:p>
      <w:pPr>
        <w:spacing w:after="120"/>
      </w:pPr>
      <w:r>
        <w:rPr>
          <w:rFonts w:ascii="Lato" w:hAnsi="Lato"/>
          <w:b w:val="0"/>
          <w:color w:val="62716E"/>
          <w:sz w:val="16"/>
        </w:rPr>
        <w:t>[1] Referencia: S-07; S-08; AO-04; AO-05; AO-07; F-B01; F-B02; F-B03a; F-B03b</w:t>
      </w:r>
    </w:p>
    <w:p>
      <w:pPr>
        <w:pStyle w:val="Heading2"/>
        <w:keepNext/>
      </w:pPr>
      <w:r>
        <w:t>Contrafactual y aplicabilidad</w:t>
      </w:r>
    </w:p>
    <w:p>
      <w:pPr>
        <w:spacing w:after="80"/>
      </w:pPr>
      <w:r>
        <w:rPr>
          <w:rFonts w:ascii="Lato" w:hAnsi="Lato"/>
          <w:b w:val="0"/>
          <w:color w:val="62716E"/>
          <w:sz w:val="18"/>
        </w:rPr>
        <w:t>Documentar escenario sin proyecto, explicaciones alternativas, evidencia de impulsores, definición de bosque, región de referencia, condiciones jurídicas y operativas y prueba de adicionalidad. Un permiso, concesión cartográfica o puntaje de riesgo no establece por sí solo lugar, cantidad o fecha de conversión.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0-ES"/>
                <w:tag w:val="sec_03-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Escenario de actividades no duplicadas</w:t>
      </w:r>
    </w:p>
    <w:p>
      <w:pPr>
        <w:keepNext/>
        <w:spacing w:before="40" w:after="60"/>
      </w:pPr>
      <w:r>
        <w:rPr>
          <w:rFonts w:ascii="Lato" w:hAnsi="Lato"/>
          <w:color w:val="315B50"/>
          <w:sz w:val="18"/>
        </w:rPr>
        <w:t>EXANTE-T06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Impulsor / estrato / transición</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Área o actividad por período y evidencia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Pérdida bruta, recuperación u otro proceso</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3-1-ES-1-1"/>
                <w:tag w:val="sec_03-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1-2"/>
                <w:tag w:val="sec_03-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1-3"/>
                <w:tag w:val="sec_03-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3-1-ES-2-1"/>
                <w:tag w:val="sec_03-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3-1-ES-2-2"/>
                <w:tag w:val="sec_03-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3-1-ES-2-3"/>
                <w:tag w:val="sec_03-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3-1-ES-3-1"/>
                <w:tag w:val="sec_03-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3-2"/>
                <w:tag w:val="sec_03-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3-1-ES-3-3"/>
                <w:tag w:val="sec_03-1-ES-3-3"/>
                <w:text/>
              </w:sdtPr>
              <w:sdtContent>
                <w:r>
                  <w:rPr>
                    <w:rFonts w:ascii="Lato" w:hAnsi="Lato"/>
                    <w:sz w:val="18"/>
                    <w:color w:val="62716E"/>
                  </w:rPr>
                  <w:t>[Completar]</w:t>
                </w:r>
              </w:sdtContent>
            </w:sdt>
          </w:p>
        </w:tc>
      </w:tr>
    </w:tbl>
    <w:p>
      <w:pPr>
        <w:spacing w:after="0"/>
      </w:pPr>
    </w:p>
    <w:p>
      <w:pPr>
        <w:pStyle w:val="Heading2"/>
        <w:keepNext/>
      </w:pPr>
      <w:r>
        <w:t>Controles temporales y espaciales</w:t>
      </w:r>
    </w:p>
    <w:p>
      <w:pPr>
        <w:spacing w:after="80"/>
      </w:pPr>
      <w:r>
        <w:rPr>
          <w:rFonts w:ascii="Lato" w:hAnsi="Lato"/>
          <w:b w:val="0"/>
          <w:color w:val="62716E"/>
          <w:sz w:val="18"/>
        </w:rPr>
        <w:t>Distinguir transiciones brutas del cambio neto de área por clase. Conciliar área elegible remanente, perturbaciones repetidas e impulsores compartidos. Los efectos climáticos requieren método, evidencia y límite causal; no insertar un término climático solo porque aparezca en otra cuenta.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2-ES"/>
                <w:tag w:val="sec_03-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4" w:name="sec_04"/>
      <w:pPr>
        <w:pStyle w:val="Heading1"/>
        <w:keepNext/>
        <w:pageBreakBefore/>
      </w:pPr>
      <w:r>
        <w:t>04  Escenario del proyecto y emisiones de implementación</w:t>
      </w:r>
      <w:bookmarkEnd w:id="3004"/>
    </w:p>
    <w:p>
      <w:pPr>
        <w:spacing w:after="120"/>
      </w:pPr>
      <w:r>
        <w:rPr>
          <w:rFonts w:ascii="Lato" w:hAnsi="Lato"/>
          <w:b w:val="0"/>
          <w:color w:val="62716E"/>
          <w:sz w:val="16"/>
        </w:rPr>
        <w:t>[1] Referencia: F-P01; F-P02; S-25; AO-06; AO-08</w:t>
      </w:r>
    </w:p>
    <w:p>
      <w:pPr>
        <w:pStyle w:val="Heading2"/>
        <w:keepNext/>
      </w:pPr>
      <w:r>
        <w:t>Supuestos del escenario</w:t>
      </w:r>
    </w:p>
    <w:p>
      <w:pPr>
        <w:keepNext/>
        <w:spacing w:before="40" w:after="60"/>
      </w:pPr>
      <w:r>
        <w:rPr>
          <w:rFonts w:ascii="Lato" w:hAnsi="Lato"/>
          <w:color w:val="315B50"/>
          <w:sz w:val="18"/>
        </w:rPr>
        <w:t>EXANTE-T07 / Notación del cálculo</w:t>
      </w:r>
    </w:p>
    <w:p>
      <w:pPr>
        <w:keepNext/>
        <w:spacing w:before="40" w:after="60"/>
      </w:pPr>
      <m:oMath>
        <m:sSubSup>
          <m:e>
            <m:r>
              <w:rPr>
                <w:sz w:val="18"/>
              </w:rPr>
              <m:t>P</m:t>
            </m:r>
          </m:e>
          <m:sub>
            <m:r>
              <w:rPr>
                <w:sz w:val="18"/>
              </w:rPr>
              <m:t>t</m:t>
            </m:r>
          </m:sub>
          <m:sup>
            <m:r>
              <w:rPr>
                <w:sz w:val="18"/>
              </w:rPr>
              <m:rPr>
                <m:sty m:val="p"/>
              </m:rPr>
              <m:t>e</m:t>
            </m:r>
            <m:r>
              <w:rPr>
                <w:sz w:val="18"/>
              </w:rPr>
              <m:rPr>
                <m:sty m:val="p"/>
              </m:rPr>
              <m:t>x</m:t>
            </m:r>
            <m:r>
              <w:rPr>
                <w:sz w:val="18"/>
              </w:rPr>
              <m:rPr>
                <m:sty m:val="p"/>
              </m:rPr>
              <m:t>a</m:t>
            </m:r>
            <m:r>
              <w:rPr>
                <w:sz w:val="18"/>
              </w:rPr>
              <m:rPr>
                <m:sty m:val="p"/>
              </m:rPr>
              <m:t>n</m:t>
            </m:r>
            <m:r>
              <w:rPr>
                <w:sz w:val="18"/>
              </w:rPr>
              <m:rPr>
                <m:sty m:val="p"/>
              </m:rPr>
              <m:t>t</m:t>
            </m:r>
            <m:r>
              <w:rPr>
                <w:sz w:val="18"/>
              </w:rPr>
              <m:rPr>
                <m:sty m:val="p"/>
              </m:rPr>
              <m:t>e</m:t>
            </m:r>
          </m:sup>
        </m:sSubSup>
        <m:r>
          <w:rPr>
            <w:sz w:val="18"/>
          </w:rPr>
          <m:rPr>
            <m:sty m:val="p"/>
          </m:rPr>
          <m:t>=</m:t>
        </m:r>
        <m:d>
          <m:dPr>
            <m:begChr m:val="("/>
            <m:endChr m:val=")"/>
            <m:sepChr m:val=""/>
            <m:grow/>
          </m:dPr>
          <m:e>
            <m:r>
              <w:rPr>
                <w:sz w:val="18"/>
              </w:rPr>
              <m:t>1</m:t>
            </m:r>
            <m:r>
              <w:rPr>
                <w:sz w:val="18"/>
              </w:rPr>
              <m:rPr>
                <m:sty m:val="p"/>
              </m:rPr>
              <m:t>−</m:t>
            </m:r>
            <m:sSub>
              <m:e>
                <m:r>
                  <w:rPr>
                    <w:sz w:val="18"/>
                  </w:rPr>
                  <m:t>η</m:t>
                </m:r>
              </m:e>
              <m:sub>
                <m:r>
                  <w:rPr>
                    <w:sz w:val="18"/>
                  </w:rPr>
                  <m:t>t</m:t>
                </m:r>
              </m:sub>
            </m:sSub>
          </m:e>
        </m:d>
        <m:sSubSup>
          <m:e>
            <m:r>
              <w:rPr>
                <w:sz w:val="18"/>
              </w:rPr>
              <m:t>B</m:t>
            </m:r>
          </m:e>
          <m:sub>
            <m:r>
              <w:rPr>
                <w:sz w:val="18"/>
              </w:rPr>
              <m:t>t</m:t>
            </m:r>
          </m:sub>
          <m:sup>
            <m:r>
              <w:rPr>
                <w:sz w:val="18"/>
              </w:rPr>
              <m:rPr>
                <m:sty m:val="p"/>
              </m:rPr>
              <m:t>l</m:t>
            </m:r>
            <m:r>
              <w:rPr>
                <w:sz w:val="18"/>
              </w:rPr>
              <m:rPr>
                <m:sty m:val="p"/>
              </m:rPr>
              <m:t>a</m:t>
            </m:r>
            <m:r>
              <w:rPr>
                <w:sz w:val="18"/>
              </w:rPr>
              <m:rPr>
                <m:sty m:val="p"/>
              </m:rPr>
              <m:t>n</m:t>
            </m:r>
            <m:r>
              <w:rPr>
                <w:sz w:val="18"/>
              </w:rPr>
              <m:rPr>
                <m:sty m:val="p"/>
              </m:rPr>
              <m:t>d</m:t>
            </m:r>
          </m:sup>
        </m:sSubSup>
        <m:r>
          <w:rPr>
            <w:sz w:val="18"/>
          </w:rPr>
          <m:rPr>
            <m:sty m:val="p"/>
          </m:rPr>
          <m:t>+</m:t>
        </m:r>
        <m:sSubSup>
          <m:e>
            <m:r>
              <w:rPr>
                <w:sz w:val="18"/>
              </w:rPr>
              <m:t>I</m:t>
            </m:r>
          </m:e>
          <m:sub>
            <m:r>
              <w:rPr>
                <w:sz w:val="18"/>
              </w:rPr>
              <m:t>t</m:t>
            </m:r>
          </m:sub>
          <m:sup>
            <m:r>
              <w:rPr>
                <w:sz w:val="18"/>
              </w:rPr>
              <m:rPr>
                <m:sty m:val="p"/>
              </m:rPr>
              <m:t>i</m:t>
            </m:r>
            <m:r>
              <w:rPr>
                <w:sz w:val="18"/>
              </w:rPr>
              <m:rPr>
                <m:sty m:val="p"/>
              </m:rPr>
              <m:t>m</m:t>
            </m:r>
            <m:r>
              <w:rPr>
                <w:sz w:val="18"/>
              </w:rPr>
              <m:rPr>
                <m:sty m:val="p"/>
              </m:rPr>
              <m:t>p</m:t>
            </m:r>
            <m:r>
              <w:rPr>
                <w:sz w:val="18"/>
              </w:rPr>
              <m:rPr>
                <m:sty m:val="p"/>
              </m:rPr>
              <m:t>l</m:t>
            </m:r>
          </m:sup>
        </m:sSubSup>
      </m:oMath>
    </w:p>
    <w:p>
      <w:pPr>
        <w:keepNext/>
        <w:spacing w:before="40" w:after="60"/>
      </w:pPr>
      <w:r>
        <w:rPr>
          <w:rFonts w:ascii="Lato" w:hAnsi="Lato"/>
          <w:color w:val="315B50"/>
          <w:sz w:val="16"/>
        </w:rPr>
        <w:t>eta es fracción evitada de 0 a 1; B_land es masa no negativa de liberación de línea base; I_impl son emisiones adicionales no incluidas en el residual. Usar solo bajo definición F-P02. Ex post usa entradas monitoreadas y conversiones sustentadas, no efectividad supuesta.</w:t>
      </w:r>
    </w:p>
    <w:p>
      <w:pPr>
        <w:keepNext/>
        <w:spacing w:before="40" w:after="60"/>
      </w:pPr>
      <w:r>
        <w:rPr>
          <w:rFonts w:ascii="Lato" w:hAnsi="Lato"/>
          <w:color w:val="315B50"/>
          <w:sz w:val="14"/>
        </w:rPr>
        <w:t>Base: F-P02; M04.4 | Libro: Escenario previo calificado; Components!D=PJ; ExAnte!G</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Actividad / mecanismo causal</w:t>
            </w:r>
          </w:p>
          <w:p>
            <w:pPr>
              <w:spacing w:before="40" w:after="40"/>
            </w:pPr>
            <m:oMath>
              <m:r>
                <w:rPr>
                  <w:sz w:val="16"/>
                  <w:color w:val="173E34"/>
                </w:rPr>
                <m:t>t</m:t>
              </m:r>
              <m:r>
                <w:rPr>
                  <w:sz w:val="16"/>
                  <w:color w:val="173E34"/>
                </w:rPr>
                <m:rPr>
                  <m:sty m:val="p"/>
                </m:rPr>
                <m:t>,</m:t>
              </m:r>
              <m:r>
                <w:rPr>
                  <w:sz w:val="16"/>
                  <w:color w:val="173E34"/>
                </w:rPr>
                <m:t> </m:t>
              </m:r>
              <m:r>
                <w:rPr>
                  <w:sz w:val="16"/>
                  <w:color w:val="173E34"/>
                </w:rPr>
                <m:rPr>
                  <m:nor/>
                  <m:sty m:val="p"/>
                </m:rPr>
                <m:t>activity</m:t>
              </m:r>
            </m:oMath>
          </w:p>
        </w:tc>
        <w:tc>
          <w:tcPr>
            <w:tcW w:type="dxa" w:w="3250"/>
            <w:tcMar>
              <w:top w:w="90" w:type="dxa"/>
              <w:bottom w:w="90" w:type="dxa"/>
              <w:left w:w="100" w:type="dxa"/>
              <w:right w:w="100" w:type="dxa"/>
            </w:tcMar>
            <w:vAlign w:val="center"/>
            <w:shd w:fill="E6F0EB"/>
          </w:tcPr>
          <w:p>
            <w:r>
              <w:rPr>
                <w:rFonts w:ascii="Lato" w:hAnsi="Lato"/>
                <w:b/>
                <w:color w:val="173E34"/>
                <w:sz w:val="17"/>
              </w:rPr>
              <w:t>Fracción evitada o residual y evidencia</w:t>
            </w:r>
          </w:p>
          <w:p>
            <w:pPr>
              <w:spacing w:before="40" w:after="40"/>
            </w:pPr>
            <m:oMath>
              <m:sSub>
                <m:e>
                  <m:r>
                    <w:rPr>
                      <w:sz w:val="16"/>
                      <w:color w:val="173E34"/>
                    </w:rPr>
                    <m:t>η</m:t>
                  </m:r>
                </m:e>
                <m:sub>
                  <m:r>
                    <w:rPr>
                      <w:sz w:val="16"/>
                      <w:color w:val="173E34"/>
                    </w:rPr>
                    <m:t>t</m:t>
                  </m:r>
                </m:sub>
              </m:sSub>
              <m:r>
                <w:rPr>
                  <w:sz w:val="16"/>
                  <w:color w:val="173E34"/>
                </w:rPr>
                <m:rPr>
                  <m:sty m:val="p"/>
                </m:rPr>
                <m:t>,</m:t>
              </m:r>
              <m:r>
                <w:rPr>
                  <w:sz w:val="16"/>
                  <w:color w:val="173E34"/>
                </w:rPr>
                <m:t> </m:t>
              </m:r>
              <m:sSubSup>
                <m:e>
                  <m:r>
                    <w:rPr>
                      <w:sz w:val="16"/>
                      <w:color w:val="173E34"/>
                    </w:rPr>
                    <m:t>B</m:t>
                  </m:r>
                </m:e>
                <m:sub>
                  <m:r>
                    <w:rPr>
                      <w:sz w:val="16"/>
                      <w:color w:val="173E34"/>
                    </w:rPr>
                    <m:t>t</m:t>
                  </m:r>
                </m:sub>
                <m:sup>
                  <m:r>
                    <w:rPr>
                      <w:sz w:val="16"/>
                      <w:color w:val="173E34"/>
                    </w:rPr>
                    <m:rPr>
                      <m:sty m:val="p"/>
                    </m:rPr>
                    <m:t>l</m:t>
                  </m:r>
                  <m:r>
                    <w:rPr>
                      <w:sz w:val="16"/>
                      <w:color w:val="173E34"/>
                    </w:rPr>
                    <m:rPr>
                      <m:sty m:val="p"/>
                    </m:rPr>
                    <m:t>a</m:t>
                  </m:r>
                  <m:r>
                    <w:rPr>
                      <w:sz w:val="16"/>
                      <w:color w:val="173E34"/>
                    </w:rPr>
                    <m:rPr>
                      <m:sty m:val="p"/>
                    </m:rPr>
                    <m:t>n</m:t>
                  </m:r>
                  <m:r>
                    <w:rPr>
                      <w:sz w:val="16"/>
                      <w:color w:val="173E34"/>
                    </w:rPr>
                    <m:rPr>
                      <m:sty m:val="p"/>
                    </m:rPr>
                    <m:t>d</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Emisiones de implementación / cronología</w:t>
            </w:r>
          </w:p>
          <w:p>
            <w:pPr>
              <w:spacing w:before="40" w:after="40"/>
            </w:pPr>
            <m:oMath>
              <m:sSubSup>
                <m:e>
                  <m:r>
                    <w:rPr>
                      <w:sz w:val="16"/>
                      <w:color w:val="173E34"/>
                    </w:rPr>
                    <m:t>I</m:t>
                  </m:r>
                </m:e>
                <m:sub>
                  <m:r>
                    <w:rPr>
                      <w:sz w:val="16"/>
                      <w:color w:val="173E34"/>
                    </w:rPr>
                    <m:t>t</m:t>
                  </m:r>
                </m:sub>
                <m:sup>
                  <m:r>
                    <w:rPr>
                      <w:sz w:val="16"/>
                      <w:color w:val="173E34"/>
                    </w:rPr>
                    <m:rPr>
                      <m:sty m:val="p"/>
                    </m:rPr>
                    <m:t>i</m:t>
                  </m:r>
                  <m:r>
                    <w:rPr>
                      <w:sz w:val="16"/>
                      <w:color w:val="173E34"/>
                    </w:rPr>
                    <m:rPr>
                      <m:sty m:val="p"/>
                    </m:rPr>
                    <m:t>m</m:t>
                  </m:r>
                  <m:r>
                    <w:rPr>
                      <w:sz w:val="16"/>
                      <w:color w:val="173E34"/>
                    </w:rPr>
                    <m:rPr>
                      <m:sty m:val="p"/>
                    </m:rPr>
                    <m:t>p</m:t>
                  </m:r>
                  <m:r>
                    <w:rPr>
                      <w:sz w:val="16"/>
                      <w:color w:val="173E34"/>
                    </w:rPr>
                    <m:rPr>
                      <m:sty m:val="p"/>
                    </m:rPr>
                    <m:t>l</m:t>
                  </m:r>
                </m:sup>
              </m:sSubSup>
              <m:r>
                <w:rPr>
                  <w:sz w:val="16"/>
                  <w:color w:val="173E34"/>
                </w:rPr>
                <m:rPr>
                  <m:sty m:val="p"/>
                </m:rPr>
                <m:t>,</m:t>
              </m:r>
              <m:r>
                <w:rPr>
                  <w:sz w:val="16"/>
                  <w:color w:val="173E34"/>
                </w:rPr>
                <m:t> </m:t>
              </m:r>
              <m:sSubSup>
                <m:e>
                  <m:r>
                    <w:rPr>
                      <w:sz w:val="16"/>
                      <w:color w:val="173E34"/>
                    </w:rPr>
                    <m:t>P</m:t>
                  </m:r>
                </m:e>
                <m:sub>
                  <m:r>
                    <w:rPr>
                      <w:sz w:val="16"/>
                      <w:color w:val="173E34"/>
                    </w:rPr>
                    <m:t>t</m:t>
                  </m:r>
                </m:sub>
                <m:sup>
                  <m:r>
                    <w:rPr>
                      <w:sz w:val="16"/>
                      <w:color w:val="173E34"/>
                    </w:rPr>
                    <m:rPr>
                      <m:sty m:val="p"/>
                    </m:rPr>
                    <m:t>e</m:t>
                  </m:r>
                  <m:r>
                    <w:rPr>
                      <w:sz w:val="16"/>
                      <w:color w:val="173E34"/>
                    </w:rPr>
                    <m:rPr>
                      <m:sty m:val="p"/>
                    </m:rPr>
                    <m:t>x</m:t>
                  </m:r>
                  <m:r>
                    <w:rPr>
                      <w:sz w:val="16"/>
                      <w:color w:val="173E34"/>
                    </w:rPr>
                    <m:rPr>
                      <m:sty m:val="p"/>
                    </m:rPr>
                    <m:t>a</m:t>
                  </m:r>
                  <m:r>
                    <w:rPr>
                      <w:sz w:val="16"/>
                      <w:color w:val="173E34"/>
                    </w:rPr>
                    <m:rPr>
                      <m:sty m:val="p"/>
                    </m:rPr>
                    <m:t>n</m:t>
                  </m:r>
                  <m:r>
                    <w:rPr>
                      <w:sz w:val="16"/>
                      <w:color w:val="173E34"/>
                    </w:rPr>
                    <m:rPr>
                      <m:sty m:val="p"/>
                    </m:rPr>
                    <m:t>t</m:t>
                  </m:r>
                  <m:r>
                    <w:rPr>
                      <w:sz w:val="16"/>
                      <w:color w:val="173E34"/>
                    </w:rPr>
                    <m:rPr>
                      <m:sty m:val="p"/>
                    </m:rPr>
                    <m:t>e</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4-0-ES-1-1"/>
                <w:tag w:val="sec_04-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1-2"/>
                <w:tag w:val="sec_04-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1-3"/>
                <w:tag w:val="sec_04-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0-ES-2-1"/>
                <w:tag w:val="sec_04-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0-ES-2-2"/>
                <w:tag w:val="sec_04-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4-0-ES-2-3"/>
                <w:tag w:val="sec_04-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0-ES-3-1"/>
                <w:tag w:val="sec_04-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3-2"/>
                <w:tag w:val="sec_04-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4-0-ES-3-3"/>
                <w:tag w:val="sec_04-0-ES-3-3"/>
                <w:text/>
              </w:sdtPr>
              <w:sdtContent>
                <w:r>
                  <w:rPr>
                    <w:rFonts w:ascii="Lato" w:hAnsi="Lato"/>
                    <w:sz w:val="18"/>
                    <w:color w:val="62716E"/>
                  </w:rPr>
                  <w:t>[Completar]</w:t>
                </w:r>
              </w:sdtContent>
            </w:sdt>
          </w:p>
        </w:tc>
      </w:tr>
    </w:tbl>
    <w:p>
      <w:pPr>
        <w:spacing w:after="0"/>
      </w:pPr>
    </w:p>
    <w:p>
      <w:pPr>
        <w:pStyle w:val="Heading2"/>
        <w:keepNext/>
      </w:pPr>
      <w:r>
        <w:t>Significado de la efectividad</w:t>
      </w:r>
    </w:p>
    <w:p>
      <w:pPr>
        <w:spacing w:after="80"/>
      </w:pPr>
      <w:r>
        <w:rPr>
          <w:rFonts w:ascii="Lato" w:hAnsi="Lato"/>
          <w:b w:val="0"/>
          <w:color w:val="62716E"/>
          <w:sz w:val="18"/>
        </w:rPr>
        <w:t>Si aplica F-P02, especificar fracción evitada, emisión de uso del suelo en línea base y emisiones adicionales de implementación sin duplicarlas. No sustituir efectividad por umbral de materialidad ni dividir aleatoriedad por dos sin distribución y estimador justificados. Conservar sensibilidades y dependencias.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1-ES"/>
                <w:tag w:val="sec_04-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Responsabilidad de ejecución</w:t>
      </w:r>
    </w:p>
    <w:p>
      <w:pPr>
        <w:spacing w:after="80"/>
      </w:pPr>
      <w:r>
        <w:rPr>
          <w:rFonts w:ascii="Lato" w:hAnsi="Lato"/>
          <w:b w:val="0"/>
          <w:color w:val="62716E"/>
          <w:sz w:val="18"/>
        </w:rPr>
        <w:t>Identificar ejecutor, recursos, cronograma y monitoreo necesarios para contrastar supuestos. Los servicios técnicos NEBIOT no ejecutan por sí mismos la intervención ambiental.</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2-ES"/>
                <w:tag w:val="sec_04-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5" w:name="sec_05"/>
      <w:pPr>
        <w:pStyle w:val="Heading1"/>
        <w:keepNext/>
        <w:pageBreakBefore/>
      </w:pPr>
      <w:r>
        <w:t>05  Fugas y contrafactual fuera del proyecto</w:t>
      </w:r>
      <w:bookmarkEnd w:id="3005"/>
    </w:p>
    <w:p>
      <w:pPr>
        <w:spacing w:after="120"/>
      </w:pPr>
      <w:r>
        <w:rPr>
          <w:rFonts w:ascii="Lato" w:hAnsi="Lato"/>
          <w:b w:val="0"/>
          <w:color w:val="62716E"/>
          <w:sz w:val="16"/>
        </w:rPr>
        <w:t>[1] Referencia: S-09; F-L01; T-08; T-13; FRM-04/M</w:t>
      </w:r>
    </w:p>
    <w:p>
      <w:pPr>
        <w:pStyle w:val="Heading2"/>
        <w:keepNext/>
      </w:pPr>
      <w:r>
        <w:t>Evaluación de fugas</w:t>
      </w:r>
    </w:p>
    <w:p>
      <w:pPr>
        <w:keepNext/>
        <w:spacing w:before="40" w:after="60"/>
      </w:pPr>
      <w:r>
        <w:rPr>
          <w:rFonts w:ascii="Lato" w:hAnsi="Lato"/>
          <w:color w:val="315B50"/>
          <w:sz w:val="18"/>
        </w:rPr>
        <w:t>EXANTE-T08 / Notación del cálculo</w:t>
      </w:r>
    </w:p>
    <w:p>
      <w:pPr>
        <w:keepNext/>
        <w:spacing w:before="40" w:after="60"/>
      </w:pPr>
      <m:oMath>
        <m:sSub>
          <m:e>
            <m:acc>
              <m:accPr>
                <m:chr m:val="̂"/>
              </m:accPr>
              <m:e>
                <m:r>
                  <w:rPr>
                    <w:sz w:val="18"/>
                  </w:rPr>
                  <m:t>L</m:t>
                </m:r>
              </m:e>
            </m:acc>
          </m:e>
          <m:sub>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m:t>
            </m:r>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o</m:t>
            </m:r>
            <m:r>
              <w:rPr>
                <w:sz w:val="18"/>
              </w:rPr>
              <m:rPr>
                <m:sty m:val="p"/>
              </m:rPr>
              <m:t>u</m:t>
            </m:r>
            <m:r>
              <w:rPr>
                <w:sz w:val="18"/>
              </w:rPr>
              <m:rPr>
                <m:sty m:val="p"/>
              </m:rPr>
              <m:t>t</m:t>
            </m:r>
            <m:r>
              <w:rPr>
                <w:sz w:val="18"/>
              </w:rPr>
              <m:rPr>
                <m:sty m:val="p"/>
              </m:rPr>
              <m:t>,</m:t>
            </m:r>
            <m:r>
              <w:rPr>
                <w:sz w:val="18"/>
              </w:rPr>
              <m:t>t</m:t>
            </m:r>
          </m:sub>
        </m:sSub>
      </m:oMath>
    </w:p>
    <w:p>
      <w:pPr>
        <w:keepNext/>
        <w:spacing w:before="40" w:after="60"/>
      </w:pPr>
      <w:r>
        <w:rPr>
          <w:rFonts w:ascii="Lato" w:hAnsi="Lato"/>
          <w:color w:val="315B50"/>
          <w:sz w:val="16"/>
        </w:rPr>
        <w:t>Las cuentas comparten geografía, actividades, gases e intervalos. Toda razón fuente conserva numerador/denominador explícitos, no porcentaje supuesto. Un diagnóstico con signo no autoriza automáticamente beneficio extra; rige el perfil de atribución aplicable.</w:t>
      </w:r>
    </w:p>
    <w:p>
      <w:pPr>
        <w:keepNext/>
        <w:spacing w:before="40" w:after="60"/>
      </w:pPr>
      <w:r>
        <w:rPr>
          <w:rFonts w:ascii="Lato" w:hAnsi="Lato"/>
          <w:color w:val="315B50"/>
          <w:sz w:val="14"/>
        </w:rPr>
        <w:t>Base: F-L01; T-08 | Libro: Components!D=LK; ExAnte!H; ExPost!H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Mecanismo / área receptora</w:t>
            </w:r>
          </w:p>
          <w:p>
            <w:pPr>
              <w:spacing w:before="40" w:after="40"/>
            </w:pPr>
            <m:oMath>
              <m:r>
                <w:rPr>
                  <w:sz w:val="16"/>
                  <w:color w:val="173E34"/>
                </w:rPr>
                <m:t>t</m:t>
              </m:r>
              <m:r>
                <w:rPr>
                  <w:sz w:val="16"/>
                  <w:color w:val="173E34"/>
                </w:rPr>
                <m:rPr>
                  <m:sty m:val="p"/>
                </m:rPr>
                <m:t>,</m:t>
              </m:r>
              <m:r>
                <w:rPr>
                  <w:sz w:val="16"/>
                  <w:color w:val="173E34"/>
                </w:rPr>
                <m:t> </m:t>
              </m:r>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oMath>
          </w:p>
        </w:tc>
        <w:tc>
          <w:tcPr>
            <w:tcW w:type="dxa" w:w="3250"/>
            <w:tcMar>
              <w:top w:w="90" w:type="dxa"/>
              <w:bottom w:w="90" w:type="dxa"/>
              <w:left w:w="100" w:type="dxa"/>
              <w:right w:w="100" w:type="dxa"/>
            </w:tcMar>
            <w:vAlign w:val="center"/>
            <w:shd w:fill="E6F0EB"/>
          </w:tcPr>
          <w:p>
            <w:r>
              <w:rPr>
                <w:rFonts w:ascii="Lato" w:hAnsi="Lato"/>
                <w:b/>
                <w:color w:val="173E34"/>
                <w:sz w:val="17"/>
              </w:rPr>
              <w:t>Actividad sin proyecto y cambio proyectado</w:t>
            </w:r>
          </w:p>
          <w:p>
            <w:pPr>
              <w:spacing w:before="40" w:after="40"/>
            </w:pPr>
            <m:oMath>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u</m:t>
                  </m:r>
                  <m:r>
                    <w:rPr>
                      <w:sz w:val="16"/>
                      <w:color w:val="173E34"/>
                    </w:rPr>
                    <m:rPr>
                      <m:sty m:val="p"/>
                    </m:rPr>
                    <m:t>t</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Factor de atribución, evidencia y cantidad</w:t>
            </w:r>
          </w:p>
          <w:p>
            <w:pPr>
              <w:spacing w:before="40" w:after="40"/>
            </w:pPr>
            <m:oMath>
              <m:sSub>
                <m:e>
                  <m:acc>
                    <m:accPr>
                      <m:chr m:val="̂"/>
                    </m:accPr>
                    <m:e>
                      <m:r>
                        <w:rPr>
                          <w:sz w:val="16"/>
                          <w:color w:val="173E34"/>
                        </w:rPr>
                        <m:t>L</m:t>
                      </m:r>
                    </m:e>
                  </m:acc>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0-ES-1-1"/>
                <w:tag w:val="sec_05-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1-2"/>
                <w:tag w:val="sec_05-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1-3"/>
                <w:tag w:val="sec_05-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0-ES-2-1"/>
                <w:tag w:val="sec_05-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0-ES-2-2"/>
                <w:tag w:val="sec_05-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0-ES-2-3"/>
                <w:tag w:val="sec_05-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0-ES-3-1"/>
                <w:tag w:val="sec_05-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3-2"/>
                <w:tag w:val="sec_05-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0-ES-3-3"/>
                <w:tag w:val="sec_05-0-ES-3-3"/>
                <w:text/>
              </w:sdtPr>
              <w:sdtContent>
                <w:r>
                  <w:rPr>
                    <w:rFonts w:ascii="Lato" w:hAnsi="Lato"/>
                    <w:sz w:val="18"/>
                    <w:color w:val="62716E"/>
                  </w:rPr>
                  <w:t>[Completar]</w:t>
                </w:r>
              </w:sdtContent>
            </w:sdt>
          </w:p>
        </w:tc>
      </w:tr>
    </w:tbl>
    <w:p>
      <w:pPr>
        <w:spacing w:after="0"/>
      </w:pPr>
    </w:p>
    <w:p>
      <w:pPr>
        <w:pStyle w:val="Heading2"/>
        <w:keepNext/>
      </w:pPr>
      <w:r>
        <w:t>Controles de atribución y ajuste</w:t>
      </w:r>
    </w:p>
    <w:p>
      <w:pPr>
        <w:spacing w:after="80"/>
      </w:pPr>
      <w:r>
        <w:rPr>
          <w:rFonts w:ascii="Lato" w:hAnsi="Lato"/>
          <w:b w:val="0"/>
          <w:color w:val="62716E"/>
          <w:sz w:val="18"/>
        </w:rPr>
        <w:t>Separar toda actividad observada o proyectada en el dominio de fugas del cambio atribuible al proyecto. Explicar ajustes por encuestas, modelos o políticas y sus denominadores. Registrar lo incluido previamente en el escenario del proyecto. Ningún porcentaje de un proyecto externo es valor predeterminado NEBIOT.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5-1-ES"/>
                <w:tag w:val="sec_05-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Componentes omitidos o nulos</w:t>
      </w:r>
    </w:p>
    <w:p>
      <w:pPr>
        <w:keepNext/>
        <w:spacing w:before="40" w:after="60"/>
      </w:pPr>
      <w:r>
        <w:rPr>
          <w:rFonts w:ascii="Lato" w:hAnsi="Lato"/>
          <w:color w:val="315B50"/>
          <w:sz w:val="18"/>
        </w:rPr>
        <w:t>EXANTE-T09 / Notación del cálculo</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Las unidades de x y f producen t CO2e por período. I contiene componentes incluidos, sustentados y disjuntos de igual base, período y cuenta. Para masa precalculada, f=1 se ingresa explícitamente con su significado. BL y PJ son emisiones netas; LK es fuga atribuible.</w:t>
      </w:r>
    </w:p>
    <w:p>
      <w:pPr>
        <w:keepNext/>
        <w:spacing w:before="40" w:after="60"/>
      </w:pPr>
      <w:r>
        <w:rPr>
          <w:rFonts w:ascii="Lato" w:hAnsi="Lato"/>
          <w:color w:val="315B50"/>
          <w:sz w:val="14"/>
        </w:rPr>
        <w:t>Base: M04.4; M04.5; T-08; implementación aritmética | Libro: Components!G:I; ExAnte!F:H; ExPost!F:H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Componente</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Base de exclusión o cero explícito</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Evidencia / revisor / sensibilidad</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2-ES-1-1"/>
                <w:tag w:val="sec_05-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1-2"/>
                <w:tag w:val="sec_05-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1-3"/>
                <w:tag w:val="sec_05-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2-ES-2-1"/>
                <w:tag w:val="sec_05-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2-ES-2-2"/>
                <w:tag w:val="sec_05-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5-2-ES-2-3"/>
                <w:tag w:val="sec_05-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2-ES-3-1"/>
                <w:tag w:val="sec_05-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3-2"/>
                <w:tag w:val="sec_05-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5-2-ES-3-3"/>
                <w:tag w:val="sec_05-2-ES-3-3"/>
                <w:text/>
              </w:sdtPr>
              <w:sdtContent>
                <w:r>
                  <w:rPr>
                    <w:rFonts w:ascii="Lato" w:hAnsi="Lato"/>
                    <w:sz w:val="18"/>
                    <w:color w:val="62716E"/>
                  </w:rPr>
                  <w:t>[Completar]</w:t>
                </w:r>
              </w:sdtContent>
            </w:sdt>
          </w:p>
        </w:tc>
      </w:tr>
    </w:tbl>
    <w:p>
      <w:pPr>
        <w:spacing w:after="0"/>
      </w:pPr>
    </w:p>
    <w:p>
      <w:bookmarkStart w:id="3006" w:name="sec_06"/>
      <w:pPr>
        <w:pStyle w:val="Heading1"/>
        <w:keepNext/>
        <w:pageBreakBefore/>
      </w:pPr>
      <w:r>
        <w:t>06  Existencias, flujos, reservorios y liberación temporal</w:t>
      </w:r>
      <w:bookmarkEnd w:id="3006"/>
    </w:p>
    <w:p>
      <w:pPr>
        <w:spacing w:after="120"/>
      </w:pPr>
      <w:r>
        <w:rPr>
          <w:rFonts w:ascii="Lato" w:hAnsi="Lato"/>
          <w:b w:val="0"/>
          <w:color w:val="62716E"/>
          <w:sz w:val="16"/>
        </w:rPr>
        <w:t>[1] Referencia: M04.1; M04.2; M04.3; F-C01; F-C02; F-C03a; F-C03b; T-08</w:t>
      </w:r>
    </w:p>
    <w:p>
      <w:pPr>
        <w:pStyle w:val="Heading2"/>
        <w:keepNext/>
      </w:pPr>
      <w:r>
        <w:t>Cuenta de reservorios y factores</w:t>
      </w:r>
    </w:p>
    <w:p>
      <w:pPr>
        <w:keepNext/>
        <w:spacing w:before="40" w:after="60"/>
      </w:pPr>
      <w:r>
        <w:rPr>
          <w:rFonts w:ascii="Lato" w:hAnsi="Lato"/>
          <w:color w:val="315B50"/>
          <w:sz w:val="18"/>
        </w:rPr>
        <w:t>EXANTE-T10 / Notación del cálculo</w:t>
      </w:r>
    </w:p>
    <w:p>
      <w:pPr>
        <w:keepNext/>
        <w:spacing w:before="40" w:after="60"/>
      </w:pPr>
      <m:oMath>
        <m:sSub>
          <m:e>
            <m:r>
              <w:rPr>
                <w:sz w:val="18"/>
              </w:rPr>
              <m:t>c</m:t>
            </m:r>
          </m:e>
          <m:sub>
            <m:r>
              <w:rPr>
                <w:sz w:val="18"/>
              </w:rPr>
              <m:t>i</m:t>
            </m:r>
          </m:sub>
        </m:sSub>
        <m:r>
          <w:rPr>
            <w:sz w:val="18"/>
          </w:rPr>
          <m:rPr>
            <m:sty m:val="p"/>
          </m:rPr>
          <m:t>=</m:t>
        </m:r>
        <m:sSub>
          <m:e>
            <m:r>
              <w:rPr>
                <w:sz w:val="18"/>
              </w:rPr>
              <m:t>b</m:t>
            </m:r>
          </m:e>
          <m:sub>
            <m:r>
              <w:rPr>
                <w:sz w:val="18"/>
              </w:rPr>
              <m:t>i</m:t>
            </m:r>
          </m:sub>
        </m:sSub>
        <m:sSubSup>
          <m:e>
            <m:r>
              <w:rPr>
                <w:sz w:val="18"/>
              </w:rPr>
              <m:t>f</m:t>
            </m:r>
          </m:e>
          <m:sub>
            <m:r>
              <w:rPr>
                <w:sz w:val="18"/>
              </w:rPr>
              <m:t>i</m:t>
            </m:r>
          </m:sub>
          <m:sup>
            <m:r>
              <w:rPr>
                <w:sz w:val="18"/>
              </w:rPr>
              <m:t>C</m:t>
            </m:r>
          </m:sup>
        </m:sSubSup>
        <m:r>
          <w:rPr>
            <w:sz w:val="18"/>
          </w:rPr>
          <m:rPr>
            <m:sty m:val="p"/>
          </m:rPr>
          <m:t>,</m:t>
        </m:r>
        <m:r>
          <w:rPr>
            <w:sz w:val="18"/>
          </w:rPr>
          <m:t>  </m:t>
        </m:r>
        <m:sSubSup>
          <m:e>
            <m:r>
              <w:rPr>
                <w:sz w:val="18"/>
              </w:rPr>
              <m:t>e</m:t>
            </m:r>
          </m:e>
          <m:sub>
            <m:r>
              <w:rPr>
                <w:sz w:val="18"/>
              </w:rPr>
              <m:t>i</m:t>
            </m:r>
          </m:sub>
          <m:sup>
            <m:r>
              <w:rPr>
                <w:sz w:val="18"/>
              </w:rPr>
              <m:rPr>
                <m:sty m:val="p"/>
              </m:rPr>
              <m:t>s</m:t>
            </m:r>
            <m:r>
              <w:rPr>
                <w:sz w:val="18"/>
              </w:rPr>
              <m:rPr>
                <m:sty m:val="p"/>
              </m:rPr>
              <m:t>t</m:t>
            </m:r>
            <m:r>
              <w:rPr>
                <w:sz w:val="18"/>
              </w:rPr>
              <m:rPr>
                <m:sty m:val="p"/>
              </m:rPr>
              <m:t>o</m:t>
            </m:r>
            <m:r>
              <w:rPr>
                <w:sz w:val="18"/>
              </w:rPr>
              <m:rPr>
                <m:sty m:val="p"/>
              </m:rPr>
              <m:t>c</m:t>
            </m:r>
            <m:r>
              <w:rPr>
                <w:sz w:val="18"/>
              </w:rPr>
              <m:rPr>
                <m:sty m:val="p"/>
              </m:rPr>
              <m:t>k</m:t>
            </m:r>
          </m:sup>
        </m:sSubSup>
        <m:r>
          <w:rPr>
            <w:sz w:val="18"/>
          </w:rPr>
          <m:rPr>
            <m:sty m:val="p"/>
          </m:rPr>
          <m:t>=</m:t>
        </m:r>
        <m:f>
          <m:fPr>
            <m:type m:val="bar"/>
          </m:fPr>
          <m:num>
            <m:r>
              <w:rPr>
                <w:sz w:val="18"/>
              </w:rPr>
              <m:t>44</m:t>
            </m:r>
          </m:num>
          <m:den>
            <m:r>
              <w:rPr>
                <w:sz w:val="18"/>
              </w:rPr>
              <m:t>12</m:t>
            </m:r>
          </m:den>
        </m:f>
        <m:sSub>
          <m:e>
            <m:r>
              <w:rPr>
                <w:sz w:val="18"/>
              </w:rPr>
              <m:t>c</m:t>
            </m:r>
          </m:e>
          <m:sub>
            <m:r>
              <w:rPr>
                <w:sz w:val="18"/>
              </w:rPr>
              <m:t>i</m:t>
            </m:r>
          </m:sub>
        </m:sSub>
      </m:oMath>
    </w:p>
    <w:p>
      <w:pPr>
        <w:keepNext/>
        <w:spacing w:before="40" w:after="60"/>
      </w:pPr>
      <w:r>
        <w:rPr>
          <w:rFonts w:ascii="Lato" w:hAnsi="Lato"/>
          <w:color w:val="315B50"/>
          <w:sz w:val="16"/>
        </w:rPr>
        <w:t>b es densidad de biomasa seca en Mg/ha; c es densidad de carbono en Mg C/ha. Aplicar la fracción solo a BIOMASS, no a una banda CARBON. e_stock equivale al stock en masa de CO2, no a emisión anual o crédito. Una entrada CO2E ya caracterizada requiere alcance de gases propio.</w:t>
      </w:r>
    </w:p>
    <w:p>
      <w:pPr>
        <w:keepNext/>
        <w:spacing w:before="40" w:after="60"/>
      </w:pPr>
      <w:r>
        <w:rPr>
          <w:rFonts w:ascii="Lato" w:hAnsi="Lato"/>
          <w:color w:val="315B50"/>
          <w:sz w:val="14"/>
        </w:rPr>
        <w:t>Base: M02; M04.2; F-C02 | Libro: Factors!C:G; Profile!B16</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Reservorio / estrato / estados inicial y final</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oMath>
          </w:p>
        </w:tc>
        <w:tc>
          <w:tcPr>
            <w:tcW w:type="dxa" w:w="3250"/>
            <w:tcMar>
              <w:top w:w="90" w:type="dxa"/>
              <w:bottom w:w="90" w:type="dxa"/>
              <w:left w:w="100" w:type="dxa"/>
              <w:right w:w="100" w:type="dxa"/>
            </w:tcMar>
            <w:vAlign w:val="center"/>
            <w:shd w:fill="E6F0EB"/>
          </w:tcPr>
          <w:p>
            <w:r>
              <w:rPr>
                <w:rFonts w:ascii="Lato" w:hAnsi="Lato"/>
                <w:b/>
                <w:color w:val="173E34"/>
                <w:sz w:val="17"/>
              </w:rPr>
              <w:t>Factor de carbono o gas, unidad y fuente</w:t>
            </w:r>
          </w:p>
          <w:p>
            <w:pPr>
              <w:spacing w:before="40" w:after="40"/>
            </w:pPr>
            <m:oMath>
              <m:sSub>
                <m:e>
                  <m:r>
                    <w:rPr>
                      <w:sz w:val="16"/>
                      <w:color w:val="173E34"/>
                    </w:rPr>
                    <m:t>b</m:t>
                  </m:r>
                </m:e>
                <m:sub>
                  <m:r>
                    <w:rPr>
                      <w:sz w:val="16"/>
                      <w:color w:val="173E34"/>
                    </w:rPr>
                    <m:t>i</m:t>
                  </m:r>
                </m:sub>
              </m:sSub>
              <m:r>
                <w:rPr>
                  <w:sz w:val="16"/>
                  <w:color w:val="173E34"/>
                </w:rPr>
                <m:rPr>
                  <m:sty m:val="p"/>
                </m:rPr>
                <m:t>,</m:t>
              </m:r>
              <m:r>
                <w:rPr>
                  <w:sz w:val="16"/>
                  <w:color w:val="173E34"/>
                </w:rPr>
                <m:t> </m:t>
              </m:r>
              <m:sSubSup>
                <m:e>
                  <m:r>
                    <w:rPr>
                      <w:sz w:val="16"/>
                      <w:color w:val="173E34"/>
                    </w:rPr>
                    <m:t>f</m:t>
                  </m:r>
                </m:e>
                <m:sub>
                  <m:r>
                    <w:rPr>
                      <w:sz w:val="16"/>
                      <w:color w:val="173E34"/>
                    </w:rPr>
                    <m:t>i</m:t>
                  </m:r>
                </m:sub>
                <m:sup>
                  <m:r>
                    <w:rPr>
                      <w:sz w:val="16"/>
                      <w:color w:val="173E34"/>
                    </w:rPr>
                    <m:t>C</m:t>
                  </m:r>
                </m:sup>
              </m:sSubSup>
              <m:r>
                <w:rPr>
                  <w:sz w:val="16"/>
                  <w:color w:val="173E34"/>
                </w:rPr>
                <m:rPr>
                  <m:sty m:val="p"/>
                </m:rPr>
                <m:t>,</m:t>
              </m:r>
              <m:r>
                <w:rPr>
                  <w:sz w:val="16"/>
                  <w:color w:val="173E34"/>
                </w:rPr>
                <m:t> </m:t>
              </m:r>
              <m:sSub>
                <m:e>
                  <m:r>
                    <w:rPr>
                      <w:sz w:val="16"/>
                      <w:color w:val="173E34"/>
                    </w:rPr>
                    <m:t>c</m:t>
                  </m:r>
                </m:e>
                <m:sub>
                  <m:r>
                    <w:rPr>
                      <w:sz w:val="16"/>
                      <w:color w:val="173E34"/>
                    </w:rPr>
                    <m:t>i</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Transferencia, liberación y exclusiones</w:t>
            </w:r>
          </w:p>
          <w:p>
            <w:pPr>
              <w:spacing w:before="40" w:after="40"/>
            </w:pPr>
            <m:oMath>
              <m:sSubSup>
                <m:e>
                  <m:r>
                    <w:rPr>
                      <w:sz w:val="16"/>
                      <w:color w:val="173E34"/>
                    </w:rPr>
                    <m:t>e</m:t>
                  </m:r>
                </m:e>
                <m:sub>
                  <m:r>
                    <w:rPr>
                      <w:sz w:val="16"/>
                      <w:color w:val="173E34"/>
                    </w:rPr>
                    <m:t>i</m:t>
                  </m:r>
                </m:sub>
                <m:sup>
                  <m:r>
                    <w:rPr>
                      <w:sz w:val="16"/>
                      <w:color w:val="173E34"/>
                    </w:rPr>
                    <m:rPr>
                      <m:sty m:val="p"/>
                    </m:rPr>
                    <m:t>s</m:t>
                  </m:r>
                  <m:r>
                    <w:rPr>
                      <w:sz w:val="16"/>
                      <w:color w:val="173E34"/>
                    </w:rPr>
                    <m:rPr>
                      <m:sty m:val="p"/>
                    </m:rPr>
                    <m:t>t</m:t>
                  </m:r>
                  <m:r>
                    <w:rPr>
                      <w:sz w:val="16"/>
                      <w:color w:val="173E34"/>
                    </w:rPr>
                    <m:rPr>
                      <m:sty m:val="p"/>
                    </m:rPr>
                    <m:t>o</m:t>
                  </m:r>
                  <m:r>
                    <w:rPr>
                      <w:sz w:val="16"/>
                      <w:color w:val="173E34"/>
                    </w:rPr>
                    <m:rPr>
                      <m:sty m:val="p"/>
                    </m:rPr>
                    <m:t>c</m:t>
                  </m:r>
                  <m:r>
                    <w:rPr>
                      <w:sz w:val="16"/>
                      <w:color w:val="173E34"/>
                    </w:rPr>
                    <m:rPr>
                      <m:sty m:val="p"/>
                    </m:rPr>
                    <m:t>k</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6-0-ES-1-1"/>
                <w:tag w:val="sec_06-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1-2"/>
                <w:tag w:val="sec_06-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1-3"/>
                <w:tag w:val="sec_06-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0-ES-2-1"/>
                <w:tag w:val="sec_06-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0-ES-2-2"/>
                <w:tag w:val="sec_06-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0-ES-2-3"/>
                <w:tag w:val="sec_06-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0-ES-3-1"/>
                <w:tag w:val="sec_06-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3-2"/>
                <w:tag w:val="sec_06-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0-ES-3-3"/>
                <w:tag w:val="sec_06-0-ES-3-3"/>
                <w:text/>
              </w:sdtPr>
              <w:sdtContent>
                <w:r>
                  <w:rPr>
                    <w:rFonts w:ascii="Lato" w:hAnsi="Lato"/>
                    <w:sz w:val="18"/>
                    <w:color w:val="62716E"/>
                  </w:rPr>
                  <w:t>[Completar]</w:t>
                </w:r>
              </w:sdtContent>
            </w:sdt>
          </w:p>
        </w:tc>
      </w:tr>
    </w:tbl>
    <w:p>
      <w:pPr>
        <w:spacing w:after="0"/>
      </w:pPr>
    </w:p>
    <w:p>
      <w:pPr>
        <w:pStyle w:val="Heading2"/>
        <w:keepNext/>
      </w:pPr>
      <w:r>
        <w:t>Soporte temporal y cierre de cohortes</w:t>
      </w:r>
    </w:p>
    <w:p>
      <w:pPr>
        <w:spacing w:after="80"/>
      </w:pPr>
      <w:r>
        <w:rPr>
          <w:rFonts w:ascii="Lato" w:hAnsi="Lato"/>
          <w:b w:val="0"/>
          <w:color w:val="62716E"/>
          <w:sz w:val="18"/>
        </w:rPr>
        <w:t>Distinguir existencias, cambios de existencias y emisiones atmosféricas del período. Adjuntar cronogramas de cohortes o equivalentes cuando corresponda; mostrar liberación inmediata, diferida y existencia remanente sin duplicar transferencias. Usar gases compatibles y la convención de PCG adoptada.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6-1-ES"/>
                <w:tag w:val="sec_06-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Registro de cálculo</w:t>
      </w:r>
    </w:p>
    <w:p>
      <w:pPr>
        <w:keepNext/>
        <w:spacing w:before="40" w:after="60"/>
      </w:pPr>
      <w:r>
        <w:rPr>
          <w:rFonts w:ascii="Lato" w:hAnsi="Lato"/>
          <w:color w:val="315B50"/>
          <w:sz w:val="18"/>
        </w:rPr>
        <w:t>EXANTE-T11 / Notación del cálculo</w:t>
      </w:r>
    </w:p>
    <w:p>
      <w:pPr>
        <w:keepNext/>
        <w:spacing w:before="40" w:after="60"/>
      </w:pPr>
      <m:oMath>
        <m:sSubSup>
          <m:e>
            <m:r>
              <w:rPr>
                <w:sz w:val="18"/>
              </w:rPr>
              <m:t>E</m:t>
            </m:r>
          </m:e>
          <m:sub>
            <m:r>
              <w:rPr>
                <w:sz w:val="18"/>
              </w:rPr>
              <m:t>i</m:t>
            </m:r>
            <m:r>
              <w:rPr>
                <w:sz w:val="18"/>
              </w:rPr>
              <m:rPr>
                <m:sty m:val="p"/>
              </m:rPr>
              <m:t>,</m:t>
            </m:r>
            <m:r>
              <w:rPr>
                <w:sz w:val="18"/>
              </w:rPr>
              <m:t>t</m:t>
            </m:r>
          </m:sub>
          <m:sup>
            <m:r>
              <w:rPr>
                <w:sz w:val="18"/>
              </w:rPr>
              <m:rPr>
                <m:sty m:val="p"/>
              </m:rPr>
              <m:t>C</m:t>
            </m:r>
            <m:sSub>
              <m:e>
                <m:r>
                  <w:rPr>
                    <w:sz w:val="18"/>
                  </w:rPr>
                  <m:rPr>
                    <m:sty m:val="p"/>
                  </m:rPr>
                  <m:t>O</m:t>
                </m:r>
              </m:e>
              <m:sub>
                <m:r>
                  <w:rPr>
                    <w:sz w:val="18"/>
                  </w:rPr>
                  <m:rPr>
                    <m:sty m:val="p"/>
                  </m:rPr>
                  <m:t>2</m:t>
                </m:r>
              </m:sub>
            </m:sSub>
          </m:sup>
        </m:sSubSup>
        <m:r>
          <w:rPr>
            <w:sz w:val="18"/>
          </w:rPr>
          <m:rPr>
            <m:sty m:val="p"/>
          </m:rPr>
          <m:t>=</m:t>
        </m:r>
        <m:f>
          <m:fPr>
            <m:type m:val="bar"/>
          </m:fPr>
          <m:num>
            <m:r>
              <w:rPr>
                <w:sz w:val="18"/>
              </w:rPr>
              <m:t>44</m:t>
            </m:r>
          </m:num>
          <m:den>
            <m:r>
              <w:rPr>
                <w:sz w:val="18"/>
              </w:rPr>
              <m:t>12</m:t>
            </m:r>
          </m:den>
        </m:f>
        <m:nary>
          <m:naryPr>
            <m:chr m:val="∑"/>
            <m:limLoc m:val="undOvr"/>
            <m:subHide m:val="off"/>
            <m:supHide m:val="on"/>
          </m:naryPr>
          <m:sub>
            <m:r>
              <w:rPr>
                <w:sz w:val="18"/>
              </w:rPr>
              <m:t>τ</m:t>
            </m:r>
            <m:r>
              <w:rPr>
                <w:sz w:val="18"/>
              </w:rPr>
              <m:rPr>
                <m:sty m:val="p"/>
              </m:rPr>
              <m:t>≤</m:t>
            </m:r>
            <m:r>
              <w:rPr>
                <w:sz w:val="18"/>
              </w:rPr>
              <m:t>t</m:t>
            </m:r>
          </m:sub>
          <m:sup>
            <m:r>
              <w:rPr>
                <w:sz w:val="18"/>
              </w:rPr>
              <m:t>​</m:t>
            </m:r>
          </m:sup>
          <m:e>
            <m:nary>
              <m:naryPr>
                <m:chr m:val="∑"/>
                <m:limLoc m:val="undOvr"/>
                <m:subHide m:val="off"/>
                <m:supHide m:val="on"/>
              </m:naryPr>
              <m:sub>
                <m:r>
                  <w:rPr>
                    <w:sz w:val="18"/>
                  </w:rPr>
                  <m:t>o</m:t>
                </m:r>
              </m:sub>
              <m:sup>
                <m:r>
                  <w:rPr>
                    <w:sz w:val="18"/>
                  </w:rPr>
                  <m:t>​</m:t>
                </m:r>
              </m:sup>
              <m:e>
                <m:sSub>
                  <m:e>
                    <m:r>
                      <w:rPr>
                        <w:sz w:val="18"/>
                      </w:rPr>
                      <m:t>A</m:t>
                    </m:r>
                  </m:e>
                  <m:sub>
                    <m:r>
                      <w:rPr>
                        <w:sz w:val="18"/>
                      </w:rPr>
                      <m:t>i</m:t>
                    </m:r>
                    <m:r>
                      <w:rPr>
                        <w:sz w:val="18"/>
                      </w:rPr>
                      <m:rPr>
                        <m:sty m:val="p"/>
                      </m:rPr>
                      <m:t>,</m:t>
                    </m:r>
                    <m:r>
                      <w:rPr>
                        <w:sz w:val="18"/>
                      </w:rPr>
                      <m:t>τ</m:t>
                    </m:r>
                  </m:sub>
                </m:sSub>
              </m:e>
            </m:nary>
          </m:e>
        </m:nary>
        <m:sSub>
          <m:e>
            <m:r>
              <w:rPr>
                <w:sz w:val="18"/>
              </w:rPr>
              <m:rPr>
                <m:sty m:val="p"/>
              </m:rPr>
              <m:t>ℓ</m:t>
            </m:r>
          </m:e>
          <m:sub>
            <m:r>
              <w:rPr>
                <w:sz w:val="18"/>
              </w:rPr>
              <m:t>i</m:t>
            </m:r>
            <m:r>
              <w:rPr>
                <w:sz w:val="18"/>
              </w:rPr>
              <m:t>o</m:t>
            </m:r>
            <m:r>
              <w:rPr>
                <w:sz w:val="18"/>
              </w:rPr>
              <m:rPr>
                <m:sty m:val="p"/>
              </m:rPr>
              <m:t>,</m:t>
            </m:r>
            <m:r>
              <w:rPr>
                <w:sz w:val="18"/>
              </w:rPr>
              <m:t>τ</m:t>
            </m:r>
          </m:sub>
        </m:sSub>
        <m:sSub>
          <m:e>
            <m:r>
              <w:rPr>
                <w:sz w:val="18"/>
              </w:rPr>
              <m:t>k</m:t>
            </m:r>
          </m:e>
          <m:sub>
            <m:r>
              <w:rPr>
                <w:sz w:val="18"/>
              </w:rPr>
              <m:t>i</m:t>
            </m:r>
            <m:r>
              <w:rPr>
                <w:sz w:val="18"/>
              </w:rPr>
              <m:t>o</m:t>
            </m:r>
            <m:r>
              <w:rPr>
                <w:sz w:val="18"/>
              </w:rPr>
              <m:rPr>
                <m:sty m:val="p"/>
              </m:rPr>
              <m:t>,</m:t>
            </m:r>
            <m:r>
              <w:rPr>
                <w:sz w:val="18"/>
              </w:rPr>
              <m:t>τ</m:t>
            </m:r>
          </m:sub>
        </m:sSub>
        <m:d>
          <m:dPr>
            <m:begChr m:val="("/>
            <m:endChr m:val=")"/>
            <m:sepChr m:val=""/>
            <m:grow/>
          </m:dPr>
          <m:e>
            <m:r>
              <w:rPr>
                <w:sz w:val="18"/>
              </w:rPr>
              <m:t>t</m:t>
            </m:r>
          </m:e>
        </m:d>
      </m:oMath>
    </w:p>
    <w:p>
      <w:pPr>
        <w:keepNext/>
        <w:spacing w:before="40" w:after="60"/>
      </w:pPr>
      <w:r>
        <w:rPr>
          <w:rFonts w:ascii="Lato" w:hAnsi="Lato"/>
          <w:color w:val="315B50"/>
          <w:sz w:val="16"/>
        </w:rPr>
        <w:t>A es ha recién afectadas, ell es Mg C/ha asignados y k es fracción liberada como CO2 durante t. La suma de fracciones no excede su asignación definida. Cohortes y reservorios son disjuntos; conservar material remanente y cohortes anteriores. Usar intervalos exactos.</w:t>
      </w:r>
    </w:p>
    <w:p>
      <w:pPr>
        <w:keepNext/>
        <w:spacing w:before="40" w:after="60"/>
      </w:pPr>
      <w:r>
        <w:rPr>
          <w:rFonts w:ascii="Lato" w:hAnsi="Lato"/>
          <w:color w:val="315B50"/>
          <w:sz w:val="14"/>
        </w:rPr>
        <w:t>Base: M04.2; F-C03a; F-C03b; F-C04 | Libro: Cronograma previo de cohortes;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Ecuación / referencias de entradas</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r>
                <w:rPr>
                  <w:sz w:val="16"/>
                  <w:color w:val="173E34"/>
                </w:rPr>
                <m:rPr>
                  <m:sty m:val="p"/>
                </m:rPr>
                <m:t>,</m:t>
              </m:r>
              <m:r>
                <w:rPr>
                  <w:sz w:val="16"/>
                  <w:color w:val="173E34"/>
                </w:rPr>
                <m:t> </m:t>
              </m:r>
              <m:r>
                <w:rPr>
                  <w:sz w:val="16"/>
                  <w:color w:val="173E34"/>
                </w:rPr>
                <m:t>τ</m:t>
              </m:r>
            </m:oMath>
          </w:p>
        </w:tc>
        <w:tc>
          <w:tcPr>
            <w:tcW w:type="dxa" w:w="3250"/>
            <w:tcMar>
              <w:top w:w="90" w:type="dxa"/>
              <w:bottom w:w="90" w:type="dxa"/>
              <w:left w:w="100" w:type="dxa"/>
              <w:right w:w="100" w:type="dxa"/>
            </w:tcMar>
            <w:vAlign w:val="center"/>
            <w:shd w:fill="E6F0EB"/>
          </w:tcPr>
          <w:p>
            <w:r>
              <w:rPr>
                <w:rFonts w:ascii="Lato" w:hAnsi="Lato"/>
                <w:b/>
                <w:color w:val="173E34"/>
                <w:sz w:val="17"/>
              </w:rPr>
              <w:t>Resultado intermedio y unidad</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τ</m:t>
                  </m:r>
                </m:sub>
              </m:sSub>
              <m:r>
                <w:rPr>
                  <w:sz w:val="16"/>
                  <w:color w:val="173E34"/>
                </w:rPr>
                <m:rPr>
                  <m:sty m:val="p"/>
                </m:rPr>
                <m:t>,</m:t>
              </m:r>
              <m:r>
                <w:rPr>
                  <w:sz w:val="16"/>
                  <w:color w:val="173E34"/>
                </w:rPr>
                <m:t> </m:t>
              </m:r>
              <m:sSub>
                <m:e>
                  <m:r>
                    <w:rPr>
                      <w:sz w:val="16"/>
                      <w:color w:val="173E34"/>
                    </w:rPr>
                    <m:rPr>
                      <m:sty m:val="p"/>
                    </m:rPr>
                    <m:t>ℓ</m:t>
                  </m:r>
                </m:e>
                <m:sub>
                  <m:r>
                    <w:rPr>
                      <w:sz w:val="16"/>
                      <w:color w:val="173E34"/>
                    </w:rPr>
                    <m:t>i</m:t>
                  </m:r>
                  <m:r>
                    <w:rPr>
                      <w:sz w:val="16"/>
                      <w:color w:val="173E34"/>
                    </w:rPr>
                    <m:t>o</m:t>
                  </m:r>
                  <m:r>
                    <w:rPr>
                      <w:sz w:val="16"/>
                      <w:color w:val="173E34"/>
                    </w:rPr>
                    <m:rPr>
                      <m:sty m:val="p"/>
                    </m:rPr>
                    <m:t>,</m:t>
                  </m:r>
                  <m:r>
                    <w:rPr>
                      <w:sz w:val="16"/>
                      <w:color w:val="173E34"/>
                    </w:rPr>
                    <m:t>τ</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Control de calidad / caso límite</w:t>
            </w:r>
          </w:p>
          <w:p>
            <w:pPr>
              <w:spacing w:before="40" w:after="40"/>
            </w:pPr>
            <m:oMath>
              <m:sSub>
                <m:e>
                  <m:r>
                    <w:rPr>
                      <w:sz w:val="16"/>
                      <w:color w:val="173E34"/>
                    </w:rPr>
                    <m:t>k</m:t>
                  </m:r>
                </m:e>
                <m:sub>
                  <m:r>
                    <w:rPr>
                      <w:sz w:val="16"/>
                      <w:color w:val="173E34"/>
                    </w:rPr>
                    <m:t>i</m:t>
                  </m:r>
                  <m:r>
                    <w:rPr>
                      <w:sz w:val="16"/>
                      <w:color w:val="173E34"/>
                    </w:rPr>
                    <m:t>o</m:t>
                  </m:r>
                  <m:r>
                    <w:rPr>
                      <w:sz w:val="16"/>
                      <w:color w:val="173E34"/>
                    </w:rPr>
                    <m:rPr>
                      <m:sty m:val="p"/>
                    </m:rPr>
                    <m:t>,</m:t>
                  </m:r>
                  <m:r>
                    <w:rPr>
                      <w:sz w:val="16"/>
                      <w:color w:val="173E34"/>
                    </w:rPr>
                    <m:t>τ</m:t>
                  </m:r>
                </m:sub>
              </m:sSub>
              <m:d>
                <m:dPr>
                  <m:begChr m:val="("/>
                  <m:endChr m:val=")"/>
                  <m:sepChr m:val=""/>
                  <m:grow/>
                </m:dPr>
                <m:e>
                  <m:r>
                    <w:rPr>
                      <w:sz w:val="16"/>
                      <w:color w:val="173E34"/>
                    </w:rPr>
                    <m:t>t</m:t>
                  </m:r>
                </m:e>
              </m:d>
              <m:r>
                <w:rPr>
                  <w:sz w:val="16"/>
                  <w:color w:val="173E34"/>
                </w:rPr>
                <m:rPr>
                  <m:sty m:val="p"/>
                </m:rPr>
                <m:t>,</m:t>
              </m:r>
              <m:r>
                <w:rPr>
                  <w:sz w:val="16"/>
                  <w:color w:val="173E34"/>
                </w:rPr>
                <m:t> </m:t>
              </m:r>
              <m:sSubSup>
                <m:e>
                  <m:r>
                    <w:rPr>
                      <w:sz w:val="16"/>
                      <w:color w:val="173E34"/>
                    </w:rPr>
                    <m:t>E</m:t>
                  </m:r>
                </m:e>
                <m:sub>
                  <m:r>
                    <w:rPr>
                      <w:sz w:val="16"/>
                      <w:color w:val="173E34"/>
                    </w:rPr>
                    <m:t>i</m:t>
                  </m:r>
                  <m:r>
                    <w:rPr>
                      <w:sz w:val="16"/>
                      <w:color w:val="173E34"/>
                    </w:rPr>
                    <m:rPr>
                      <m:sty m:val="p"/>
                    </m:rPr>
                    <m:t>,</m:t>
                  </m:r>
                  <m:r>
                    <w:rPr>
                      <w:sz w:val="16"/>
                      <w:color w:val="173E34"/>
                    </w:rPr>
                    <m:t>t</m:t>
                  </m:r>
                </m:sub>
                <m:sup>
                  <m:r>
                    <w:rPr>
                      <w:sz w:val="16"/>
                      <w:color w:val="173E34"/>
                    </w:rPr>
                    <m:rPr>
                      <m:sty m:val="p"/>
                    </m:rPr>
                    <m:t>C</m:t>
                  </m:r>
                  <m:sSub>
                    <m:e>
                      <m:r>
                        <w:rPr>
                          <w:sz w:val="16"/>
                          <w:color w:val="173E34"/>
                        </w:rPr>
                        <m:rPr>
                          <m:sty m:val="p"/>
                        </m:rPr>
                        <m:t>O</m:t>
                      </m:r>
                    </m:e>
                    <m:sub>
                      <m:r>
                        <w:rPr>
                          <w:sz w:val="16"/>
                          <w:color w:val="173E34"/>
                        </w:rPr>
                        <m:rPr>
                          <m:sty m:val="p"/>
                        </m:rPr>
                        <m:t>2</m:t>
                      </m:r>
                    </m:sub>
                  </m:sSub>
                </m:sup>
              </m:sSubSup>
            </m:oMath>
          </w:p>
        </w:tc>
      </w:tr>
      <w:tr>
        <w:trPr>
          <w:trHeight w:val="510"/>
        </w:trPr>
        <w:tc>
          <w:tcPr>
            <w:tcW w:type="dxa" w:w="3250"/>
            <w:tcMar>
              <w:top w:w="90" w:type="dxa"/>
              <w:bottom w:w="90" w:type="dxa"/>
              <w:left w:w="100" w:type="dxa"/>
              <w:right w:w="100" w:type="dxa"/>
            </w:tcMar>
            <w:shd w:fill="F1F5F2"/>
          </w:tcPr>
          <w:p>
            <w:pPr>
              <w:spacing w:after="20"/>
            </w:pPr>
            <w:sdt>
              <w:sdtPr>
                <w:alias w:val="sec_06-2-ES-1-1"/>
                <w:tag w:val="sec_06-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2-ES-1-2"/>
                <w:tag w:val="sec_06-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2-ES-1-3"/>
                <w:tag w:val="sec_06-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2-ES-2-1"/>
                <w:tag w:val="sec_06-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2-ES-2-2"/>
                <w:tag w:val="sec_06-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6-2-ES-2-3"/>
                <w:tag w:val="sec_06-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2-ES-3-1"/>
                <w:tag w:val="sec_06-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2-ES-3-2"/>
                <w:tag w:val="sec_06-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6-2-ES-3-3"/>
                <w:tag w:val="sec_06-2-ES-3-3"/>
                <w:text/>
              </w:sdtPr>
              <w:sdtContent>
                <w:r>
                  <w:rPr>
                    <w:rFonts w:ascii="Lato" w:hAnsi="Lato"/>
                    <w:sz w:val="18"/>
                    <w:color w:val="62716E"/>
                  </w:rPr>
                  <w:t>[Completar]</w:t>
                </w:r>
              </w:sdtContent>
            </w:sdt>
          </w:p>
        </w:tc>
      </w:tr>
    </w:tbl>
    <w:p>
      <w:pPr>
        <w:spacing w:after="0"/>
      </w:pPr>
    </w:p>
    <w:p>
      <w:bookmarkStart w:id="3007" w:name="sec_07"/>
      <w:pPr>
        <w:pStyle w:val="Heading1"/>
        <w:keepNext/>
        <w:pageBreakBefore/>
      </w:pPr>
      <w:r>
        <w:t>07  Cuenta proyectada por período y horizonte</w:t>
      </w:r>
      <w:bookmarkEnd w:id="3007"/>
    </w:p>
    <w:p>
      <w:pPr>
        <w:spacing w:after="120"/>
      </w:pPr>
      <w:r>
        <w:rPr>
          <w:rFonts w:ascii="Lato" w:hAnsi="Lato"/>
          <w:b w:val="0"/>
          <w:color w:val="62716E"/>
          <w:sz w:val="16"/>
        </w:rPr>
        <w:t>[1] Referencia: M04.5; F-R01; F-R03; F-R04; FRM-02</w:t>
      </w:r>
    </w:p>
    <w:p>
      <w:pPr>
        <w:pStyle w:val="Heading2"/>
        <w:keepNext/>
      </w:pPr>
      <w:r>
        <w:t>Cuenta ambiental con signo</w:t>
      </w:r>
    </w:p>
    <w:p>
      <w:pPr>
        <w:keepNext/>
        <w:spacing w:before="40" w:after="60"/>
      </w:pPr>
      <w:r>
        <w:rPr>
          <w:rFonts w:ascii="Lato" w:hAnsi="Lato"/>
          <w:color w:val="315B50"/>
          <w:sz w:val="18"/>
        </w:rPr>
        <w:t>EXANTE-T12 / Notación del cálculo</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denota pronóstico fechado; EP denota cuenta del período reportado, no verificación automática. Todos los términos son masas del período con signo y soporte comparable. La cantidad precede incertidumbre, obligaciones previas, reserva y denominación.</w:t>
      </w:r>
    </w:p>
    <w:p>
      <w:pPr>
        <w:keepNext/>
        <w:spacing w:before="40" w:after="60"/>
      </w:pPr>
      <w:r>
        <w:rPr>
          <w:rFonts w:ascii="Lato" w:hAnsi="Lato"/>
          <w:color w:val="315B50"/>
          <w:sz w:val="14"/>
        </w:rPr>
        <w:t>Base: M04.5; F-R01 | Libro: ExAnte!F:I; ExPost!F:I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Período / alcance compatible</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Línea base / proyecto / fugas (t CO2e)</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Resultado neto y referencia exacta del cálculo</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0-ES-1-1"/>
                <w:tag w:val="sec_07-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1-2"/>
                <w:tag w:val="sec_07-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1-3"/>
                <w:tag w:val="sec_07-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0-ES-2-1"/>
                <w:tag w:val="sec_07-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0-ES-2-2"/>
                <w:tag w:val="sec_07-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0-ES-2-3"/>
                <w:tag w:val="sec_07-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0-ES-3-1"/>
                <w:tag w:val="sec_07-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3-2"/>
                <w:tag w:val="sec_07-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0-ES-3-3"/>
                <w:tag w:val="sec_07-0-ES-3-3"/>
                <w:text/>
              </w:sdtPr>
              <w:sdtContent>
                <w:r>
                  <w:rPr>
                    <w:rFonts w:ascii="Lato" w:hAnsi="Lato"/>
                    <w:sz w:val="18"/>
                    <w:color w:val="62716E"/>
                  </w:rPr>
                  <w:t>[Completar]</w:t>
                </w:r>
              </w:sdtContent>
            </w:sdt>
          </w:p>
        </w:tc>
      </w:tr>
    </w:tbl>
    <w:p>
      <w:pPr>
        <w:spacing w:after="0"/>
      </w:pPr>
    </w:p>
    <w:p>
      <w:pPr>
        <w:pStyle w:val="Heading2"/>
        <w:keepNext/>
      </w:pPr>
      <w:r>
        <w:t>Cuenta conservadora de planificación</w:t>
      </w:r>
    </w:p>
    <w:p>
      <w:pPr>
        <w:keepNext/>
        <w:spacing w:before="40" w:after="60"/>
      </w:pPr>
      <w:r>
        <w:rPr>
          <w:rFonts w:ascii="Lato" w:hAnsi="Lato"/>
          <w:color w:val="315B50"/>
          <w:sz w:val="18"/>
        </w:rPr>
        <w:t>EXANTE-T13 / Notación del cálculo</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distingue propuesta del libro de registro ejecutado. D_set es liquidación real sustentada; D_rem = D - D_set. No reducir obligación registrada por D_cand. Reserva requerida superior a la base candidata es déficit, no protección financiada. No se presume redondeo.</w:t>
      </w:r>
    </w:p>
    <w:p>
      <w:pPr>
        <w:keepNext/>
        <w:spacing w:before="40" w:after="60"/>
      </w:pPr>
      <w:r>
        <w:rPr>
          <w:rFonts w:ascii="Lato" w:hAnsi="Lato"/>
          <w:color w:val="315B50"/>
          <w:sz w:val="14"/>
        </w:rPr>
        <w:t>Base: M05.4; M05.5; F-R03 | Libro: Settlement!B:L; ExAnte!M:O (solo pronóstico)</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Período / regla de límite inferior</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Pasivo supuesto / base de reserva / aporte</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Masa disponible y denominación condicional</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1-ES-1-1"/>
                <w:tag w:val="sec_07-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1-2"/>
                <w:tag w:val="sec_07-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1-3"/>
                <w:tag w:val="sec_07-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1-ES-2-1"/>
                <w:tag w:val="sec_07-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1-ES-2-2"/>
                <w:tag w:val="sec_07-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7-1-ES-2-3"/>
                <w:tag w:val="sec_07-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1-ES-3-1"/>
                <w:tag w:val="sec_07-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3-2"/>
                <w:tag w:val="sec_07-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7-1-ES-3-3"/>
                <w:tag w:val="sec_07-1-ES-3-3"/>
                <w:text/>
              </w:sdtPr>
              <w:sdtContent>
                <w:r>
                  <w:rPr>
                    <w:rFonts w:ascii="Lato" w:hAnsi="Lato"/>
                    <w:sz w:val="18"/>
                    <w:color w:val="62716E"/>
                  </w:rPr>
                  <w:t>[Completar]</w:t>
                </w:r>
              </w:sdtContent>
            </w:sdt>
          </w:p>
        </w:tc>
      </w:tr>
    </w:tbl>
    <w:p>
      <w:pPr>
        <w:spacing w:after="0"/>
      </w:pPr>
    </w:p>
    <w:p>
      <w:pPr>
        <w:pStyle w:val="Heading2"/>
        <w:keepNext/>
      </w:pPr>
      <w:r>
        <w:t>Agregación y distribución</w:t>
      </w:r>
    </w:p>
    <w:p>
      <w:pPr>
        <w:spacing w:after="80"/>
      </w:pPr>
      <w:r>
        <w:rPr>
          <w:rFonts w:ascii="Lato" w:hAnsi="Lato"/>
          <w:b w:val="0"/>
          <w:color w:val="62716E"/>
          <w:sz w:val="18"/>
        </w:rPr>
        <w:t>Presentar resultados anuales u otros intervalos explícitos y un total de horizonte sin duplicación. Un promedio del horizonte no es observación anual. Toda distribución a intervalos menores conservará cantidad matriz, ponderaciones y cierre; no constituye mitigación ni medición nueva.</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7-2-ES"/>
                <w:tag w:val="sec_07-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08" w:name="sec_08"/>
      <w:pPr>
        <w:pStyle w:val="Heading1"/>
        <w:keepNext/>
        <w:pageBreakBefore/>
      </w:pPr>
      <w:r>
        <w:t>08  Incertidumbre, materialidad y riesgo residual</w:t>
      </w:r>
      <w:bookmarkEnd w:id="3008"/>
    </w:p>
    <w:p>
      <w:pPr>
        <w:spacing w:after="120"/>
      </w:pPr>
      <w:r>
        <w:rPr>
          <w:rFonts w:ascii="Lato" w:hAnsi="Lato"/>
          <w:b w:val="0"/>
          <w:color w:val="62716E"/>
          <w:sz w:val="16"/>
        </w:rPr>
        <w:t>[1] Referencia: M05; F-U01; F-A01; F-A02; F-A04; T-14; T-16; T-20; F-03; FRM-05</w:t>
      </w:r>
    </w:p>
    <w:p>
      <w:pPr>
        <w:pStyle w:val="Heading2"/>
        <w:keepNext/>
      </w:pPr>
      <w:r>
        <w:t>Tratamiento cuantitativo</w:t>
      </w:r>
    </w:p>
    <w:p>
      <w:pPr>
        <w:keepNext/>
        <w:spacing w:before="40" w:after="60"/>
      </w:pPr>
      <w:r>
        <w:rPr>
          <w:rFonts w:ascii="Lato" w:hAnsi="Lato"/>
          <w:color w:val="315B50"/>
          <w:sz w:val="18"/>
        </w:rPr>
        <w:t>EXANTE-T14 / Notación del cálculo</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y L en esta identidad de varianza denotan estimadores de línea base, proyecto y fugas, no reserva B_t. Incertidumbres estándar en t CO2e; varianzas y covarianzas en unidades al cuadrado. Conservar dependencia compartida y matriz válida.</w:t>
      </w:r>
    </w:p>
    <w:p>
      <w:pPr>
        <w:keepNext/>
        <w:spacing w:before="40" w:after="60"/>
      </w:pPr>
      <w:r>
        <w:rPr>
          <w:rFonts w:ascii="Lato" w:hAnsi="Lato"/>
          <w:color w:val="315B50"/>
          <w:sz w:val="14"/>
        </w:rPr>
        <w:t>Base: F-U01; M05.1; M05.2 | Libro: Cálculo calificado de incertidumbre; ExAnte!J:L; ExPost!J:L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Componente / dependencia</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250"/>
            <w:tcMar>
              <w:top w:w="90" w:type="dxa"/>
              <w:bottom w:w="90" w:type="dxa"/>
              <w:left w:w="100" w:type="dxa"/>
              <w:right w:w="100" w:type="dxa"/>
            </w:tcMar>
            <w:vAlign w:val="center"/>
            <w:shd w:fill="E6F0EB"/>
          </w:tcPr>
          <w:p>
            <w:r>
              <w:rPr>
                <w:rFonts w:ascii="Lato" w:hAnsi="Lato"/>
                <w:b/>
                <w:color w:val="173E34"/>
                <w:sz w:val="17"/>
              </w:rPr>
              <w:t>Incertidumbre o límite sustentado</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250"/>
            <w:tcMar>
              <w:top w:w="90" w:type="dxa"/>
              <w:bottom w:w="90" w:type="dxa"/>
              <w:left w:w="100" w:type="dxa"/>
              <w:right w:w="100" w:type="dxa"/>
            </w:tcMar>
            <w:vAlign w:val="center"/>
            <w:shd w:fill="E6F0EB"/>
          </w:tcPr>
          <w:p>
            <w:r>
              <w:rPr>
                <w:rFonts w:ascii="Lato" w:hAnsi="Lato"/>
                <w:b/>
                <w:color w:val="173E34"/>
                <w:sz w:val="17"/>
              </w:rPr>
              <w:t>Efecto sobre la cuenta neta completa</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8-0-ES-1-1"/>
                <w:tag w:val="sec_08-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1-2"/>
                <w:tag w:val="sec_08-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1-3"/>
                <w:tag w:val="sec_08-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0-ES-2-1"/>
                <w:tag w:val="sec_08-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0-ES-2-2"/>
                <w:tag w:val="sec_08-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0-ES-2-3"/>
                <w:tag w:val="sec_08-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0-ES-3-1"/>
                <w:tag w:val="sec_08-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3-2"/>
                <w:tag w:val="sec_08-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0-ES-3-3"/>
                <w:tag w:val="sec_08-0-ES-3-3"/>
                <w:text/>
              </w:sdtPr>
              <w:sdtContent>
                <w:r>
                  <w:rPr>
                    <w:rFonts w:ascii="Lato" w:hAnsi="Lato"/>
                    <w:sz w:val="18"/>
                    <w:color w:val="62716E"/>
                  </w:rPr>
                  <w:t>[Completar]</w:t>
                </w:r>
              </w:sdtContent>
            </w:sdt>
          </w:p>
        </w:tc>
      </w:tr>
    </w:tbl>
    <w:p>
      <w:pPr>
        <w:spacing w:after="0"/>
      </w:pPr>
    </w:p>
    <w:p>
      <w:pPr>
        <w:pStyle w:val="Heading2"/>
        <w:keepNext/>
      </w:pPr>
      <w:r>
        <w:t>Salvaguardas separadas</w:t>
      </w:r>
    </w:p>
    <w:p>
      <w:pPr>
        <w:spacing w:after="80"/>
      </w:pPr>
      <w:r>
        <w:rPr>
          <w:rFonts w:ascii="Lato" w:hAnsi="Lato"/>
          <w:b w:val="0"/>
          <w:color w:val="62716E"/>
          <w:sz w:val="18"/>
        </w:rPr>
        <w:t>Registrar por separado materialidad, conservadurismo, liquidación de pasivos y protección de reversión. Especificar AP-08/AP-09/AP-10 y aplicabilidad de categoría. No inferir probabilidad, confianza, tasa de reserva ni traslado íntegro de límites negativos a partir de un campo vacío.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8-1-ES"/>
                <w:tag w:val="sec_08-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Sensibilidad y decisión</w:t>
      </w:r>
    </w:p>
    <w:p>
      <w:pPr>
        <w:keepNext/>
        <w:spacing w:before="40" w:after="60"/>
      </w:pPr>
      <w:r>
        <w:rPr>
          <w:rFonts w:ascii="Lato" w:hAnsi="Lato"/>
          <w:color w:val="315B50"/>
          <w:sz w:val="18"/>
        </w:rPr>
        <w:t>EXANTE-T15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Alternativa / supuesto cambiado</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Rango de resultados y factibilidad conjunta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Consecuencia / evidencia adicional</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8-2-ES-1-1"/>
                <w:tag w:val="sec_08-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1-2"/>
                <w:tag w:val="sec_08-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1-3"/>
                <w:tag w:val="sec_08-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2-ES-2-1"/>
                <w:tag w:val="sec_08-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2-ES-2-2"/>
                <w:tag w:val="sec_08-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8-2-ES-2-3"/>
                <w:tag w:val="sec_08-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2-ES-3-1"/>
                <w:tag w:val="sec_08-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3-2"/>
                <w:tag w:val="sec_08-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8-2-ES-3-3"/>
                <w:tag w:val="sec_08-2-ES-3-3"/>
                <w:text/>
              </w:sdtPr>
              <w:sdtContent>
                <w:r>
                  <w:rPr>
                    <w:rFonts w:ascii="Lato" w:hAnsi="Lato"/>
                    <w:sz w:val="18"/>
                    <w:color w:val="62716E"/>
                  </w:rPr>
                  <w:t>[Completar]</w:t>
                </w:r>
              </w:sdtContent>
            </w:sdt>
          </w:p>
        </w:tc>
      </w:tr>
    </w:tbl>
    <w:p>
      <w:pPr>
        <w:spacing w:after="0"/>
      </w:pPr>
    </w:p>
    <w:p>
      <w:bookmarkStart w:id="3009" w:name="sec_09"/>
      <w:pPr>
        <w:pStyle w:val="Heading1"/>
        <w:keepNext/>
        <w:pageBreakBefore/>
      </w:pPr>
      <w:r>
        <w:t>09  Migración y referencia de comparación</w:t>
      </w:r>
      <w:bookmarkEnd w:id="3009"/>
    </w:p>
    <w:p>
      <w:pPr>
        <w:spacing w:after="120"/>
      </w:pPr>
      <w:r>
        <w:rPr>
          <w:rFonts w:ascii="Lato" w:hAnsi="Lato"/>
          <w:b w:val="0"/>
          <w:color w:val="62716E"/>
          <w:sz w:val="16"/>
        </w:rPr>
        <w:t>[1] Referencia: MIG-01; MIG-04; MIG-05; MIG-12; MIG-16; MIG-17; S-18</w:t>
      </w:r>
    </w:p>
    <w:p>
      <w:pPr>
        <w:pStyle w:val="Heading2"/>
        <w:keepNext/>
      </w:pPr>
      <w:r>
        <w:t>Escenario conservado y revisado</w:t>
      </w:r>
    </w:p>
    <w:p>
      <w:pPr>
        <w:spacing w:after="80"/>
      </w:pPr>
      <w:r>
        <w:rPr>
          <w:rFonts w:ascii="Lato" w:hAnsi="Lato"/>
          <w:b w:val="0"/>
          <w:color w:val="62716E"/>
          <w:sz w:val="18"/>
        </w:rPr>
        <w:t>En migración, conservar proyección original y fecha de su evidencia; documentar después comparación armonizada y estimación NEBIOT propuesta. Explicar diferencias de período, alcance, unidades, actividad, escala de carbono y deducciones. Una reexpresión retrospectiva no es la proyección original.</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9-0-ES"/>
                <w:tag w:val="sec_09-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Paquete comparativo</w:t>
      </w:r>
    </w:p>
    <w:p>
      <w:pPr>
        <w:keepNext/>
        <w:spacing w:before="40" w:after="60"/>
      </w:pPr>
      <w:r>
        <w:rPr>
          <w:rFonts w:ascii="Lato" w:hAnsi="Lato"/>
          <w:color w:val="315B50"/>
          <w:sz w:val="18"/>
        </w:rPr>
        <w:t>EXANTE-T16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Registro original y estado</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Registro comparable / tratamiento propuesto</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Anexo de conciliación y decisiones abiertas</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9-1-ES-1-1"/>
                <w:tag w:val="sec_09-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1-ES-1-2"/>
                <w:tag w:val="sec_09-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1-ES-1-3"/>
                <w:tag w:val="sec_09-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09-1-ES-2-1"/>
                <w:tag w:val="sec_09-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9-1-ES-2-2"/>
                <w:tag w:val="sec_09-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09-1-ES-2-3"/>
                <w:tag w:val="sec_09-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09-1-ES-3-1"/>
                <w:tag w:val="sec_09-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1-ES-3-2"/>
                <w:tag w:val="sec_09-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09-1-ES-3-3"/>
                <w:tag w:val="sec_09-1-ES-3-3"/>
                <w:text/>
              </w:sdtPr>
              <w:sdtContent>
                <w:r>
                  <w:rPr>
                    <w:rFonts w:ascii="Lato" w:hAnsi="Lato"/>
                    <w:sz w:val="18"/>
                    <w:color w:val="62716E"/>
                  </w:rPr>
                  <w:t>[Completar]</w:t>
                </w:r>
              </w:sdtContent>
            </w:sdt>
          </w:p>
        </w:tc>
      </w:tr>
    </w:tbl>
    <w:p>
      <w:pPr>
        <w:spacing w:after="0"/>
      </w:pPr>
    </w:p>
    <w:p>
      <w:pPr>
        <w:pStyle w:val="Heading2"/>
        <w:keepNext/>
      </w:pPr>
      <w:r>
        <w:t>Uso de mapas existentes</w:t>
      </w:r>
    </w:p>
    <w:p>
      <w:pPr>
        <w:spacing w:after="80"/>
      </w:pPr>
      <w:r>
        <w:rPr>
          <w:rFonts w:ascii="Lato" w:hAnsi="Lato"/>
          <w:b w:val="0"/>
          <w:color w:val="62716E"/>
          <w:sz w:val="18"/>
        </w:rPr>
        <w:t>Conservar evidencia espacial externa calificada bajo migración y rutas A/B/C. Sustituir o complementar según lo exija la declaración prevista. Recalibrar existencias no crea por sí solo un resultado nuevo del período.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9-2-ES"/>
                <w:tag w:val="sec_09-2-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10" w:name="sec_10"/>
      <w:pPr>
        <w:pStyle w:val="Heading1"/>
        <w:keepNext/>
        <w:pageBreakBefore/>
      </w:pPr>
      <w:r>
        <w:t>10  Otros atributos y adicionalidad continua</w:t>
      </w:r>
      <w:bookmarkEnd w:id="3010"/>
    </w:p>
    <w:p>
      <w:pPr>
        <w:spacing w:after="120"/>
      </w:pPr>
      <w:r>
        <w:rPr>
          <w:rFonts w:ascii="Lato" w:hAnsi="Lato"/>
          <w:b w:val="0"/>
          <w:color w:val="62716E"/>
          <w:sz w:val="16"/>
        </w:rPr>
        <w:t>[1] Referencia: T-10; AO-05; AO-06; AO-08; AO-10; U-01</w:t>
      </w:r>
    </w:p>
    <w:p>
      <w:pPr>
        <w:pStyle w:val="Heading2"/>
        <w:keepNext/>
      </w:pPr>
      <w:r>
        <w:t>Proyecciones de resultados separados</w:t>
      </w:r>
    </w:p>
    <w:p>
      <w:pPr>
        <w:keepNext/>
        <w:spacing w:before="40" w:after="60"/>
      </w:pPr>
      <w:r>
        <w:rPr>
          <w:rFonts w:ascii="Lato" w:hAnsi="Lato"/>
          <w:color w:val="315B50"/>
          <w:sz w:val="18"/>
        </w:rPr>
        <w:t>EXANTE-T17 / Notación del cálculo</w:t>
      </w:r>
    </w:p>
    <w:p>
      <w:pPr>
        <w:keepNext/>
        <w:spacing w:before="40" w:after="60"/>
      </w:pPr>
      <m:oMath>
        <m:r>
          <w:rPr>
            <w:sz w:val="18"/>
          </w:rPr>
          <m:t>Δ</m:t>
        </m:r>
        <m:sSubSup>
          <m:e>
            <m:r>
              <w:rPr>
                <w:sz w:val="18"/>
              </w:rPr>
              <m:t>x</m:t>
            </m:r>
          </m:e>
          <m:sub>
            <m:r>
              <w:rPr>
                <w:sz w:val="18"/>
              </w:rPr>
              <m:t>r</m:t>
            </m:r>
            <m:r>
              <w:rPr>
                <w:sz w:val="18"/>
              </w:rPr>
              <m:rPr>
                <m:sty m:val="p"/>
              </m:rPr>
              <m:t>,</m:t>
            </m:r>
            <m:r>
              <w:rPr>
                <w:sz w:val="18"/>
              </w:rPr>
              <m:t>t</m:t>
            </m:r>
          </m:sub>
          <m:sup>
            <m:r>
              <w:rPr>
                <w:sz w:val="18"/>
              </w:rPr>
              <m:rPr>
                <m:sty m:val="p"/>
              </m:rPr>
              <m:t>a</m:t>
            </m:r>
            <m:r>
              <w:rPr>
                <w:sz w:val="18"/>
              </w:rPr>
              <m:rPr>
                <m:sty m:val="p"/>
              </m:rPr>
              <m:t>d</m:t>
            </m:r>
            <m:r>
              <w:rPr>
                <w:sz w:val="18"/>
              </w:rPr>
              <m:rPr>
                <m:sty m:val="p"/>
              </m:rPr>
              <m:t>d</m:t>
            </m:r>
          </m:sup>
        </m:sSubSup>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0</m:t>
                    </m:r>
                  </m:sub>
                </m:sSub>
              </m:sub>
            </m:sSub>
          </m:e>
        </m:d>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0</m:t>
                    </m:r>
                  </m:sub>
                </m:sSub>
              </m:sub>
            </m:sSub>
          </m:e>
        </m:d>
      </m:oMath>
    </w:p>
    <w:p>
      <w:pPr>
        <w:keepNext/>
        <w:spacing w:before="40" w:after="60"/>
      </w:pPr>
      <w:r>
        <w:rPr>
          <w:rFonts w:ascii="Lato" w:hAnsi="Lato"/>
          <w:color w:val="315B50"/>
          <w:sz w:val="16"/>
        </w:rPr>
        <w:t>r identifica un indicador ambiental o social con unidad u_r propia. Es magnitud candidata de M06.1, no conversión aprobada a carbono o NVEU. Reportar atributos por separado y especificar protocolo y soporte observado.</w:t>
      </w:r>
    </w:p>
    <w:p>
      <w:pPr>
        <w:keepNext/>
        <w:spacing w:before="40" w:after="60"/>
      </w:pPr>
      <w:r>
        <w:rPr>
          <w:rFonts w:ascii="Lato" w:hAnsi="Lato"/>
          <w:color w:val="315B50"/>
          <w:sz w:val="14"/>
        </w:rPr>
        <w:t>Base: M06.1; T-10 | Libro: Cuadro separado de indicadores; Evidence!G</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Atributo / vía causal</w:t>
            </w:r>
          </w:p>
          <w:p>
            <w:pPr>
              <w:spacing w:before="40" w:after="40"/>
            </w:pPr>
            <m:oMath>
              <m:r>
                <w:rPr>
                  <w:sz w:val="16"/>
                  <w:color w:val="173E34"/>
                </w:rPr>
                <m:t>r</m:t>
              </m:r>
              <m:r>
                <w:rPr>
                  <w:sz w:val="16"/>
                  <w:color w:val="173E34"/>
                </w:rPr>
                <m:rPr>
                  <m:sty m:val="p"/>
                </m:rPr>
                <m:t>,</m:t>
              </m:r>
              <m:r>
                <w:rPr>
                  <w:sz w:val="16"/>
                  <w:color w:val="173E34"/>
                </w:rPr>
                <m:t> </m:t>
              </m:r>
              <m:sSub>
                <m:e>
                  <m:r>
                    <w:rPr>
                      <w:sz w:val="16"/>
                      <w:color w:val="173E34"/>
                    </w:rPr>
                    <m:t>t</m:t>
                  </m:r>
                </m:e>
                <m:sub>
                  <m:r>
                    <w:rPr>
                      <w:sz w:val="16"/>
                      <w:color w:val="173E34"/>
                    </w:rPr>
                    <m:t>0</m:t>
                  </m:r>
                </m:sub>
              </m:sSub>
              <m:r>
                <w:rPr>
                  <w:sz w:val="16"/>
                  <w:color w:val="173E34"/>
                </w:rPr>
                <m:rPr>
                  <m:sty m:val="p"/>
                </m:rPr>
                <m:t>,</m:t>
              </m:r>
              <m:r>
                <w:rPr>
                  <w:sz w:val="16"/>
                  <w:color w:val="173E34"/>
                </w:rPr>
                <m:t> </m:t>
              </m:r>
              <m:sSub>
                <m:e>
                  <m:r>
                    <w:rPr>
                      <w:sz w:val="16"/>
                      <w:color w:val="173E34"/>
                    </w:rPr>
                    <m:t>t</m:t>
                  </m:r>
                </m:e>
                <m:sub>
                  <m:r>
                    <w:rPr>
                      <w:sz w:val="16"/>
                      <w:color w:val="173E34"/>
                    </w:rPr>
                    <m:t>1</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Unidad / referencia / cronología prevista</w:t>
            </w:r>
          </w:p>
          <w:p>
            <w:pPr>
              <w:spacing w:before="40" w:after="40"/>
            </w:pPr>
            <m:oMath>
              <m:sSub>
                <m:e>
                  <m:r>
                    <w:rPr>
                      <w:sz w:val="16"/>
                      <w:color w:val="173E34"/>
                    </w:rPr>
                    <m:t>x</m:t>
                  </m:r>
                </m:e>
                <m:sub>
                  <m:r>
                    <w:rPr>
                      <w:sz w:val="16"/>
                      <w:color w:val="173E34"/>
                    </w:rPr>
                    <m:t>r</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t> </m:t>
              </m:r>
              <m:d>
                <m:dPr>
                  <m:begChr m:val="["/>
                  <m:endChr m:val="]"/>
                  <m:sepChr m:val=""/>
                  <m:grow/>
                </m:dPr>
                <m:e>
                  <m:sSub>
                    <m:e>
                      <m:r>
                        <w:rPr>
                          <w:sz w:val="16"/>
                          <w:color w:val="173E34"/>
                        </w:rPr>
                        <m:t>u</m:t>
                      </m:r>
                    </m:e>
                    <m:sub>
                      <m:r>
                        <w:rPr>
                          <w:sz w:val="16"/>
                          <w:color w:val="173E34"/>
                        </w:rPr>
                        <m:t>r</m:t>
                      </m:r>
                    </m:sub>
                  </m:sSub>
                </m:e>
              </m:d>
            </m:oMath>
          </w:p>
        </w:tc>
        <w:tc>
          <w:tcPr>
            <w:tcW w:type="dxa" w:w="3250"/>
            <w:tcMar>
              <w:top w:w="90" w:type="dxa"/>
              <w:bottom w:w="90" w:type="dxa"/>
              <w:left w:w="100" w:type="dxa"/>
              <w:right w:w="100" w:type="dxa"/>
            </w:tcMar>
            <w:vAlign w:val="center"/>
            <w:shd w:fill="E6F0EB"/>
          </w:tcPr>
          <w:p>
            <w:r>
              <w:rPr>
                <w:rFonts w:ascii="Lato" w:hAnsi="Lato"/>
                <w:b/>
                <w:color w:val="173E34"/>
                <w:sz w:val="17"/>
              </w:rPr>
              <w:t>Evidencia, evaluación y límite de declaración</w:t>
            </w:r>
          </w:p>
          <w:p>
            <w:pPr>
              <w:spacing w:before="40" w:after="40"/>
            </w:pPr>
            <m:oMath>
              <m:r>
                <w:rPr>
                  <w:sz w:val="16"/>
                  <w:color w:val="173E34"/>
                </w:rPr>
                <m:t>Δ</m:t>
              </m:r>
              <m:sSubSup>
                <m:e>
                  <m:r>
                    <w:rPr>
                      <w:sz w:val="16"/>
                      <w:color w:val="173E34"/>
                    </w:rPr>
                    <m:t>x</m:t>
                  </m:r>
                </m:e>
                <m:sub>
                  <m:r>
                    <w:rPr>
                      <w:sz w:val="16"/>
                      <w:color w:val="173E34"/>
                    </w:rPr>
                    <m:t>r</m:t>
                  </m:r>
                  <m:r>
                    <w:rPr>
                      <w:sz w:val="16"/>
                      <w:color w:val="173E34"/>
                    </w:rPr>
                    <m:rPr>
                      <m:sty m:val="p"/>
                    </m:rPr>
                    <m:t>,</m:t>
                  </m:r>
                  <m:r>
                    <w:rPr>
                      <w:sz w:val="16"/>
                      <w:color w:val="173E34"/>
                    </w:rPr>
                    <m:t>t</m:t>
                  </m:r>
                </m:sub>
                <m:sup>
                  <m:r>
                    <w:rPr>
                      <w:sz w:val="16"/>
                      <w:color w:val="173E34"/>
                    </w:rPr>
                    <m:rPr>
                      <m:sty m:val="p"/>
                    </m:rPr>
                    <m:t>a</m:t>
                  </m:r>
                  <m:r>
                    <w:rPr>
                      <w:sz w:val="16"/>
                      <w:color w:val="173E34"/>
                    </w:rPr>
                    <m:rPr>
                      <m:sty m:val="p"/>
                    </m:rPr>
                    <m:t>d</m:t>
                  </m:r>
                  <m:r>
                    <w:rPr>
                      <w:sz w:val="16"/>
                      <w:color w:val="173E34"/>
                    </w:rPr>
                    <m:rPr>
                      <m:sty m:val="p"/>
                    </m:rPr>
                    <m:t>d</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10-0-ES-1-1"/>
                <w:tag w:val="sec_10-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1-2"/>
                <w:tag w:val="sec_10-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1-3"/>
                <w:tag w:val="sec_10-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0-0-ES-2-1"/>
                <w:tag w:val="sec_10-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0-0-ES-2-2"/>
                <w:tag w:val="sec_10-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0-0-ES-2-3"/>
                <w:tag w:val="sec_10-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0-0-ES-3-1"/>
                <w:tag w:val="sec_10-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3-2"/>
                <w:tag w:val="sec_10-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0-0-ES-3-3"/>
                <w:tag w:val="sec_10-0-ES-3-3"/>
                <w:text/>
              </w:sdtPr>
              <w:sdtContent>
                <w:r>
                  <w:rPr>
                    <w:rFonts w:ascii="Lato" w:hAnsi="Lato"/>
                    <w:sz w:val="18"/>
                    <w:color w:val="62716E"/>
                  </w:rPr>
                  <w:t>[Completar]</w:t>
                </w:r>
              </w:sdtContent>
            </w:sdt>
          </w:p>
        </w:tc>
      </w:tr>
    </w:tbl>
    <w:p>
      <w:pPr>
        <w:spacing w:after="0"/>
      </w:pPr>
    </w:p>
    <w:p>
      <w:pPr>
        <w:pStyle w:val="Heading2"/>
        <w:keepNext/>
      </w:pPr>
      <w:r>
        <w:t>Plan adaptativo de evidencia</w:t>
      </w:r>
    </w:p>
    <w:p>
      <w:pPr>
        <w:spacing w:after="80"/>
      </w:pPr>
      <w:r>
        <w:rPr>
          <w:rFonts w:ascii="Lato" w:hAnsi="Lato"/>
          <w:b w:val="0"/>
          <w:color w:val="62716E"/>
          <w:sz w:val="18"/>
        </w:rPr>
        <w:t>Vincular actividades con respuestas intermedias observables y resultados ambientales. Identificar iniciativas concurrentes, intervenciones previas, desencadenantes y evidencia para evaluar continuidad. No convertir indicadores sociales o de biodiversidad en cantidades de carbono.</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0-1-ES"/>
                <w:tag w:val="sec_10-1-ES"/>
                <w:text/>
              </w:sdtPr>
              <w:sdtContent>
                <w:r>
                  <w:rPr>
                    <w:rFonts w:ascii="Lato" w:hAnsi="Lato"/>
                    <w:sz w:val="18"/>
                    <w:color w:val="62716E"/>
                  </w:rPr>
                  <w:t>[Registrar respuesta y referencias exactas de evidencia.]</w:t>
                </w:r>
              </w:sdtContent>
            </w:sdt>
          </w:p>
        </w:tc>
      </w:tr>
    </w:tbl>
    <w:p>
      <w:pPr>
        <w:spacing w:after="20" w:before="0" w:line="96" w:lineRule="auto"/>
      </w:pPr>
    </w:p>
    <w:p>
      <w:bookmarkStart w:id="3011" w:name="sec_11"/>
      <w:pPr>
        <w:pStyle w:val="Heading1"/>
        <w:keepNext/>
        <w:pageBreakBefore/>
      </w:pPr>
      <w:r>
        <w:t>11  Revisión, entrega y anexos controlados</w:t>
      </w:r>
      <w:bookmarkEnd w:id="3011"/>
    </w:p>
    <w:p>
      <w:pPr>
        <w:spacing w:after="120"/>
      </w:pPr>
      <w:r>
        <w:rPr>
          <w:rFonts w:ascii="Lato" w:hAnsi="Lato"/>
          <w:b w:val="0"/>
          <w:color w:val="62716E"/>
          <w:sz w:val="16"/>
        </w:rPr>
        <w:t>[1] Referencia: CYC-01; P-01; P-05; S-18; S-22; A-12; FRM-03; FRM-06</w:t>
      </w:r>
    </w:p>
    <w:p>
      <w:pPr>
        <w:pStyle w:val="Heading2"/>
        <w:keepNext/>
      </w:pPr>
      <w:r>
        <w:t>Hallazgos y acción requerida</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Hallazgo / requisito / evidencia</w:t>
            </w:r>
          </w:p>
        </w:tc>
        <w:tc>
          <w:tcPr>
            <w:tcW w:type="dxa" w:w="3250"/>
            <w:shd w:fill="215F52"/>
            <w:tcMar>
              <w:top w:w="90" w:type="dxa"/>
              <w:bottom w:w="90" w:type="dxa"/>
              <w:left w:w="100" w:type="dxa"/>
              <w:right w:w="100" w:type="dxa"/>
            </w:tcMar>
            <w:vAlign w:val="center"/>
          </w:tcPr>
          <w:p>
            <w:r>
              <w:rPr>
                <w:rFonts w:ascii="Lato" w:hAnsi="Lato"/>
                <w:b/>
                <w:color w:val="FFFFFF"/>
                <w:sz w:val="17"/>
              </w:rPr>
              <w:t>Corrección / responsable / fecha</w:t>
            </w:r>
          </w:p>
        </w:tc>
        <w:tc>
          <w:tcPr>
            <w:tcW w:type="dxa" w:w="3250"/>
            <w:shd w:fill="215F52"/>
            <w:tcMar>
              <w:top w:w="90" w:type="dxa"/>
              <w:bottom w:w="90" w:type="dxa"/>
              <w:left w:w="100" w:type="dxa"/>
              <w:right w:w="100" w:type="dxa"/>
            </w:tcMar>
            <w:vAlign w:val="center"/>
          </w:tcPr>
          <w:p>
            <w:r>
              <w:rPr>
                <w:rFonts w:ascii="Lato" w:hAnsi="Lato"/>
                <w:b/>
                <w:color w:val="FFFFFF"/>
                <w:sz w:val="17"/>
              </w:rPr>
              <w:t>Decisión independiente / límite pendiente</w:t>
            </w:r>
          </w:p>
        </w:tc>
      </w:tr>
      <w:tr>
        <w:trPr>
          <w:trHeight w:val="510"/>
        </w:trPr>
        <w:tc>
          <w:tcPr>
            <w:tcW w:type="dxa" w:w="3250"/>
            <w:tcMar>
              <w:top w:w="90" w:type="dxa"/>
              <w:bottom w:w="90" w:type="dxa"/>
              <w:left w:w="100" w:type="dxa"/>
              <w:right w:w="100" w:type="dxa"/>
            </w:tcMar>
            <w:shd w:fill="F1F5F2"/>
          </w:tcPr>
          <w:p>
            <w:pPr>
              <w:spacing w:after="20"/>
            </w:pPr>
            <w:sdt>
              <w:sdtPr>
                <w:alias w:val="sec_11-0-ES-1-1"/>
                <w:tag w:val="sec_11-0-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1-2"/>
                <w:tag w:val="sec_11-0-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1-3"/>
                <w:tag w:val="sec_11-0-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1-0-ES-2-1"/>
                <w:tag w:val="sec_11-0-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1-0-ES-2-2"/>
                <w:tag w:val="sec_11-0-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1-0-ES-2-3"/>
                <w:tag w:val="sec_11-0-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1-0-ES-3-1"/>
                <w:tag w:val="sec_11-0-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3-2"/>
                <w:tag w:val="sec_11-0-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0-ES-3-3"/>
                <w:tag w:val="sec_11-0-ES-3-3"/>
                <w:text/>
              </w:sdtPr>
              <w:sdtContent>
                <w:r>
                  <w:rPr>
                    <w:rFonts w:ascii="Lato" w:hAnsi="Lato"/>
                    <w:sz w:val="18"/>
                    <w:color w:val="62716E"/>
                  </w:rPr>
                  <w:t>[Completar]</w:t>
                </w:r>
              </w:sdtContent>
            </w:sdt>
          </w:p>
        </w:tc>
      </w:tr>
    </w:tbl>
    <w:p>
      <w:pPr>
        <w:spacing w:after="0"/>
      </w:pPr>
    </w:p>
    <w:p>
      <w:pPr>
        <w:pStyle w:val="Heading2"/>
        <w:keepNext/>
      </w:pPr>
      <w:r>
        <w:t>Preparación y entrega</w:t>
      </w:r>
    </w:p>
    <w:p>
      <w:pPr>
        <w:spacing w:after="80"/>
      </w:pPr>
      <w:r>
        <w:rPr>
          <w:rFonts w:ascii="Lato" w:hAnsi="Lato"/>
          <w:b w:val="0"/>
          <w:color w:val="62716E"/>
          <w:sz w:val="18"/>
        </w:rPr>
        <w:t>Adjuntar libro de cálculo fijado, registro de fuentes, escenarios, lista de supuestos, mapas, perfil de parámetros y sensibilidades. Identificar responsable y revisor sin conflicto. Registrar lo que avanza a la siguiente etapa; este informe no autoriza emisión.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1-1-ES"/>
                <w:tag w:val="sec_11-1-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Firmas y alcance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Función / organización</w:t>
            </w:r>
          </w:p>
        </w:tc>
        <w:tc>
          <w:tcPr>
            <w:tcW w:type="dxa" w:w="3250"/>
            <w:shd w:fill="215F52"/>
            <w:tcMar>
              <w:top w:w="90" w:type="dxa"/>
              <w:bottom w:w="90" w:type="dxa"/>
              <w:left w:w="100" w:type="dxa"/>
              <w:right w:w="100" w:type="dxa"/>
            </w:tcMar>
            <w:vAlign w:val="center"/>
          </w:tcPr>
          <w:p>
            <w:r>
              <w:rPr>
                <w:rFonts w:ascii="Lato" w:hAnsi="Lato"/>
                <w:b/>
                <w:color w:val="FFFFFF"/>
                <w:sz w:val="17"/>
              </w:rPr>
              <w:t>Nombre, fecha y firma</w:t>
            </w:r>
          </w:p>
        </w:tc>
        <w:tc>
          <w:tcPr>
            <w:tcW w:type="dxa" w:w="3250"/>
            <w:shd w:fill="215F52"/>
            <w:tcMar>
              <w:top w:w="90" w:type="dxa"/>
              <w:bottom w:w="90" w:type="dxa"/>
              <w:left w:w="100" w:type="dxa"/>
              <w:right w:w="100" w:type="dxa"/>
            </w:tcMar>
            <w:vAlign w:val="center"/>
          </w:tcPr>
          <w:p>
            <w:r>
              <w:rPr>
                <w:rFonts w:ascii="Lato" w:hAnsi="Lato"/>
                <w:b/>
                <w:color w:val="FFFFFF"/>
                <w:sz w:val="17"/>
              </w:rPr>
              <w:t>Alcance / decisión / referencia de evidencia</w:t>
            </w:r>
          </w:p>
        </w:tc>
      </w:tr>
      <w:tr>
        <w:trPr>
          <w:trHeight w:val="510"/>
        </w:trPr>
        <w:tc>
          <w:tcPr>
            <w:tcW w:type="dxa" w:w="3250"/>
            <w:tcMar>
              <w:top w:w="90" w:type="dxa"/>
              <w:bottom w:w="90" w:type="dxa"/>
              <w:left w:w="100" w:type="dxa"/>
              <w:right w:w="100" w:type="dxa"/>
            </w:tcMar>
            <w:shd w:fill="F1F5F2"/>
          </w:tcPr>
          <w:p>
            <w:pPr>
              <w:spacing w:after="20"/>
            </w:pPr>
            <w:sdt>
              <w:sdtPr>
                <w:alias w:val="sec_11-2-ES-1-1"/>
                <w:tag w:val="sec_11-2-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2-ES-1-2"/>
                <w:tag w:val="sec_11-2-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2-ES-1-3"/>
                <w:tag w:val="sec_11-2-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sec_11-2-ES-2-1"/>
                <w:tag w:val="sec_11-2-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1-2-ES-2-2"/>
                <w:tag w:val="sec_11-2-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sec_11-2-ES-2-3"/>
                <w:tag w:val="sec_11-2-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sec_11-2-ES-3-1"/>
                <w:tag w:val="sec_11-2-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2-ES-3-2"/>
                <w:tag w:val="sec_11-2-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sec_11-2-ES-3-3"/>
                <w:tag w:val="sec_11-2-ES-3-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EX-ANTE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ESTIMACIÓN EX ANTE</w:t>
    </w:r>
    <w:r>
      <w:tab/>
    </w:r>
    <w:r>
      <w:rPr>
        <w:rFonts w:ascii="Arial" w:hAnsi="Arial"/>
        <w:b w:val="0"/>
        <w:i w:val="0"/>
        <w:color w:val="62716E"/>
        <w:sz w:val="16"/>
      </w:rPr>
      <w:t>ES   |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ex ante | NEBIOT</dc:title>
  <dc:subject>Reporting template | NEBIOT Standard 0.8.2</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