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PROJECT DOCUMENTATION</w:t>
      </w:r>
    </w:p>
    <w:p>
      <w:pPr>
        <w:jc w:val="center"/>
      </w:pPr>
      <w:r>
        <w:drawing>
          <wp:inline xmlns:a="http://schemas.openxmlformats.org/drawingml/2006/main" xmlns:pic="http://schemas.openxmlformats.org/drawingml/2006/picture">
            <wp:extent cx="5760720" cy="1918365"/>
            <wp:docPr id="1" name="Picture 1" descr="NEBIOT — English"/>
            <wp:cNvGraphicFramePr>
              <a:graphicFrameLocks noChangeAspect="1"/>
            </wp:cNvGraphicFramePr>
            <a:graphic>
              <a:graphicData uri="http://schemas.openxmlformats.org/drawingml/2006/picture">
                <pic:pic>
                  <pic:nvPicPr>
                    <pic:cNvPr id="0" name="NEBIOT-Engl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Program authority: Nuevo Estándar Biotropical — NEBIOT S.A.S.</w:t>
      </w:r>
    </w:p>
    <w:p>
      <w:pPr>
        <w:pStyle w:val="Title"/>
        <w:spacing w:after="160"/>
        <w:pBdr>
          <w:bottom w:val="single" w:sz="8" w:color="A6813D" w:space="5"/>
        </w:pBdr>
      </w:pPr>
      <w:r>
        <w:t>Ex-Post Outcome Report</w:t>
      </w:r>
    </w:p>
    <w:p>
      <w:pPr>
        <w:keepNext w:val="0"/>
        <w:spacing w:after="180" w:line="259" w:lineRule="auto"/>
      </w:pPr>
      <w:r>
        <w:rPr>
          <w:rFonts w:ascii="Arial" w:hAnsi="Arial"/>
          <w:b w:val="0"/>
          <w:i/>
          <w:color w:val="215F52"/>
          <w:sz w:val="21"/>
        </w:rPr>
        <w:t>Monitoring-period account and verification submission</w:t>
      </w:r>
    </w:p>
    <w:p>
      <w:pPr>
        <w:keepNext w:val="0"/>
        <w:spacing w:after="260" w:line="259" w:lineRule="auto"/>
      </w:pPr>
      <w:r>
        <w:rPr>
          <w:rFonts w:ascii="Arial" w:hAnsi="Arial"/>
          <w:b w:val="0"/>
          <w:i w:val="0"/>
          <w:color w:val="62716E"/>
          <w:sz w:val="17"/>
        </w:rPr>
        <w:t>Governing standard: NEBIOT 0.8.2   |   Template edition 1.2</w:t>
      </w:r>
    </w:p>
    <w:p>
      <w:pPr>
        <w:keepNext w:val="0"/>
        <w:spacing w:after="200" w:line="259" w:lineRule="auto"/>
      </w:pPr>
      <w:r>
        <w:rPr>
          <w:rFonts w:ascii="Arial" w:hAnsi="Arial"/>
          <w:b w:val="0"/>
          <w:i/>
          <w:color w:val="215F52"/>
          <w:sz w:val="32"/>
        </w:rPr>
        <w:t>[PROJECT NAME]</w:t>
      </w:r>
    </w:p>
    <w:p>
      <w:pPr>
        <w:spacing w:after="80"/>
      </w:pPr>
      <w:r>
        <w:rPr>
          <w:rFonts w:ascii="Arial" w:hAnsi="Arial"/>
          <w:b/>
          <w:i w:val="0"/>
          <w:color w:val="243A36"/>
          <w:sz w:val="18"/>
        </w:rPr>
        <w:t xml:space="preserve">Project ID: </w:t>
      </w:r>
      <w:r>
        <w:rPr>
          <w:rFonts w:ascii="Arial" w:hAnsi="Arial"/>
          <w:b w:val="0"/>
          <w:i/>
          <w:color w:val="62716E"/>
          <w:sz w:val="18"/>
        </w:rPr>
        <w:t>[Enter]</w:t>
      </w:r>
    </w:p>
    <w:p>
      <w:pPr>
        <w:spacing w:after="80"/>
      </w:pPr>
      <w:r>
        <w:rPr>
          <w:rFonts w:ascii="Arial" w:hAnsi="Arial"/>
          <w:b/>
          <w:i w:val="0"/>
          <w:color w:val="243A36"/>
          <w:sz w:val="18"/>
        </w:rPr>
        <w:t xml:space="preserve">Country / jurisdiction: </w:t>
      </w:r>
      <w:r>
        <w:rPr>
          <w:rFonts w:ascii="Arial" w:hAnsi="Arial"/>
          <w:b w:val="0"/>
          <w:i/>
          <w:color w:val="62716E"/>
          <w:sz w:val="18"/>
        </w:rPr>
        <w:t>[Enter]</w:t>
      </w:r>
    </w:p>
    <w:p>
      <w:pPr>
        <w:spacing w:after="80"/>
      </w:pPr>
      <w:r>
        <w:rPr>
          <w:rFonts w:ascii="Arial" w:hAnsi="Arial"/>
          <w:b/>
          <w:i w:val="0"/>
          <w:color w:val="243A36"/>
          <w:sz w:val="18"/>
        </w:rPr>
        <w:t xml:space="preserve">Project document version: </w:t>
      </w:r>
      <w:r>
        <w:rPr>
          <w:rFonts w:ascii="Arial" w:hAnsi="Arial"/>
          <w:b w:val="0"/>
          <w:i/>
          <w:color w:val="62716E"/>
          <w:sz w:val="18"/>
        </w:rPr>
        <w:t>[Enter]</w:t>
      </w:r>
    </w:p>
    <w:p>
      <w:pPr>
        <w:spacing w:after="80"/>
      </w:pPr>
      <w:r>
        <w:rPr>
          <w:rFonts w:ascii="Arial" w:hAnsi="Arial"/>
          <w:b/>
          <w:i w:val="0"/>
          <w:color w:val="243A36"/>
          <w:sz w:val="18"/>
        </w:rPr>
        <w:t xml:space="preserve">Issue date (YYYY-MM-DD): </w:t>
      </w:r>
      <w:r>
        <w:rPr>
          <w:rFonts w:ascii="Arial" w:hAnsi="Arial"/>
          <w:b w:val="0"/>
          <w:i/>
          <w:color w:val="62716E"/>
          <w:sz w:val="18"/>
        </w:rPr>
        <w:t>[Enter]</w:t>
      </w:r>
    </w:p>
    <w:p>
      <w:pPr>
        <w:keepNext w:val="0"/>
        <w:spacing w:after="100" w:line="259" w:lineRule="auto"/>
      </w:pPr>
      <w:r>
        <w:rPr>
          <w:rFonts w:ascii="Arial" w:hAnsi="Arial"/>
          <w:b w:val="0"/>
          <w:i w:val="0"/>
          <w:color w:val="215F52"/>
          <w:sz w:val="21"/>
        </w:rPr>
        <w:t>Implementing organizations and stakeholders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IMPLEMENTING ENTITY</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PROJECT PROPONENT</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RIGHTS HOLDERS / STAKEHOLDERS</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r>
    </w:tbl>
    <w:p>
      <w:pPr>
        <w:keepNext w:val="0"/>
        <w:spacing w:after="160" w:line="259" w:lineRule="auto"/>
      </w:pPr>
      <w:r>
        <w:rPr>
          <w:rFonts w:ascii="Arial" w:hAnsi="Arial"/>
          <w:b w:val="0"/>
          <w:i w:val="0"/>
          <w:color w:val="62716E"/>
          <w:sz w:val="16"/>
        </w:rPr>
        <w:t>Use authorized logos and identify each organization’s actual role. Logo display does not establish consent, project ownership, endorsement, validation or admission. Remove unused partner spaces from the completed submission.</w:t>
      </w:r>
    </w:p>
    <w:p>
      <w:pPr>
        <w:keepNext w:val="0"/>
        <w:spacing w:after="100" w:line="259" w:lineRule="auto"/>
      </w:pPr>
      <w:r>
        <w:rPr>
          <w:rFonts w:ascii="Arial" w:hAnsi="Arial"/>
          <w:b w:val="0"/>
          <w:i w:val="0"/>
          <w:color w:val="62716E"/>
          <w:sz w:val="15"/>
        </w:rPr>
        <w:t>The English logo wording is a translation, not a separate legal entity.</w:t>
      </w:r>
    </w:p>
    <w:p>
      <w:r>
        <w:br w:type="page"/>
      </w:r>
    </w:p>
    <w:p>
      <w:pPr>
        <w:pStyle w:val="Heading1"/>
        <w:keepNext/>
      </w:pPr>
      <w:r>
        <w:t>License and use of this template</w:t>
      </w:r>
    </w:p>
    <w:p>
      <w:pPr>
        <w:keepNext w:val="0"/>
        <w:spacing w:after="220" w:line="259" w:lineRule="auto"/>
      </w:pPr>
      <w:r>
        <w:rPr>
          <w:rFonts w:ascii="Arial" w:hAnsi="Arial"/>
          <w:b w:val="0"/>
          <w:i w:val="0"/>
          <w:color w:val="243A36"/>
          <w:sz w:val="19"/>
        </w:rPr>
        <w:t>This document is issued by Nuevo Estándar Biotropical—NEBIOT S.A.S. Henry Arellano-Peña is the methodological author of NEB001 and NEB002. Rights in NEBIOT's protected materials remain with their respective rights holders. Commercial use, reproduction, adaptation, redistribution, and sublicensing of protected material are subject to the applicable license or specific written permission from the authorized rights holder; permissions for use within the NEBIOT program shall be recorded in FRM-07 under S-21. Access to this document does not itself grant a commercial license, transfer ownership, authorize sublicensing, confer program admission, or authorize certification or issuance of environmental units. Supporting publications and third-party data, software, and images retain their respective licenses and attribution requirements; existing lawful permissions and uses permitted by applicable law remain unaffected. Authorized independent reviewers shall receive the access necessary for inspection, recalculation, and reporting under S-22, subject to the applicable permissions and confidentiality safeguards.</w:t>
      </w:r>
    </w:p>
    <w:p>
      <w:pPr>
        <w:pStyle w:val="Heading2"/>
        <w:keepNext/>
      </w:pPr>
      <w:r>
        <w:t>Completion instructions</w:t>
      </w:r>
    </w:p>
    <w:p>
      <w:pPr>
        <w:keepNext w:val="0"/>
        <w:spacing w:after="180" w:line="259" w:lineRule="auto"/>
      </w:pPr>
      <w:r>
        <w:rPr>
          <w:rFonts w:ascii="Arial" w:hAnsi="Arial"/>
          <w:b w:val="0"/>
          <w:i w:val="0"/>
          <w:color w:val="243A36"/>
          <w:sz w:val="19"/>
        </w:rPr>
        <w:t>This template organizes the evidence required for its project stage under NEBIOT Standard version 0.8.2. It does not replace the standard, its applicable methods, the approved case profile or the controlled forms. Complete the bracketed fields and expand tables or narrative areas as needed. For an inapplicable item, record a reason and the reviewer’s disposition; do not silently delete it. Identify unknown information as missing, not zero. Keep observations, assumptions, projections, verified outcomes and authorized NVEUs distinct. Requirements are assessed at the stage to which they apply; later-stage fields do not imply earlier completion.</w:t>
      </w:r>
    </w:p>
    <w:p>
      <w:pPr>
        <w:pStyle w:val="Heading2"/>
        <w:keepNext/>
      </w:pPr>
      <w:r>
        <w:t>Reference and scope</w:t>
      </w:r>
    </w:p>
    <w:p>
      <w:pPr>
        <w:keepNext w:val="0"/>
        <w:spacing w:after="200" w:line="259" w:lineRule="auto"/>
      </w:pPr>
      <w:r>
        <w:rPr>
          <w:rFonts w:ascii="Arial" w:hAnsi="Arial"/>
          <w:b w:val="0"/>
          <w:i w:val="0"/>
          <w:color w:val="243A36"/>
          <w:sz w:val="17"/>
        </w:rPr>
        <w:t>[1] NEBIOT. NEBIOT Standard, controlled version 0.8.2. NEB-DOC-000, integrated edition. Principal dependencies: NEB-CYC-001; NEB-STD-001 and Annex A; NEB-MTH-001/002; NEB-UNT-001; NEB-PRO-001; NEB-MIG-001; NEB-AUD-001; and NEB-FRM-001. All clause, equation, AP and FRM references in this template refer to that version. They are external normative dependencies, not missing sections of this template.</w:t>
      </w:r>
    </w:p>
    <w:p>
      <w:pPr>
        <w:keepNext w:val="0"/>
        <w:spacing w:after="140" w:line="259" w:lineRule="auto"/>
      </w:pPr>
      <w:r>
        <w:rPr>
          <w:rFonts w:ascii="Arial" w:hAnsi="Arial"/>
          <w:b w:val="0"/>
          <w:i w:val="0"/>
          <w:color w:val="243A36"/>
          <w:sz w:val="18"/>
        </w:rPr>
        <w:t>NIP retains the source name Nota de Idea de proyecto; “Project Idea Note” is an explanatory English rendering. PD means Ex-Post Outcome Report.</w:t>
      </w:r>
    </w:p>
    <w:p>
      <w:pPr>
        <w:keepNext w:val="0"/>
        <w:spacing w:after="0" w:line="259" w:lineRule="auto"/>
      </w:pPr>
      <w:r>
        <w:rPr>
          <w:rFonts w:ascii="Arial" w:hAnsi="Arial"/>
          <w:b w:val="0"/>
          <w:i w:val="0"/>
          <w:color w:val="243A36"/>
          <w:sz w:val="18"/>
        </w:rPr>
        <w:t>NEBIOT provides the contracted technical assessment, design and monitoring services. The named proponent and implementing entity retain project execution responsibilities under S-25; exceptional NEBIOT interests follow S-26.</w:t>
      </w:r>
    </w:p>
    <w:p>
      <w:r>
        <w:br w:type="page"/>
      </w:r>
    </w:p>
    <w:p>
      <w:pPr>
        <w:pStyle w:val="Heading1"/>
        <w:keepNext/>
      </w:pPr>
      <w:r>
        <w:t>Document control and contents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6824"/>
      </w:tblGrid>
      <w:tr>
        <w:trPr>
          <w:trHeight w:val="374"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Control</w:t>
            </w:r>
          </w:p>
        </w:tc>
        <w:tc>
          <w:tcPr>
            <w:tcW w:type="dxa" w:w="682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Record</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Template</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EX-POST / 1.2 / EN</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Standard basis</w:t>
            </w:r>
          </w:p>
        </w:tc>
        <w:tc>
          <w:tcPr>
            <w:tcW w:type="dxa" w:w="6824"/>
            <w:vAlign w:val="center"/>
            <w:tcMar>
              <w:top w:w="70" w:type="dxa"/>
              <w:start w:w="85" w:type="dxa"/>
              <w:bottom w:w="70" w:type="dxa"/>
              <w:end w:w="85" w:type="dxa"/>
            </w:tcMar>
          </w:tcPr>
          <w:p>
            <w:pPr>
              <w:spacing w:after="0" w:line="250" w:lineRule="auto"/>
            </w:pPr>
            <w:r>
              <w:rPr>
                <w:rFonts w:ascii="Arial" w:hAnsi="Arial"/>
                <w:b w:val="0"/>
                <w:i w:val="0"/>
                <w:color w:val="243A36"/>
                <w:sz w:val="16"/>
              </w:rPr>
              <w:t>NEBIOT 0.8.2 / P-02</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Preparer / reviewer</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Distribution / restrictions</w:t>
            </w:r>
          </w:p>
        </w:tc>
        <w:tc>
          <w:tcPr>
            <w:tcW w:type="dxa" w:w="682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852"/>
        <w:gridCol w:w="2242"/>
        <w:gridCol w:w="5654"/>
      </w:tblGrid>
      <w:tr>
        <w:trPr>
          <w:trHeight w:val="360" w:hRule="atLeast"/>
          <w:tblHeader/>
        </w:trPr>
        <w:tc>
          <w:tcPr>
            <w:tcW w:type="dxa" w:w="185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Version</w:t>
            </w:r>
          </w:p>
        </w:tc>
        <w:tc>
          <w:tcPr>
            <w:tcW w:type="dxa" w:w="224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Date</w:t>
            </w:r>
          </w:p>
        </w:tc>
        <w:tc>
          <w:tcPr>
            <w:tcW w:type="dxa" w:w="565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Change and authority</w:t>
            </w:r>
          </w:p>
        </w:tc>
      </w:tr>
      <w:tr>
        <w:trPr>
          <w:trHeight w:val="360" w:hRule="atLeast"/>
        </w:trPr>
        <w:tc>
          <w:tcPr>
            <w:tcW w:type="dxa" w:w="185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224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565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r>
    </w:tbl>
    <w:p>
      <w:pPr>
        <w:keepNext w:val="0"/>
        <w:spacing w:after="60" w:line="259" w:lineRule="auto"/>
      </w:pPr>
      <w:r>
        <w:rPr>
          <w:rFonts w:ascii="Arial" w:hAnsi="Arial"/>
          <w:b w:val="0"/>
          <w:i w:val="0"/>
          <w:color w:val="243A36"/>
          <w:sz w:val="2"/>
        </w:rPr>
      </w:r>
    </w:p>
    <w:p>
      <w:pPr>
        <w:keepNext w:val="0"/>
        <w:spacing w:after="100" w:line="259" w:lineRule="auto"/>
      </w:pPr>
      <w:r>
        <w:rPr>
          <w:rFonts w:ascii="Arial" w:hAnsi="Arial"/>
          <w:b/>
          <w:i w:val="0"/>
          <w:color w:val="215F52"/>
          <w:sz w:val="22"/>
        </w:rPr>
        <w:t>Contents</w:t>
      </w:r>
    </w:p>
    <w:p>
      <w:pPr>
        <w:spacing w:after="60"/>
      </w:pPr>
      <w:hyperlink w:anchor="sec_01">
        <w:r>
          <w:rPr>
            <w:color w:val="215F52"/>
          </w:rPr>
          <w:t>01  Period, evidence cut-off and assessment status</w:t>
        </w:r>
      </w:hyperlink>
    </w:p>
    <w:p>
      <w:pPr>
        <w:spacing w:after="60"/>
      </w:pPr>
      <w:hyperlink w:anchor="sec_02">
        <w:r>
          <w:rPr>
            <w:color w:val="215F52"/>
          </w:rPr>
          <w:t>02  Monitoring implementation and spatial observations</w:t>
        </w:r>
      </w:hyperlink>
    </w:p>
    <w:p>
      <w:pPr>
        <w:spacing w:after="60"/>
      </w:pPr>
      <w:hyperlink w:anchor="sec_03">
        <w:r>
          <w:rPr>
            <w:color w:val="215F52"/>
          </w:rPr>
          <w:t>03  Counterfactual retained for the monitored interval</w:t>
        </w:r>
      </w:hyperlink>
    </w:p>
    <w:p>
      <w:pPr>
        <w:spacing w:after="60"/>
      </w:pPr>
      <w:hyperlink w:anchor="sec_04">
        <w:r>
          <w:rPr>
            <w:color w:val="215F52"/>
          </w:rPr>
          <w:t>04  Actual project account and implementation emissions</w:t>
        </w:r>
      </w:hyperlink>
    </w:p>
    <w:p>
      <w:pPr>
        <w:spacing w:after="60"/>
      </w:pPr>
      <w:hyperlink w:anchor="sec_05">
        <w:r>
          <w:rPr>
            <w:color w:val="215F52"/>
          </w:rPr>
          <w:t>05  Observed offsite activity and attributable leakage</w:t>
        </w:r>
      </w:hyperlink>
    </w:p>
    <w:p>
      <w:pPr>
        <w:spacing w:after="60"/>
      </w:pPr>
      <w:hyperlink w:anchor="sec_06">
        <w:r>
          <w:rPr>
            <w:color w:val="215F52"/>
          </w:rPr>
          <w:t>06  Pool transfers, delayed release and physical units</w:t>
        </w:r>
      </w:hyperlink>
    </w:p>
    <w:p>
      <w:pPr>
        <w:spacing w:after="60"/>
      </w:pPr>
      <w:hyperlink w:anchor="sec_07">
        <w:r>
          <w:rPr>
            <w:color w:val="215F52"/>
          </w:rPr>
          <w:t>07  Signed period account and conservative quantity</w:t>
        </w:r>
      </w:hyperlink>
    </w:p>
    <w:p>
      <w:pPr>
        <w:spacing w:after="60"/>
      </w:pPr>
      <w:hyperlink w:anchor="sec_08">
        <w:r>
          <w:rPr>
            <w:color w:val="215F52"/>
          </w:rPr>
          <w:t>08  Liabilities, reserve and conditional NVEU request</w:t>
        </w:r>
      </w:hyperlink>
    </w:p>
    <w:p>
      <w:pPr>
        <w:spacing w:after="60"/>
      </w:pPr>
      <w:hyperlink w:anchor="sec_09">
        <w:r>
          <w:rPr>
            <w:color w:val="215F52"/>
          </w:rPr>
          <w:t>09  Ex-ante to ex-post comparison</w:t>
        </w:r>
      </w:hyperlink>
    </w:p>
    <w:p>
      <w:pPr>
        <w:spacing w:after="60"/>
      </w:pPr>
      <w:hyperlink w:anchor="sec_10">
        <w:r>
          <w:rPr>
            <w:color w:val="215F52"/>
          </w:rPr>
          <w:t>10  Continuing additionality, safeguards and separate outcomes</w:t>
        </w:r>
      </w:hyperlink>
    </w:p>
    <w:p>
      <w:pPr>
        <w:spacing w:after="60"/>
      </w:pPr>
      <w:hyperlink w:anchor="sec_11">
        <w:r>
          <w:rPr>
            <w:color w:val="215F52"/>
          </w:rPr>
          <w:t>11  Migration, prior claims and evidence continuity</w:t>
        </w:r>
      </w:hyperlink>
    </w:p>
    <w:p>
      <w:pPr>
        <w:spacing w:after="60"/>
      </w:pPr>
      <w:hyperlink w:anchor="sec_12">
        <w:r>
          <w:rPr>
            <w:color w:val="215F52"/>
          </w:rPr>
          <w:t>12  Evidence index, independent review and decision</w:t>
        </w:r>
      </w:hyperlink>
    </w:p>
    <w:p>
      <w:pPr>
        <w:spacing w:after="80"/>
      </w:pPr>
      <w:hyperlink w:anchor="calc_register" w:history="1">
        <w:r>
          <w:rPr>
            <w:color w:val="215F52"/>
          </w:rPr>
          <w:t>CALC  Calculation traceability and notation</w:t>
        </w:r>
      </w:hyperlink>
    </w:p>
    <w:p>
      <w:bookmarkStart w:id="3001" w:name="sec_01"/>
      <w:pPr>
        <w:pStyle w:val="Heading1"/>
        <w:keepNext/>
        <w:pageBreakBefore/>
      </w:pPr>
      <w:r>
        <w:t>01  Period, evidence cut-off and assessment status</w:t>
      </w:r>
      <w:bookmarkEnd w:id="3001"/>
    </w:p>
    <w:p>
      <w:pPr>
        <w:spacing w:after="120"/>
      </w:pPr>
      <w:r>
        <w:rPr>
          <w:rFonts w:ascii="Lato" w:hAnsi="Lato"/>
          <w:b w:val="0"/>
          <w:color w:val="62716E"/>
          <w:sz w:val="16"/>
        </w:rPr>
        <w:t>[1] Basis: P-01; P-02; CYC-06; S-18; U-01</w:t>
      </w:r>
    </w:p>
    <w:p>
      <w:pPr>
        <w:pStyle w:val="Heading2"/>
        <w:keepNext/>
      </w:pPr>
      <w:r>
        <w:t>Exact account identity</w:t>
      </w:r>
    </w:p>
    <w:p>
      <w:pPr>
        <w:spacing w:after="80"/>
      </w:pPr>
      <w:r>
        <w:rPr>
          <w:rFonts w:ascii="Lato" w:hAnsi="Lato"/>
          <w:b w:val="0"/>
          <w:color w:val="62716E"/>
          <w:sz w:val="18"/>
        </w:rPr>
        <w:t>Identify the monitoring interval, project and boundary versions, data cut-off, previous report and applicable methods. Distinguish observed inputs, modeled conversions, the retained counterfactual, reported quantities, OVV-verified scope and separately authorized results. The report title does not establish verification.</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1-0-EN"/>
                <w:tag w:val="sec_01-0-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Status and period record</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Record / scope</w:t>
            </w:r>
          </w:p>
        </w:tc>
        <w:tc>
          <w:tcPr>
            <w:tcW w:type="dxa" w:w="3250"/>
            <w:shd w:fill="215F52"/>
            <w:tcMar>
              <w:top w:w="90" w:type="dxa"/>
              <w:bottom w:w="90" w:type="dxa"/>
              <w:left w:w="100" w:type="dxa"/>
              <w:right w:w="100" w:type="dxa"/>
            </w:tcMar>
            <w:vAlign w:val="center"/>
          </w:tcPr>
          <w:p>
            <w:r>
              <w:rPr>
                <w:rFonts w:ascii="Lato" w:hAnsi="Lato"/>
                <w:b/>
                <w:color w:val="FFFFFF"/>
                <w:sz w:val="17"/>
              </w:rPr>
              <w:t>Start, end and evidence cut-off</w:t>
            </w:r>
          </w:p>
        </w:tc>
        <w:tc>
          <w:tcPr>
            <w:tcW w:type="dxa" w:w="3250"/>
            <w:shd w:fill="215F52"/>
            <w:tcMar>
              <w:top w:w="90" w:type="dxa"/>
              <w:bottom w:w="90" w:type="dxa"/>
              <w:left w:w="100" w:type="dxa"/>
              <w:right w:w="100" w:type="dxa"/>
            </w:tcMar>
            <w:vAlign w:val="center"/>
          </w:tcPr>
          <w:p>
            <w:r>
              <w:rPr>
                <w:rFonts w:ascii="Lato" w:hAnsi="Lato"/>
                <w:b/>
                <w:color w:val="FFFFFF"/>
                <w:sz w:val="17"/>
              </w:rPr>
              <w:t>Submitted, assessed or authorized status</w:t>
            </w:r>
          </w:p>
        </w:tc>
      </w:tr>
      <w:tr>
        <w:trPr>
          <w:trHeight w:val="510"/>
        </w:trPr>
        <w:tc>
          <w:tcPr>
            <w:tcW w:type="dxa" w:w="3250"/>
            <w:tcMar>
              <w:top w:w="90" w:type="dxa"/>
              <w:bottom w:w="90" w:type="dxa"/>
              <w:left w:w="100" w:type="dxa"/>
              <w:right w:w="100" w:type="dxa"/>
            </w:tcMar>
            <w:shd w:fill="F1F5F2"/>
          </w:tcPr>
          <w:p>
            <w:pPr>
              <w:spacing w:after="20"/>
            </w:pPr>
            <w:sdt>
              <w:sdtPr>
                <w:alias w:val="sec_01-1-EN-1-1"/>
                <w:tag w:val="sec_01-1-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1-EN-1-2"/>
                <w:tag w:val="sec_01-1-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1-EN-1-3"/>
                <w:tag w:val="sec_01-1-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1-1-EN-2-1"/>
                <w:tag w:val="sec_01-1-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1-1-EN-2-2"/>
                <w:tag w:val="sec_01-1-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1-1-EN-2-3"/>
                <w:tag w:val="sec_01-1-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1-1-EN-3-1"/>
                <w:tag w:val="sec_01-1-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1-EN-3-2"/>
                <w:tag w:val="sec_01-1-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1-1-EN-3-3"/>
                <w:tag w:val="sec_01-1-EN-3-3"/>
                <w:text/>
              </w:sdtPr>
              <w:sdtContent>
                <w:r>
                  <w:rPr>
                    <w:rFonts w:ascii="Lato" w:hAnsi="Lato"/>
                    <w:sz w:val="18"/>
                    <w:color w:val="62716E"/>
                  </w:rPr>
                  <w:t>[Complete]</w:t>
                </w:r>
              </w:sdtContent>
            </w:sdt>
          </w:p>
        </w:tc>
      </w:tr>
    </w:tbl>
    <w:p>
      <w:pPr>
        <w:spacing w:after="0"/>
      </w:pPr>
    </w:p>
    <w:p>
      <w:pPr>
        <w:pStyle w:val="Heading2"/>
        <w:keepNext/>
      </w:pPr>
      <w:r>
        <w:t>Period continuity</w:t>
      </w:r>
    </w:p>
    <w:p>
      <w:pPr>
        <w:spacing w:after="80"/>
      </w:pPr>
      <w:r>
        <w:rPr>
          <w:rFonts w:ascii="Lato" w:hAnsi="Lato"/>
          <w:b w:val="0"/>
          <w:color w:val="62716E"/>
          <w:sz w:val="18"/>
        </w:rPr>
        <w:t>Show included intervals, excluded intervals and any overlap with earlier reporting. Preserve negative results and unresolved obligations. A new workbook or a migration date does not restart project age or erase earlier claims.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1-2-EN"/>
                <w:tag w:val="sec_01-2-EN"/>
                <w:text/>
              </w:sdtPr>
              <w:sdtContent>
                <w:r>
                  <w:rPr>
                    <w:rFonts w:ascii="Lato" w:hAnsi="Lato"/>
                    <w:sz w:val="18"/>
                    <w:color w:val="62716E"/>
                  </w:rPr>
                  <w:t>[Enter response and exact evidence references.]</w:t>
                </w:r>
              </w:sdtContent>
            </w:sdt>
          </w:p>
        </w:tc>
      </w:tr>
    </w:tbl>
    <w:p>
      <w:pPr>
        <w:spacing w:after="20" w:before="0" w:line="96" w:lineRule="auto"/>
      </w:pPr>
    </w:p>
    <w:p>
      <w:bookmarkStart w:id="3002" w:name="sec_02"/>
      <w:pPr>
        <w:pStyle w:val="Heading1"/>
        <w:keepNext/>
        <w:pageBreakBefore/>
      </w:pPr>
      <w:r>
        <w:t>02  Monitoring implementation and spatial observations</w:t>
      </w:r>
      <w:bookmarkEnd w:id="3002"/>
    </w:p>
    <w:p>
      <w:pPr>
        <w:spacing w:after="120"/>
      </w:pPr>
      <w:r>
        <w:rPr>
          <w:rFonts w:ascii="Lato" w:hAnsi="Lato"/>
          <w:b w:val="0"/>
          <w:color w:val="62716E"/>
          <w:sz w:val="16"/>
        </w:rPr>
        <w:t>[1] Basis: P-02; P-03; P-04; T-03; AO-09; MIG-14; FRM-08</w:t>
      </w:r>
    </w:p>
    <w:p>
      <w:pPr>
        <w:pStyle w:val="Heading2"/>
        <w:keepNext/>
      </w:pPr>
      <w:r>
        <w:t>Observation register</w:t>
      </w:r>
    </w:p>
    <w:p>
      <w:pPr>
        <w:keepNext/>
        <w:spacing w:before="40" w:after="60"/>
      </w:pPr>
      <w:r>
        <w:rPr>
          <w:rFonts w:ascii="Lato" w:hAnsi="Lato"/>
          <w:color w:val="315B50"/>
          <w:sz w:val="18"/>
        </w:rPr>
        <w:t>EXPOST-T04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Variable / location / date</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Method, value, unit and source ID</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Quality control, missing data and uncertainty</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2-0-EN-1-1"/>
                <w:tag w:val="sec_02-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0-EN-1-2"/>
                <w:tag w:val="sec_02-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0-EN-1-3"/>
                <w:tag w:val="sec_02-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2-0-EN-2-1"/>
                <w:tag w:val="sec_02-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2-0-EN-2-2"/>
                <w:tag w:val="sec_02-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2-0-EN-2-3"/>
                <w:tag w:val="sec_02-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2-0-EN-3-1"/>
                <w:tag w:val="sec_02-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0-EN-3-2"/>
                <w:tag w:val="sec_02-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0-EN-3-3"/>
                <w:tag w:val="sec_02-0-EN-3-3"/>
                <w:text/>
              </w:sdtPr>
              <w:sdtContent>
                <w:r>
                  <w:rPr>
                    <w:rFonts w:ascii="Lato" w:hAnsi="Lato"/>
                    <w:sz w:val="18"/>
                    <w:color w:val="62716E"/>
                  </w:rPr>
                  <w:t>[Complete]</w:t>
                </w:r>
              </w:sdtContent>
            </w:sdt>
          </w:p>
        </w:tc>
      </w:tr>
    </w:tbl>
    <w:p>
      <w:pPr>
        <w:spacing w:after="0"/>
      </w:pPr>
    </w:p>
    <w:p>
      <w:pPr>
        <w:pStyle w:val="Heading2"/>
        <w:keepNext/>
      </w:pPr>
      <w:r>
        <w:t>Changes and comparability</w:t>
      </w:r>
    </w:p>
    <w:p>
      <w:pPr>
        <w:spacing w:after="80"/>
      </w:pPr>
      <w:r>
        <w:rPr>
          <w:rFonts w:ascii="Lato" w:hAnsi="Lato"/>
          <w:b w:val="0"/>
          <w:color w:val="62716E"/>
          <w:sz w:val="18"/>
        </w:rPr>
        <w:t>Document imagery dates, class definitions, error-adjusted area estimation or the approved alternative, class transitions and field/reference checks. Net class-area differences alone do not identify gross deforestation, degradation or recovery. Keep any allocation of multi-year change separate from observations at their actual dates.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2-1-EN"/>
                <w:tag w:val="sec_02-1-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Deviations from the monitoring plan</w:t>
      </w:r>
    </w:p>
    <w:p>
      <w:pPr>
        <w:keepNext/>
        <w:spacing w:before="40" w:after="60"/>
      </w:pPr>
      <w:r>
        <w:rPr>
          <w:rFonts w:ascii="Lato" w:hAnsi="Lato"/>
          <w:color w:val="315B50"/>
          <w:sz w:val="18"/>
        </w:rPr>
        <w:t>EXPOST-T05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Planned procedure</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Actual implementation and reason</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Effect / remedy / approval</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sec_02-2-EN-1-1"/>
                <w:tag w:val="sec_02-2-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2-EN-1-2"/>
                <w:tag w:val="sec_02-2-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2-EN-1-3"/>
                <w:tag w:val="sec_02-2-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2-2-EN-2-1"/>
                <w:tag w:val="sec_02-2-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2-2-EN-2-2"/>
                <w:tag w:val="sec_02-2-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2-2-EN-2-3"/>
                <w:tag w:val="sec_02-2-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2-2-EN-3-1"/>
                <w:tag w:val="sec_02-2-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2-EN-3-2"/>
                <w:tag w:val="sec_02-2-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2-2-EN-3-3"/>
                <w:tag w:val="sec_02-2-EN-3-3"/>
                <w:text/>
              </w:sdtPr>
              <w:sdtContent>
                <w:r>
                  <w:rPr>
                    <w:rFonts w:ascii="Lato" w:hAnsi="Lato"/>
                    <w:sz w:val="18"/>
                    <w:color w:val="62716E"/>
                  </w:rPr>
                  <w:t>[Complete]</w:t>
                </w:r>
              </w:sdtContent>
            </w:sdt>
          </w:p>
        </w:tc>
      </w:tr>
    </w:tbl>
    <w:p>
      <w:pPr>
        <w:spacing w:after="0"/>
      </w:pPr>
    </w:p>
    <w:p>
      <w:bookmarkStart w:id="3003" w:name="sec_03"/>
      <w:pPr>
        <w:pStyle w:val="Heading1"/>
        <w:keepNext/>
        <w:pageBreakBefore/>
      </w:pPr>
      <w:r>
        <w:t>03  Counterfactual retained for the monitored interval</w:t>
      </w:r>
      <w:bookmarkEnd w:id="3003"/>
    </w:p>
    <w:p>
      <w:pPr>
        <w:spacing w:after="120"/>
      </w:pPr>
      <w:r>
        <w:rPr>
          <w:rFonts w:ascii="Lato" w:hAnsi="Lato"/>
          <w:b w:val="0"/>
          <w:color w:val="62716E"/>
          <w:sz w:val="16"/>
        </w:rPr>
        <w:t>[1] Basis: S-07; S-18; P-13; F-B01; F-B02; MIG-05</w:t>
      </w:r>
    </w:p>
    <w:p>
      <w:pPr>
        <w:pStyle w:val="Heading2"/>
        <w:keepNext/>
      </w:pPr>
      <w:r>
        <w:t>Baseline is not an observation</w:t>
      </w:r>
    </w:p>
    <w:p>
      <w:pPr>
        <w:spacing w:after="80"/>
      </w:pPr>
      <w:r>
        <w:rPr>
          <w:rFonts w:ascii="Lato" w:hAnsi="Lato"/>
          <w:b w:val="0"/>
          <w:color w:val="62716E"/>
          <w:sz w:val="18"/>
        </w:rPr>
        <w:t>State which approved baseline applies to the actual interval and comparable scope. Identify original and restated versions, eligibility caps and reassessment decisions. Observed project data do not convert baseline emissions into measured emissions.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3-0-EN"/>
                <w:tag w:val="sec_03-0-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Period baseline components</w:t>
      </w:r>
    </w:p>
    <w:p>
      <w:pPr>
        <w:keepNext/>
        <w:spacing w:before="40" w:after="60"/>
      </w:pPr>
      <w:r>
        <w:rPr>
          <w:rFonts w:ascii="Lato" w:hAnsi="Lato"/>
          <w:color w:val="315B50"/>
          <w:sz w:val="18"/>
        </w:rPr>
        <w:t>EXPOST-T06 / Calculation notation</w:t>
      </w:r>
    </w:p>
    <w:p>
      <w:pPr>
        <w:keepNext/>
        <w:spacing w:before="40" w:after="60"/>
      </w:pPr>
      <m:oMath>
        <m:sSub>
          <m:e>
            <m:r>
              <w:rPr>
                <w:sz w:val="18"/>
              </w:rPr>
              <m:t>N</m:t>
            </m:r>
          </m:e>
          <m:sub>
            <m:r>
              <w:rPr>
                <w:sz w:val="18"/>
              </w:rPr>
              <m:rPr>
                <m:sty m:val="p"/>
              </m:rPr>
              <m:t>B</m:t>
            </m:r>
            <m:r>
              <w:rPr>
                <w:sz w:val="18"/>
              </w:rPr>
              <m:rPr>
                <m:sty m:val="p"/>
              </m:rPr>
              <m:t>L</m:t>
            </m:r>
            <m:r>
              <w:rPr>
                <w:sz w:val="18"/>
              </w:rPr>
              <m:rPr>
                <m:sty m:val="p"/>
              </m:rPr>
              <m:t>,</m:t>
            </m:r>
            <m:r>
              <w:rPr>
                <w:sz w:val="18"/>
              </w:rPr>
              <m:t>t</m:t>
            </m:r>
          </m:sub>
        </m:sSub>
        <m:r>
          <w:rPr>
            <w:sz w:val="18"/>
          </w:rPr>
          <m:rPr>
            <m:sty m:val="p"/>
          </m:rPr>
          <m:t>=</m:t>
        </m:r>
        <m:nary>
          <m:naryPr>
            <m:chr m:val="∑"/>
            <m:limLoc m:val="undOvr"/>
            <m:subHide m:val="off"/>
            <m:supHide m:val="on"/>
          </m:naryPr>
          <m:sub>
            <m:r>
              <w:rPr>
                <w:sz w:val="18"/>
              </w:rPr>
              <m:rPr>
                <m:sty m:val="p"/>
              </m:rPr>
              <m:t>ℓ</m:t>
            </m:r>
            <m:r>
              <w:rPr>
                <w:sz w:val="18"/>
              </w:rPr>
              <m:rPr>
                <m:sty m:val="p"/>
              </m:rPr>
              <m:t>∈</m:t>
            </m:r>
            <m:sSub>
              <m:e>
                <m:r>
                  <w:rPr>
                    <w:sz w:val="18"/>
                  </w:rPr>
                  <m:rPr>
                    <m:sty m:val="p"/>
                    <m:scr m:val="script"/>
                  </m:rPr>
                  <m:t>I</m:t>
                </m:r>
              </m:e>
              <m:sub>
                <m:r>
                  <w:rPr>
                    <w:sz w:val="18"/>
                  </w:rPr>
                  <m:rPr>
                    <m:sty m:val="p"/>
                  </m:rPr>
                  <m:t>B</m:t>
                </m:r>
                <m:r>
                  <w:rPr>
                    <w:sz w:val="18"/>
                  </w:rPr>
                  <m:rPr>
                    <m:sty m:val="p"/>
                  </m:rPr>
                  <m:t>L</m:t>
                </m:r>
                <m:r>
                  <w:rPr>
                    <w:sz w:val="18"/>
                  </w:rPr>
                  <m:rPr>
                    <m:sty m:val="p"/>
                  </m:rPr>
                  <m:t>,</m:t>
                </m:r>
                <m:r>
                  <w:rPr>
                    <w:sz w:val="18"/>
                  </w:rPr>
                  <m:t>t</m:t>
                </m:r>
              </m:sub>
            </m:sSub>
          </m:sub>
          <m:sup>
            <m:r>
              <w:rPr>
                <w:sz w:val="18"/>
              </w:rPr>
              <m:t>​</m:t>
            </m:r>
          </m:sup>
          <m:e>
            <m:sSub>
              <m:e>
                <m:r>
                  <w:rPr>
                    <w:sz w:val="18"/>
                  </w:rPr>
                  <m:t>q</m:t>
                </m:r>
              </m:e>
              <m:sub>
                <m:r>
                  <w:rPr>
                    <w:sz w:val="18"/>
                  </w:rPr>
                  <m:rPr>
                    <m:sty m:val="p"/>
                  </m:rPr>
                  <m:t>ℓ</m:t>
                </m:r>
                <m:r>
                  <w:rPr>
                    <w:sz w:val="18"/>
                  </w:rPr>
                  <m:rPr>
                    <m:sty m:val="p"/>
                  </m:rPr>
                  <m:t>,</m:t>
                </m:r>
                <m:r>
                  <w:rPr>
                    <w:sz w:val="18"/>
                  </w:rPr>
                  <m:rPr>
                    <m:sty m:val="p"/>
                  </m:rPr>
                  <m:t>B</m:t>
                </m:r>
                <m:r>
                  <w:rPr>
                    <w:sz w:val="18"/>
                  </w:rPr>
                  <m:rPr>
                    <m:sty m:val="p"/>
                  </m:rPr>
                  <m:t>L</m:t>
                </m:r>
                <m:r>
                  <w:rPr>
                    <w:sz w:val="18"/>
                  </w:rPr>
                  <m:rPr>
                    <m:sty m:val="p"/>
                  </m:rPr>
                  <m:t>,</m:t>
                </m:r>
                <m:r>
                  <w:rPr>
                    <w:sz w:val="18"/>
                  </w:rPr>
                  <m:t>t</m:t>
                </m:r>
              </m:sub>
            </m:sSub>
          </m:e>
        </m:nary>
      </m:oMath>
    </w:p>
    <w:p>
      <w:pPr>
        <w:keepNext/>
        <w:spacing w:before="40" w:after="60"/>
      </w:pPr>
      <w:r>
        <w:rPr>
          <w:rFonts w:ascii="Lato" w:hAnsi="Lato"/>
          <w:color w:val="315B50"/>
          <w:sz w:val="16"/>
        </w:rPr>
        <w:t>Baseline inputs belong to the approved counterfactual and matched period. Do not enter a subtotal that already deducts project emissions as N_BL and deduct those emissions again. Define each driver, pool, and gas and keep the original cell expression.</w:t>
      </w:r>
    </w:p>
    <w:p>
      <w:pPr>
        <w:keepNext/>
        <w:spacing w:before="40" w:after="60"/>
      </w:pPr>
      <w:r>
        <w:rPr>
          <w:rFonts w:ascii="Lato" w:hAnsi="Lato"/>
          <w:color w:val="315B50"/>
          <w:sz w:val="14"/>
        </w:rPr>
        <w:t>Basis: M04.4; M04.5; P-13 | Workbook: Components!D=BL; ExAnte!F; ExPost!F</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Driver / stratum / pool</w:t>
            </w:r>
          </w:p>
          <w:p>
            <w:pPr>
              <w:spacing w:before="40" w:after="40"/>
            </w:pPr>
            <m:oMath>
              <m:r>
                <w:rPr>
                  <w:sz w:val="16"/>
                  <w:color w:val="173E34"/>
                </w:rPr>
                <m:rPr>
                  <m:sty m:val="p"/>
                </m:rPr>
                <m:t>ℓ</m:t>
              </m:r>
              <m:r>
                <w:rPr>
                  <w:sz w:val="16"/>
                  <w:color w:val="173E34"/>
                </w:rPr>
                <m:rPr>
                  <m:sty m:val="p"/>
                </m:rPr>
                <m:t>,</m:t>
              </m:r>
              <m:r>
                <w:rPr>
                  <w:sz w:val="16"/>
                  <w:color w:val="173E34"/>
                </w:rPr>
                <m:t> </m:t>
              </m:r>
              <m:r>
                <w:rPr>
                  <w:sz w:val="16"/>
                  <w:color w:val="173E34"/>
                </w:rPr>
                <m:t>i</m:t>
              </m:r>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Period quantity and calculation evidence</w:t>
            </w:r>
          </w:p>
          <w:p>
            <w:pPr>
              <w:spacing w:before="40" w:after="40"/>
            </w:pPr>
            <m:oMath>
              <m:sSub>
                <m:e>
                  <m:r>
                    <w:rPr>
                      <w:sz w:val="16"/>
                      <w:color w:val="173E34"/>
                    </w:rPr>
                    <m:t>q</m:t>
                  </m:r>
                </m:e>
                <m:sub>
                  <m:r>
                    <w:rPr>
                      <w:sz w:val="16"/>
                      <w:color w:val="173E34"/>
                    </w:rPr>
                    <m:rPr>
                      <m:sty m:val="p"/>
                    </m:rPr>
                    <m:t>ℓ</m:t>
                  </m:r>
                  <m:r>
                    <w:rPr>
                      <w:sz w:val="16"/>
                      <w:color w:val="173E34"/>
                    </w:rPr>
                    <m:rPr>
                      <m:sty m:val="p"/>
                    </m:rPr>
                    <m:t>,</m:t>
                  </m:r>
                  <m:r>
                    <w:rPr>
                      <w:sz w:val="16"/>
                      <w:color w:val="173E34"/>
                    </w:rPr>
                    <m:rPr>
                      <m:sty m:val="p"/>
                    </m:rPr>
                    <m:t>B</m:t>
                  </m:r>
                  <m:r>
                    <w:rPr>
                      <w:sz w:val="16"/>
                      <w:color w:val="173E34"/>
                    </w:rPr>
                    <m:rPr>
                      <m:sty m:val="p"/>
                    </m:rPr>
                    <m:t>L</m:t>
                  </m:r>
                  <m:r>
                    <w:rPr>
                      <w:sz w:val="16"/>
                      <w:color w:val="173E34"/>
                    </w:rPr>
                    <m:rPr>
                      <m:sty m:val="p"/>
                    </m:rPr>
                    <m:t>,</m:t>
                  </m:r>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Retained or changed / approval reference</w:t>
            </w:r>
          </w:p>
          <w:p>
            <w:pPr>
              <w:spacing w:before="40" w:after="40"/>
            </w:pPr>
            <m:oMath>
              <m:sSub>
                <m:e>
                  <m:r>
                    <w:rPr>
                      <w:sz w:val="16"/>
                      <w:color w:val="173E34"/>
                    </w:rPr>
                    <m:t>N</m:t>
                  </m:r>
                </m:e>
                <m:sub>
                  <m:r>
                    <w:rPr>
                      <w:sz w:val="16"/>
                      <w:color w:val="173E34"/>
                    </w:rPr>
                    <m:rPr>
                      <m:sty m:val="p"/>
                    </m:rPr>
                    <m:t>B</m:t>
                  </m:r>
                  <m:r>
                    <w:rPr>
                      <w:sz w:val="16"/>
                      <w:color w:val="173E34"/>
                    </w:rPr>
                    <m:rPr>
                      <m:sty m:val="p"/>
                    </m:rPr>
                    <m:t>L</m:t>
                  </m:r>
                  <m:r>
                    <w:rPr>
                      <w:sz w:val="16"/>
                      <w:color w:val="173E34"/>
                    </w:rPr>
                    <m:rPr>
                      <m:sty m:val="p"/>
                    </m:rPr>
                    <m:t>,</m:t>
                  </m:r>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3-1-EN-1-1"/>
                <w:tag w:val="sec_03-1-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3-1-EN-1-2"/>
                <w:tag w:val="sec_03-1-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3-1-EN-1-3"/>
                <w:tag w:val="sec_03-1-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3-1-EN-2-1"/>
                <w:tag w:val="sec_03-1-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3-1-EN-2-2"/>
                <w:tag w:val="sec_03-1-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3-1-EN-2-3"/>
                <w:tag w:val="sec_03-1-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3-1-EN-3-1"/>
                <w:tag w:val="sec_03-1-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3-1-EN-3-2"/>
                <w:tag w:val="sec_03-1-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3-1-EN-3-3"/>
                <w:tag w:val="sec_03-1-EN-3-3"/>
                <w:text/>
              </w:sdtPr>
              <w:sdtContent>
                <w:r>
                  <w:rPr>
                    <w:rFonts w:ascii="Lato" w:hAnsi="Lato"/>
                    <w:sz w:val="18"/>
                    <w:color w:val="62716E"/>
                  </w:rPr>
                  <w:t>[Complete]</w:t>
                </w:r>
              </w:sdtContent>
            </w:sdt>
          </w:p>
        </w:tc>
      </w:tr>
    </w:tbl>
    <w:p>
      <w:pPr>
        <w:spacing w:after="0"/>
      </w:pPr>
    </w:p>
    <w:p>
      <w:pPr>
        <w:pStyle w:val="Heading2"/>
        <w:keepNext/>
      </w:pPr>
      <w:r>
        <w:t>Change effects</w:t>
      </w:r>
    </w:p>
    <w:p>
      <w:pPr>
        <w:spacing w:after="80"/>
      </w:pPr>
      <w:r>
        <w:rPr>
          <w:rFonts w:ascii="Lato" w:hAnsi="Lato"/>
          <w:b w:val="0"/>
          <w:color w:val="62716E"/>
          <w:sz w:val="18"/>
        </w:rPr>
        <w:t>Explain effects on baseline, project and leakage consistently. Show the original comparison before presenting a corrected one. Do not selectively raise only the baseline when changing a carbon factor or map.</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3-2-EN"/>
                <w:tag w:val="sec_03-2-EN"/>
                <w:text/>
              </w:sdtPr>
              <w:sdtContent>
                <w:r>
                  <w:rPr>
                    <w:rFonts w:ascii="Lato" w:hAnsi="Lato"/>
                    <w:sz w:val="18"/>
                    <w:color w:val="62716E"/>
                  </w:rPr>
                  <w:t>[Enter response and exact evidence references.]</w:t>
                </w:r>
              </w:sdtContent>
            </w:sdt>
          </w:p>
        </w:tc>
      </w:tr>
    </w:tbl>
    <w:p>
      <w:pPr>
        <w:spacing w:after="20" w:before="0" w:line="96" w:lineRule="auto"/>
      </w:pPr>
    </w:p>
    <w:p>
      <w:bookmarkStart w:id="3004" w:name="sec_04"/>
      <w:pPr>
        <w:pStyle w:val="Heading1"/>
        <w:keepNext/>
        <w:pageBreakBefore/>
      </w:pPr>
      <w:r>
        <w:t>04  Actual project account and implementation emissions</w:t>
      </w:r>
      <w:bookmarkEnd w:id="3004"/>
    </w:p>
    <w:p>
      <w:pPr>
        <w:spacing w:after="120"/>
      </w:pPr>
      <w:r>
        <w:rPr>
          <w:rFonts w:ascii="Lato" w:hAnsi="Lato"/>
          <w:b w:val="0"/>
          <w:color w:val="62716E"/>
          <w:sz w:val="16"/>
        </w:rPr>
        <w:t>[1] Basis: P-02; P-04; F-P02; F-C01; F-C02; T-08; S-25</w:t>
      </w:r>
    </w:p>
    <w:p>
      <w:pPr>
        <w:pStyle w:val="Heading2"/>
        <w:keepNext/>
      </w:pPr>
      <w:r>
        <w:t>Project emissions and removals</w:t>
      </w:r>
    </w:p>
    <w:p>
      <w:pPr>
        <w:keepNext/>
        <w:spacing w:before="40" w:after="60"/>
      </w:pPr>
      <w:r>
        <w:rPr>
          <w:rFonts w:ascii="Lato" w:hAnsi="Lato"/>
          <w:color w:val="315B50"/>
          <w:sz w:val="18"/>
        </w:rPr>
        <w:t>EXPOST-T07 / Calculation notation</w:t>
      </w:r>
    </w:p>
    <w:p>
      <w:pPr>
        <w:keepNext/>
        <w:spacing w:before="40" w:after="60"/>
      </w:pPr>
      <m:oMath>
        <m:sSub>
          <m:e>
            <m:r>
              <w:rPr>
                <w:sz w:val="18"/>
              </w:rPr>
              <m:t>N</m:t>
            </m:r>
          </m:e>
          <m:sub>
            <m:r>
              <w:rPr>
                <w:sz w:val="18"/>
              </w:rPr>
              <m:t>s</m:t>
            </m:r>
            <m:r>
              <w:rPr>
                <w:sz w:val="18"/>
              </w:rPr>
              <m:rPr>
                <m:sty m:val="p"/>
              </m:rPr>
              <m:t>,</m:t>
            </m:r>
            <m:r>
              <w:rPr>
                <w:sz w:val="18"/>
              </w:rPr>
              <m:t>t</m:t>
            </m:r>
          </m:sub>
        </m:sSub>
        <m:r>
          <w:rPr>
            <w:sz w:val="18"/>
          </w:rPr>
          <m:rPr>
            <m:sty m:val="p"/>
          </m:rPr>
          <m:t>=</m:t>
        </m:r>
        <m:sSub>
          <m:e>
            <m:r>
              <w:rPr>
                <w:sz w:val="18"/>
              </w:rPr>
              <m:t>E</m:t>
            </m:r>
          </m:e>
          <m:sub>
            <m:r>
              <w:rPr>
                <w:sz w:val="18"/>
              </w:rPr>
              <m:rPr>
                <m:sty m:val="p"/>
              </m:rPr>
              <m:t>C</m:t>
            </m:r>
            <m:sSub>
              <m:e>
                <m:r>
                  <w:rPr>
                    <w:sz w:val="18"/>
                  </w:rPr>
                  <m:rPr>
                    <m:sty m:val="p"/>
                  </m:rPr>
                  <m:t>O</m:t>
                </m:r>
              </m:e>
              <m:sub>
                <m:r>
                  <w:rPr>
                    <w:sz w:val="18"/>
                  </w:rPr>
                  <m:rPr>
                    <m:sty m:val="p"/>
                  </m:rPr>
                  <m:t>2</m:t>
                </m:r>
              </m:sub>
            </m:sSub>
            <m:r>
              <w:rPr>
                <w:sz w:val="18"/>
              </w:rPr>
              <m:rPr>
                <m:sty m:val="p"/>
              </m:rPr>
              <m:t>,</m:t>
            </m:r>
            <m:r>
              <w:rPr>
                <w:sz w:val="18"/>
              </w:rPr>
              <m:t>s</m:t>
            </m:r>
            <m:r>
              <w:rPr>
                <w:sz w:val="18"/>
              </w:rPr>
              <m:rPr>
                <m:sty m:val="p"/>
              </m:rPr>
              <m:t>,</m:t>
            </m:r>
            <m:r>
              <w:rPr>
                <w:sz w:val="18"/>
              </w:rPr>
              <m:t>t</m:t>
            </m:r>
          </m:sub>
        </m:sSub>
        <m:r>
          <w:rPr>
            <w:sz w:val="18"/>
          </w:rPr>
          <m:rPr>
            <m:sty m:val="p"/>
          </m:rPr>
          <m:t>−</m:t>
        </m:r>
        <m:sSub>
          <m:e>
            <m:r>
              <w:rPr>
                <w:sz w:val="18"/>
              </w:rPr>
              <m:t>R</m:t>
            </m:r>
          </m:e>
          <m:sub>
            <m:r>
              <w:rPr>
                <w:sz w:val="18"/>
              </w:rPr>
              <m:rPr>
                <m:sty m:val="p"/>
              </m:rPr>
              <m:t>C</m:t>
            </m:r>
            <m:sSub>
              <m:e>
                <m:r>
                  <w:rPr>
                    <w:sz w:val="18"/>
                  </w:rPr>
                  <m:rPr>
                    <m:sty m:val="p"/>
                  </m:rPr>
                  <m:t>O</m:t>
                </m:r>
              </m:e>
              <m:sub>
                <m:r>
                  <w:rPr>
                    <w:sz w:val="18"/>
                  </w:rPr>
                  <m:rPr>
                    <m:sty m:val="p"/>
                  </m:rPr>
                  <m:t>2</m:t>
                </m:r>
              </m:sub>
            </m:sSub>
            <m:r>
              <w:rPr>
                <w:sz w:val="18"/>
              </w:rPr>
              <m:rPr>
                <m:sty m:val="p"/>
              </m:rPr>
              <m:t>,</m:t>
            </m:r>
            <m:r>
              <w:rPr>
                <w:sz w:val="18"/>
              </w:rPr>
              <m:t>s</m:t>
            </m:r>
            <m:r>
              <w:rPr>
                <w:sz w:val="18"/>
              </w:rPr>
              <m:rPr>
                <m:sty m:val="p"/>
              </m:rPr>
              <m:t>,</m:t>
            </m:r>
            <m:r>
              <w:rPr>
                <w:sz w:val="18"/>
              </w:rPr>
              <m:t>t</m:t>
            </m:r>
          </m:sub>
        </m:sSub>
        <m:r>
          <w:rPr>
            <w:sz w:val="18"/>
          </w:rPr>
          <m:rPr>
            <m:sty m:val="p"/>
          </m:rPr>
          <m:t>+</m:t>
        </m:r>
        <m:nary>
          <m:naryPr>
            <m:chr m:val="∑"/>
            <m:limLoc m:val="undOvr"/>
            <m:subHide m:val="off"/>
            <m:supHide m:val="on"/>
          </m:naryPr>
          <m:sub>
            <m:r>
              <w:rPr>
                <w:sz w:val="18"/>
              </w:rPr>
              <m:t>g</m:t>
            </m:r>
            <m:r>
              <w:rPr>
                <w:sz w:val="18"/>
              </w:rPr>
              <m:rPr>
                <m:sty m:val="p"/>
              </m:rPr>
              <m:t>≠</m:t>
            </m:r>
            <m:r>
              <w:rPr>
                <w:sz w:val="18"/>
              </w:rPr>
              <m:rPr>
                <m:sty m:val="p"/>
              </m:rPr>
              <m:t>C</m:t>
            </m:r>
            <m:sSub>
              <m:e>
                <m:r>
                  <w:rPr>
                    <w:sz w:val="18"/>
                  </w:rPr>
                  <m:rPr>
                    <m:sty m:val="p"/>
                  </m:rPr>
                  <m:t>O</m:t>
                </m:r>
              </m:e>
              <m:sub>
                <m:r>
                  <w:rPr>
                    <w:sz w:val="18"/>
                  </w:rPr>
                  <m:rPr>
                    <m:sty m:val="p"/>
                  </m:rPr>
                  <m:t>2</m:t>
                </m:r>
              </m:sub>
            </m:sSub>
          </m:sub>
          <m:sup>
            <m:r>
              <w:rPr>
                <w:sz w:val="18"/>
              </w:rPr>
              <m:t>​</m:t>
            </m:r>
          </m:sup>
          <m:e>
            <m:sSub>
              <m:e>
                <m:r>
                  <w:rPr>
                    <w:sz w:val="18"/>
                  </w:rPr>
                  <m:rPr>
                    <m:sty m:val="p"/>
                  </m:rPr>
                  <m:t>G</m:t>
                </m:r>
                <m:r>
                  <w:rPr>
                    <w:sz w:val="18"/>
                  </w:rPr>
                  <m:rPr>
                    <m:sty m:val="p"/>
                  </m:rPr>
                  <m:t>W</m:t>
                </m:r>
                <m:r>
                  <w:rPr>
                    <w:sz w:val="18"/>
                  </w:rPr>
                  <m:rPr>
                    <m:sty m:val="p"/>
                  </m:rPr>
                  <m:t>P</m:t>
                </m:r>
              </m:e>
              <m:sub>
                <m:r>
                  <w:rPr>
                    <w:sz w:val="18"/>
                  </w:rPr>
                  <m:t>g</m:t>
                </m:r>
              </m:sub>
            </m:sSub>
          </m:e>
        </m:nary>
        <m:sSub>
          <m:e>
            <m:r>
              <w:rPr>
                <w:sz w:val="18"/>
              </w:rPr>
              <m:t>E</m:t>
            </m:r>
          </m:e>
          <m:sub>
            <m:r>
              <w:rPr>
                <w:sz w:val="18"/>
              </w:rPr>
              <m:t>g</m:t>
            </m:r>
            <m:r>
              <w:rPr>
                <w:sz w:val="18"/>
              </w:rPr>
              <m:rPr>
                <m:sty m:val="p"/>
              </m:rPr>
              <m:t>,</m:t>
            </m:r>
            <m:r>
              <w:rPr>
                <w:sz w:val="18"/>
              </w:rPr>
              <m:t>s</m:t>
            </m:r>
            <m:r>
              <w:rPr>
                <w:sz w:val="18"/>
              </w:rPr>
              <m:rPr>
                <m:sty m:val="p"/>
              </m:rPr>
              <m:t>,</m:t>
            </m:r>
            <m:r>
              <w:rPr>
                <w:sz w:val="18"/>
              </w:rPr>
              <m:t>t</m:t>
            </m:r>
          </m:sub>
        </m:sSub>
      </m:oMath>
    </w:p>
    <w:p>
      <w:pPr>
        <w:keepNext/>
        <w:spacing w:before="40" w:after="60"/>
      </w:pPr>
      <w:r>
        <w:rPr>
          <w:rFonts w:ascii="Lato" w:hAnsi="Lato"/>
          <w:color w:val="315B50"/>
          <w:sz w:val="16"/>
        </w:rPr>
        <w:t>s is BL or PJ; E is emissions and R is CO2 removals. Record gas-specific masses and the adopted characterization source and horizon. Do not characterize an already characterized CO2e quantity again. The workbook imports these qualified component calculations.</w:t>
      </w:r>
    </w:p>
    <w:p>
      <w:pPr>
        <w:keepNext/>
        <w:spacing w:before="40" w:after="60"/>
      </w:pPr>
      <w:r>
        <w:rPr>
          <w:rFonts w:ascii="Lato" w:hAnsi="Lato"/>
          <w:color w:val="315B50"/>
          <w:sz w:val="14"/>
        </w:rPr>
        <w:t>Basis: M04.4; AP-07 | Workbook: Components!F:L; Profile!B17</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Activity / pool / gas</w:t>
            </w:r>
          </w:p>
          <w:p>
            <w:pPr>
              <w:spacing w:before="40" w:after="40"/>
            </w:pPr>
            <m:oMath>
              <m:r>
                <w:rPr>
                  <w:sz w:val="16"/>
                  <w:color w:val="173E34"/>
                </w:rPr>
                <m:t>s</m:t>
              </m:r>
              <m:r>
                <w:rPr>
                  <w:sz w:val="16"/>
                  <w:color w:val="173E34"/>
                </w:rPr>
                <m:rPr>
                  <m:sty m:val="p"/>
                </m:rPr>
                <m:t>,</m:t>
              </m:r>
              <m:r>
                <w:rPr>
                  <w:sz w:val="16"/>
                  <w:color w:val="173E34"/>
                </w:rPr>
                <m:t> </m:t>
              </m:r>
              <m:r>
                <w:rPr>
                  <w:sz w:val="16"/>
                  <w:color w:val="173E34"/>
                </w:rPr>
                <m:t>g</m:t>
              </m:r>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Observed input and modeled conversion</w:t>
            </w:r>
          </w:p>
          <w:p>
            <w:pPr>
              <w:spacing w:before="40" w:after="40"/>
            </w:pPr>
            <m:oMath>
              <m:sSub>
                <m:e>
                  <m:r>
                    <w:rPr>
                      <w:sz w:val="16"/>
                      <w:color w:val="173E34"/>
                    </w:rPr>
                    <m:t>E</m:t>
                  </m:r>
                </m:e>
                <m:sub>
                  <m:r>
                    <w:rPr>
                      <w:sz w:val="16"/>
                      <w:color w:val="173E34"/>
                    </w:rPr>
                    <m:t>g</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R</m:t>
                  </m:r>
                </m:e>
                <m:sub>
                  <m:r>
                    <w:rPr>
                      <w:sz w:val="16"/>
                      <w:color w:val="173E34"/>
                    </w:rPr>
                    <m:rPr>
                      <m:sty m:val="p"/>
                    </m:rPr>
                    <m:t>C</m:t>
                  </m:r>
                  <m:sSub>
                    <m:e>
                      <m:r>
                        <w:rPr>
                          <w:sz w:val="16"/>
                          <w:color w:val="173E34"/>
                        </w:rPr>
                        <m:rPr>
                          <m:sty m:val="p"/>
                        </m:rPr>
                        <m:t>O</m:t>
                      </m:r>
                    </m:e>
                    <m:sub>
                      <m:r>
                        <w:rPr>
                          <w:sz w:val="16"/>
                          <w:color w:val="173E34"/>
                        </w:rPr>
                        <m:rPr>
                          <m:sty m:val="p"/>
                        </m:rPr>
                        <m:t>2</m:t>
                      </m:r>
                    </m:sub>
                  </m:sSub>
                  <m:r>
                    <w:rPr>
                      <w:sz w:val="16"/>
                      <w:color w:val="173E34"/>
                    </w:rPr>
                    <m:rPr>
                      <m:sty m:val="p"/>
                    </m:rPr>
                    <m:t>,</m:t>
                  </m:r>
                  <m:r>
                    <w:rPr>
                      <w:sz w:val="16"/>
                      <w:color w:val="173E34"/>
                    </w:rPr>
                    <m:t>s</m:t>
                  </m:r>
                  <m:r>
                    <w:rPr>
                      <w:sz w:val="16"/>
                      <w:color w:val="173E34"/>
                    </w:rPr>
                    <m:rPr>
                      <m:sty m:val="p"/>
                    </m:rPr>
                    <m:t>,</m:t>
                  </m:r>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Signed period quantity / evidence</w:t>
            </w:r>
          </w:p>
          <w:p>
            <w:pPr>
              <w:spacing w:before="40" w:after="40"/>
            </w:pPr>
            <m:oMath>
              <m:sSub>
                <m:e>
                  <m:r>
                    <w:rPr>
                      <w:sz w:val="16"/>
                      <w:color w:val="173E34"/>
                    </w:rPr>
                    <m:t>N</m:t>
                  </m:r>
                </m:e>
                <m:sub>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rPr>
                      <m:sty m:val="p"/>
                    </m:rPr>
                    <m:t>G</m:t>
                  </m:r>
                  <m:r>
                    <w:rPr>
                      <w:sz w:val="16"/>
                      <w:color w:val="173E34"/>
                    </w:rPr>
                    <m:rPr>
                      <m:sty m:val="p"/>
                    </m:rPr>
                    <m:t>W</m:t>
                  </m:r>
                  <m:r>
                    <w:rPr>
                      <w:sz w:val="16"/>
                      <w:color w:val="173E34"/>
                    </w:rPr>
                    <m:rPr>
                      <m:sty m:val="p"/>
                    </m:rPr>
                    <m:t>P</m:t>
                  </m:r>
                </m:e>
                <m:sub>
                  <m:r>
                    <w:rPr>
                      <w:sz w:val="16"/>
                      <w:color w:val="173E34"/>
                    </w:rPr>
                    <m:t>g</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4-0-EN-1-1"/>
                <w:tag w:val="sec_04-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0-EN-1-2"/>
                <w:tag w:val="sec_04-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0-EN-1-3"/>
                <w:tag w:val="sec_04-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4-0-EN-2-1"/>
                <w:tag w:val="sec_04-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4-0-EN-2-2"/>
                <w:tag w:val="sec_04-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4-0-EN-2-3"/>
                <w:tag w:val="sec_04-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4-0-EN-3-1"/>
                <w:tag w:val="sec_04-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0-EN-3-2"/>
                <w:tag w:val="sec_04-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0-EN-3-3"/>
                <w:tag w:val="sec_04-0-EN-3-3"/>
                <w:text/>
              </w:sdtPr>
              <w:sdtContent>
                <w:r>
                  <w:rPr>
                    <w:rFonts w:ascii="Lato" w:hAnsi="Lato"/>
                    <w:sz w:val="18"/>
                    <w:color w:val="62716E"/>
                  </w:rPr>
                  <w:t>[Complete]</w:t>
                </w:r>
              </w:sdtContent>
            </w:sdt>
          </w:p>
        </w:tc>
      </w:tr>
    </w:tbl>
    <w:p>
      <w:pPr>
        <w:spacing w:after="0"/>
      </w:pPr>
    </w:p>
    <w:p>
      <w:pPr>
        <w:pStyle w:val="Heading2"/>
        <w:keepNext/>
      </w:pPr>
      <w:r>
        <w:t>Substantiated zero and exclusions</w:t>
      </w:r>
    </w:p>
    <w:p>
      <w:pPr>
        <w:spacing w:after="80"/>
      </w:pPr>
      <w:r>
        <w:rPr>
          <w:rFonts w:ascii="Lato" w:hAnsi="Lato"/>
          <w:b w:val="0"/>
          <w:color w:val="62716E"/>
          <w:sz w:val="18"/>
        </w:rPr>
        <w:t>For every zero or excluded source, give monitoring coverage, detection capability, observation evidence and the applicable exclusion or conservative treatment. A blank source, an effectiveness factor multiplied by zero or an absent model result does not by itself demonstrate zero emissions.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4-1-EN"/>
                <w:tag w:val="sec_04-1-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Implementation evidence</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Intervention / executing entity</w:t>
            </w:r>
          </w:p>
        </w:tc>
        <w:tc>
          <w:tcPr>
            <w:tcW w:type="dxa" w:w="3250"/>
            <w:shd w:fill="215F52"/>
            <w:tcMar>
              <w:top w:w="90" w:type="dxa"/>
              <w:bottom w:w="90" w:type="dxa"/>
              <w:left w:w="100" w:type="dxa"/>
              <w:right w:w="100" w:type="dxa"/>
            </w:tcMar>
            <w:vAlign w:val="center"/>
          </w:tcPr>
          <w:p>
            <w:r>
              <w:rPr>
                <w:rFonts w:ascii="Lato" w:hAnsi="Lato"/>
                <w:b/>
                <w:color w:val="FFFFFF"/>
                <w:sz w:val="17"/>
              </w:rPr>
              <w:t>Date, location and evidence</w:t>
            </w:r>
          </w:p>
        </w:tc>
        <w:tc>
          <w:tcPr>
            <w:tcW w:type="dxa" w:w="3250"/>
            <w:shd w:fill="215F52"/>
            <w:tcMar>
              <w:top w:w="90" w:type="dxa"/>
              <w:bottom w:w="90" w:type="dxa"/>
              <w:left w:w="100" w:type="dxa"/>
              <w:right w:w="100" w:type="dxa"/>
            </w:tcMar>
            <w:vAlign w:val="center"/>
          </w:tcPr>
          <w:p>
            <w:r>
              <w:rPr>
                <w:rFonts w:ascii="Lato" w:hAnsi="Lato"/>
                <w:b/>
                <w:color w:val="FFFFFF"/>
                <w:sz w:val="17"/>
              </w:rPr>
              <w:t>Expected response / observed response</w:t>
            </w:r>
          </w:p>
        </w:tc>
      </w:tr>
      <w:tr>
        <w:trPr>
          <w:trHeight w:val="510"/>
        </w:trPr>
        <w:tc>
          <w:tcPr>
            <w:tcW w:type="dxa" w:w="3250"/>
            <w:tcMar>
              <w:top w:w="90" w:type="dxa"/>
              <w:bottom w:w="90" w:type="dxa"/>
              <w:left w:w="100" w:type="dxa"/>
              <w:right w:w="100" w:type="dxa"/>
            </w:tcMar>
            <w:shd w:fill="F1F5F2"/>
          </w:tcPr>
          <w:p>
            <w:pPr>
              <w:spacing w:after="20"/>
            </w:pPr>
            <w:sdt>
              <w:sdtPr>
                <w:alias w:val="sec_04-2-EN-1-1"/>
                <w:tag w:val="sec_04-2-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2-EN-1-2"/>
                <w:tag w:val="sec_04-2-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2-EN-1-3"/>
                <w:tag w:val="sec_04-2-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4-2-EN-2-1"/>
                <w:tag w:val="sec_04-2-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4-2-EN-2-2"/>
                <w:tag w:val="sec_04-2-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4-2-EN-2-3"/>
                <w:tag w:val="sec_04-2-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4-2-EN-3-1"/>
                <w:tag w:val="sec_04-2-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2-EN-3-2"/>
                <w:tag w:val="sec_04-2-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4-2-EN-3-3"/>
                <w:tag w:val="sec_04-2-EN-3-3"/>
                <w:text/>
              </w:sdtPr>
              <w:sdtContent>
                <w:r>
                  <w:rPr>
                    <w:rFonts w:ascii="Lato" w:hAnsi="Lato"/>
                    <w:sz w:val="18"/>
                    <w:color w:val="62716E"/>
                  </w:rPr>
                  <w:t>[Complete]</w:t>
                </w:r>
              </w:sdtContent>
            </w:sdt>
          </w:p>
        </w:tc>
      </w:tr>
    </w:tbl>
    <w:p>
      <w:pPr>
        <w:spacing w:after="0"/>
      </w:pPr>
    </w:p>
    <w:p>
      <w:bookmarkStart w:id="3005" w:name="sec_05"/>
      <w:pPr>
        <w:pStyle w:val="Heading1"/>
        <w:keepNext/>
        <w:pageBreakBefore/>
      </w:pPr>
      <w:r>
        <w:t>05  Observed offsite activity and attributable leakage</w:t>
      </w:r>
      <w:bookmarkEnd w:id="3005"/>
    </w:p>
    <w:p>
      <w:pPr>
        <w:spacing w:after="120"/>
      </w:pPr>
      <w:r>
        <w:rPr>
          <w:rFonts w:ascii="Lato" w:hAnsi="Lato"/>
          <w:b w:val="0"/>
          <w:color w:val="62716E"/>
          <w:sz w:val="16"/>
        </w:rPr>
        <w:t>[1] Basis: S-09; F-L01; P-04; T-08; T-16</w:t>
      </w:r>
    </w:p>
    <w:p>
      <w:pPr>
        <w:pStyle w:val="Heading2"/>
        <w:keepNext/>
      </w:pPr>
      <w:r>
        <w:t>Leakage reconciliation</w:t>
      </w:r>
    </w:p>
    <w:p>
      <w:pPr>
        <w:keepNext/>
        <w:spacing w:before="40" w:after="60"/>
      </w:pPr>
      <w:r>
        <w:rPr>
          <w:rFonts w:ascii="Lato" w:hAnsi="Lato"/>
          <w:color w:val="315B50"/>
          <w:sz w:val="18"/>
        </w:rPr>
        <w:t>EXPOST-T09 / Calculation notation</w:t>
      </w:r>
    </w:p>
    <w:p>
      <w:pPr>
        <w:keepNext/>
        <w:spacing w:before="40" w:after="60"/>
      </w:pPr>
      <m:oMath>
        <m:sSub>
          <m:e>
            <m:acc>
              <m:accPr>
                <m:chr m:val="̂"/>
              </m:accPr>
              <m:e>
                <m:r>
                  <w:rPr>
                    <w:sz w:val="18"/>
                  </w:rPr>
                  <m:t>L</m:t>
                </m:r>
              </m:e>
            </m:acc>
          </m:e>
          <m:sub>
            <m:r>
              <w:rPr>
                <w:sz w:val="18"/>
              </w:rPr>
              <m:t>t</m:t>
            </m:r>
          </m:sub>
        </m:sSub>
        <m:r>
          <w:rPr>
            <w:sz w:val="18"/>
          </w:rPr>
          <m:rPr>
            <m:sty m:val="p"/>
          </m:rPr>
          <m:t>=</m:t>
        </m:r>
        <m:sSub>
          <m:e>
            <m:r>
              <w:rPr>
                <w:sz w:val="18"/>
              </w:rPr>
              <m:t>N</m:t>
            </m:r>
          </m:e>
          <m:sub>
            <m:r>
              <w:rPr>
                <w:sz w:val="18"/>
              </w:rPr>
              <m:rPr>
                <m:sty m:val="p"/>
              </m:rPr>
              <m:t>P</m:t>
            </m:r>
            <m:r>
              <w:rPr>
                <w:sz w:val="18"/>
              </w:rPr>
              <m:rPr>
                <m:sty m:val="p"/>
              </m:rPr>
              <m:t>L</m:t>
            </m:r>
            <m:r>
              <w:rPr>
                <w:sz w:val="18"/>
              </w:rPr>
              <m:rPr>
                <m:sty m:val="p"/>
              </m:rPr>
              <m:t>K</m:t>
            </m:r>
            <m:r>
              <w:rPr>
                <w:sz w:val="18"/>
              </w:rPr>
              <m:rPr>
                <m:sty m:val="p"/>
              </m:rPr>
              <m:t>A</m:t>
            </m:r>
            <m:r>
              <w:rPr>
                <w:sz w:val="18"/>
              </w:rPr>
              <m:rPr>
                <m:sty m:val="p"/>
              </m:rPr>
              <m:t>,</m:t>
            </m:r>
            <m:r>
              <w:rPr>
                <w:sz w:val="18"/>
              </w:rPr>
              <m:rPr>
                <m:sty m:val="p"/>
              </m:rPr>
              <m:t>w</m:t>
            </m:r>
            <m:r>
              <w:rPr>
                <w:sz w:val="18"/>
              </w:rPr>
              <m:rPr>
                <m:sty m:val="p"/>
              </m:rPr>
              <m:t>i</m:t>
            </m:r>
            <m:r>
              <w:rPr>
                <w:sz w:val="18"/>
              </w:rPr>
              <m:rPr>
                <m:sty m:val="p"/>
              </m:rPr>
              <m:t>t</m:t>
            </m:r>
            <m:r>
              <w:rPr>
                <w:sz w:val="18"/>
              </w:rPr>
              <m:rPr>
                <m:sty m:val="p"/>
              </m:rPr>
              <m:t>h</m:t>
            </m:r>
            <m:r>
              <w:rPr>
                <w:sz w:val="18"/>
              </w:rPr>
              <m:rPr>
                <m:sty m:val="p"/>
              </m:rPr>
              <m:t>,</m:t>
            </m:r>
            <m:r>
              <w:rPr>
                <w:sz w:val="18"/>
              </w:rPr>
              <m:t>t</m:t>
            </m:r>
          </m:sub>
        </m:sSub>
        <m:r>
          <w:rPr>
            <w:sz w:val="18"/>
          </w:rPr>
          <m:rPr>
            <m:sty m:val="p"/>
          </m:rPr>
          <m:t>−</m:t>
        </m:r>
        <m:sSub>
          <m:e>
            <m:r>
              <w:rPr>
                <w:sz w:val="18"/>
              </w:rPr>
              <m:t>N</m:t>
            </m:r>
          </m:e>
          <m:sub>
            <m:r>
              <w:rPr>
                <w:sz w:val="18"/>
              </w:rPr>
              <m:rPr>
                <m:sty m:val="p"/>
              </m:rPr>
              <m:t>P</m:t>
            </m:r>
            <m:r>
              <w:rPr>
                <w:sz w:val="18"/>
              </w:rPr>
              <m:rPr>
                <m:sty m:val="p"/>
              </m:rPr>
              <m:t>L</m:t>
            </m:r>
            <m:r>
              <w:rPr>
                <w:sz w:val="18"/>
              </w:rPr>
              <m:rPr>
                <m:sty m:val="p"/>
              </m:rPr>
              <m:t>K</m:t>
            </m:r>
            <m:r>
              <w:rPr>
                <w:sz w:val="18"/>
              </w:rPr>
              <m:rPr>
                <m:sty m:val="p"/>
              </m:rPr>
              <m:t>A</m:t>
            </m:r>
            <m:r>
              <w:rPr>
                <w:sz w:val="18"/>
              </w:rPr>
              <m:rPr>
                <m:sty m:val="p"/>
              </m:rPr>
              <m:t>,</m:t>
            </m:r>
            <m:r>
              <w:rPr>
                <w:sz w:val="18"/>
              </w:rPr>
              <m:rPr>
                <m:sty m:val="p"/>
              </m:rPr>
              <m:t>w</m:t>
            </m:r>
            <m:r>
              <w:rPr>
                <w:sz w:val="18"/>
              </w:rPr>
              <m:rPr>
                <m:sty m:val="p"/>
              </m:rPr>
              <m:t>i</m:t>
            </m:r>
            <m:r>
              <w:rPr>
                <w:sz w:val="18"/>
              </w:rPr>
              <m:rPr>
                <m:sty m:val="p"/>
              </m:rPr>
              <m:t>t</m:t>
            </m:r>
            <m:r>
              <w:rPr>
                <w:sz w:val="18"/>
              </w:rPr>
              <m:rPr>
                <m:sty m:val="p"/>
              </m:rPr>
              <m:t>h</m:t>
            </m:r>
            <m:r>
              <w:rPr>
                <w:sz w:val="18"/>
              </w:rPr>
              <m:rPr>
                <m:sty m:val="p"/>
              </m:rPr>
              <m:t>o</m:t>
            </m:r>
            <m:r>
              <w:rPr>
                <w:sz w:val="18"/>
              </w:rPr>
              <m:rPr>
                <m:sty m:val="p"/>
              </m:rPr>
              <m:t>u</m:t>
            </m:r>
            <m:r>
              <w:rPr>
                <w:sz w:val="18"/>
              </w:rPr>
              <m:rPr>
                <m:sty m:val="p"/>
              </m:rPr>
              <m:t>t</m:t>
            </m:r>
            <m:r>
              <w:rPr>
                <w:sz w:val="18"/>
              </w:rPr>
              <m:rPr>
                <m:sty m:val="p"/>
              </m:rPr>
              <m:t>,</m:t>
            </m:r>
            <m:r>
              <w:rPr>
                <w:sz w:val="18"/>
              </w:rPr>
              <m:t>t</m:t>
            </m:r>
          </m:sub>
        </m:sSub>
      </m:oMath>
    </w:p>
    <w:p>
      <w:pPr>
        <w:keepNext/>
        <w:spacing w:before="40" w:after="60"/>
      </w:pPr>
      <w:r>
        <w:rPr>
          <w:rFonts w:ascii="Lato" w:hAnsi="Lato"/>
          <w:color w:val="315B50"/>
          <w:sz w:val="16"/>
        </w:rPr>
        <w:t>The two accounts have matched geography, activities, gases and intervals. Any source ratio remains an explicit numerator/denominator, not an assumed percentage. A signed diagnostic does not automatically authorize an extra benefit; the applicable attribution profile governs.</w:t>
      </w:r>
    </w:p>
    <w:p>
      <w:pPr>
        <w:keepNext/>
        <w:spacing w:before="40" w:after="60"/>
      </w:pPr>
      <w:r>
        <w:rPr>
          <w:rFonts w:ascii="Lato" w:hAnsi="Lato"/>
          <w:color w:val="315B50"/>
          <w:sz w:val="14"/>
        </w:rPr>
        <w:t>Basis: F-L01; T-08 | Workbook: Components!D=LK; ExAnte!H; ExPost!H</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Receiving area / mechanism</w:t>
            </w:r>
          </w:p>
          <w:p>
            <w:pPr>
              <w:spacing w:before="40" w:after="40"/>
            </w:pPr>
            <m:oMath>
              <m:r>
                <w:rPr>
                  <w:sz w:val="16"/>
                  <w:color w:val="173E34"/>
                </w:rPr>
                <m:t>t</m:t>
              </m:r>
              <m:r>
                <w:rPr>
                  <w:sz w:val="16"/>
                  <w:color w:val="173E34"/>
                </w:rPr>
                <m:rPr>
                  <m:sty m:val="p"/>
                </m:rPr>
                <m:t>,</m:t>
              </m:r>
              <m:r>
                <w:rPr>
                  <w:sz w:val="16"/>
                  <w:color w:val="173E34"/>
                </w:rPr>
                <m:t> </m:t>
              </m:r>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oMath>
          </w:p>
        </w:tc>
        <w:tc>
          <w:tcPr>
            <w:tcW w:type="dxa" w:w="3250"/>
            <w:tcMar>
              <w:top w:w="90" w:type="dxa"/>
              <w:bottom w:w="90" w:type="dxa"/>
              <w:left w:w="100" w:type="dxa"/>
              <w:right w:w="100" w:type="dxa"/>
            </w:tcMar>
            <w:vAlign w:val="center"/>
            <w:shd w:fill="E6F0EB"/>
          </w:tcPr>
          <w:p>
            <w:r>
              <w:rPr>
                <w:rFonts w:ascii="Lato" w:hAnsi="Lato"/>
                <w:b/>
                <w:color w:val="173E34"/>
                <w:sz w:val="17"/>
              </w:rPr>
              <w:t>Observed and without-project activity</w:t>
            </w:r>
          </w:p>
          <w:p>
            <w:pPr>
              <w:spacing w:before="40" w:after="40"/>
            </w:pPr>
            <m:oMath>
              <m:sSub>
                <m:e>
                  <m:r>
                    <w:rPr>
                      <w:sz w:val="16"/>
                      <w:color w:val="173E34"/>
                    </w:rPr>
                    <m:t>N</m:t>
                  </m:r>
                </m:e>
                <m:sub>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r>
                    <w:rPr>
                      <w:sz w:val="16"/>
                      <w:color w:val="173E34"/>
                    </w:rPr>
                    <m:rPr>
                      <m:sty m:val="p"/>
                    </m:rPr>
                    <m:t>,</m:t>
                  </m:r>
                  <m:r>
                    <w:rPr>
                      <w:sz w:val="16"/>
                      <w:color w:val="173E34"/>
                    </w:rPr>
                    <m:rPr>
                      <m:sty m:val="p"/>
                    </m:rPr>
                    <m:t>w</m:t>
                  </m:r>
                  <m:r>
                    <w:rPr>
                      <w:sz w:val="16"/>
                      <w:color w:val="173E34"/>
                    </w:rPr>
                    <m:rPr>
                      <m:sty m:val="p"/>
                    </m:rPr>
                    <m:t>i</m:t>
                  </m:r>
                  <m:r>
                    <w:rPr>
                      <w:sz w:val="16"/>
                      <w:color w:val="173E34"/>
                    </w:rPr>
                    <m:rPr>
                      <m:sty m:val="p"/>
                    </m:rPr>
                    <m:t>t</m:t>
                  </m:r>
                  <m:r>
                    <w:rPr>
                      <w:sz w:val="16"/>
                      <w:color w:val="173E34"/>
                    </w:rPr>
                    <m:rPr>
                      <m:sty m:val="p"/>
                    </m:rPr>
                    <m:t>h</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rPr>
                      <m:sty m:val="p"/>
                    </m:rPr>
                    <m:t>P</m:t>
                  </m:r>
                  <m:r>
                    <w:rPr>
                      <w:sz w:val="16"/>
                      <w:color w:val="173E34"/>
                    </w:rPr>
                    <m:rPr>
                      <m:sty m:val="p"/>
                    </m:rPr>
                    <m:t>L</m:t>
                  </m:r>
                  <m:r>
                    <w:rPr>
                      <w:sz w:val="16"/>
                      <w:color w:val="173E34"/>
                    </w:rPr>
                    <m:rPr>
                      <m:sty m:val="p"/>
                    </m:rPr>
                    <m:t>K</m:t>
                  </m:r>
                  <m:r>
                    <w:rPr>
                      <w:sz w:val="16"/>
                      <w:color w:val="173E34"/>
                    </w:rPr>
                    <m:rPr>
                      <m:sty m:val="p"/>
                    </m:rPr>
                    <m:t>A</m:t>
                  </m:r>
                  <m:r>
                    <w:rPr>
                      <w:sz w:val="16"/>
                      <w:color w:val="173E34"/>
                    </w:rPr>
                    <m:rPr>
                      <m:sty m:val="p"/>
                    </m:rPr>
                    <m:t>,</m:t>
                  </m:r>
                  <m:r>
                    <w:rPr>
                      <w:sz w:val="16"/>
                      <w:color w:val="173E34"/>
                    </w:rPr>
                    <m:rPr>
                      <m:sty m:val="p"/>
                    </m:rPr>
                    <m:t>w</m:t>
                  </m:r>
                  <m:r>
                    <w:rPr>
                      <w:sz w:val="16"/>
                      <w:color w:val="173E34"/>
                    </w:rPr>
                    <m:rPr>
                      <m:sty m:val="p"/>
                    </m:rPr>
                    <m:t>i</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u</m:t>
                  </m:r>
                  <m:r>
                    <w:rPr>
                      <w:sz w:val="16"/>
                      <w:color w:val="173E34"/>
                    </w:rPr>
                    <m:rPr>
                      <m:sty m:val="p"/>
                    </m:rPr>
                    <m:t>t</m:t>
                  </m:r>
                  <m:r>
                    <w:rPr>
                      <w:sz w:val="16"/>
                      <w:color w:val="173E34"/>
                    </w:rPr>
                    <m:rPr>
                      <m:sty m:val="p"/>
                    </m:rPr>
                    <m:t>,</m:t>
                  </m:r>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Attributable difference / model / evidence</w:t>
            </w:r>
          </w:p>
          <w:p>
            <w:pPr>
              <w:spacing w:before="40" w:after="40"/>
            </w:pPr>
            <m:oMath>
              <m:sSub>
                <m:e>
                  <m:acc>
                    <m:accPr>
                      <m:chr m:val="̂"/>
                    </m:accPr>
                    <m:e>
                      <m:r>
                        <w:rPr>
                          <w:sz w:val="16"/>
                          <w:color w:val="173E34"/>
                        </w:rPr>
                        <m:t>L</m:t>
                      </m:r>
                    </m:e>
                  </m:acc>
                </m:e>
                <m:sub>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5-0-EN-1-1"/>
                <w:tag w:val="sec_05-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0-EN-1-2"/>
                <w:tag w:val="sec_05-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0-EN-1-3"/>
                <w:tag w:val="sec_05-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5-0-EN-2-1"/>
                <w:tag w:val="sec_05-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5-0-EN-2-2"/>
                <w:tag w:val="sec_05-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5-0-EN-2-3"/>
                <w:tag w:val="sec_05-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5-0-EN-3-1"/>
                <w:tag w:val="sec_05-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0-EN-3-2"/>
                <w:tag w:val="sec_05-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0-EN-3-3"/>
                <w:tag w:val="sec_05-0-EN-3-3"/>
                <w:text/>
              </w:sdtPr>
              <w:sdtContent>
                <w:r>
                  <w:rPr>
                    <w:rFonts w:ascii="Lato" w:hAnsi="Lato"/>
                    <w:sz w:val="18"/>
                    <w:color w:val="62716E"/>
                  </w:rPr>
                  <w:t>[Complete]</w:t>
                </w:r>
              </w:sdtContent>
            </w:sdt>
          </w:p>
        </w:tc>
      </w:tr>
    </w:tbl>
    <w:p>
      <w:pPr>
        <w:spacing w:after="0"/>
      </w:pPr>
    </w:p>
    <w:p>
      <w:pPr>
        <w:pStyle w:val="Heading2"/>
        <w:keepNext/>
      </w:pPr>
      <w:r>
        <w:t>Consistent exclusions and adjustments</w:t>
      </w:r>
    </w:p>
    <w:p>
      <w:pPr>
        <w:spacing w:after="80"/>
      </w:pPr>
      <w:r>
        <w:rPr>
          <w:rFonts w:ascii="Lato" w:hAnsi="Lato"/>
          <w:b w:val="0"/>
          <w:color w:val="62716E"/>
          <w:sz w:val="18"/>
        </w:rPr>
        <w:t>Distinguish ambient offsite losses from project-induced displacement. Reconcile survey/model adjustments and previously counted components. Explain any change from the forecast and any zeroing of a previously positive component.</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5-1-EN"/>
                <w:tag w:val="sec_05-1-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Remaining uncertainty</w:t>
      </w:r>
    </w:p>
    <w:p>
      <w:pPr>
        <w:keepNext/>
        <w:spacing w:before="40" w:after="60"/>
      </w:pPr>
      <w:r>
        <w:rPr>
          <w:rFonts w:ascii="Lato" w:hAnsi="Lato"/>
          <w:color w:val="315B50"/>
          <w:sz w:val="18"/>
        </w:rPr>
        <w:t>EXPOST-T10 / Calculation notation</w:t>
      </w:r>
    </w:p>
    <w:p>
      <w:pPr>
        <w:keepNext/>
        <w:spacing w:before="40" w:after="60"/>
      </w:pPr>
      <m:oMath>
        <m:sSubSup>
          <m:e>
            <m:r>
              <w:rPr>
                <w:sz w:val="18"/>
              </w:rPr>
              <m:t>u</m:t>
            </m:r>
          </m:e>
          <m:sub>
            <m:r>
              <w:rPr>
                <w:sz w:val="18"/>
              </w:rPr>
              <m:t>Q</m:t>
            </m:r>
          </m:sub>
          <m:sup>
            <m:r>
              <w:rPr>
                <w:sz w:val="18"/>
              </w:rPr>
              <m:t>2</m:t>
            </m:r>
          </m:sup>
        </m:sSubSup>
        <m:r>
          <w:rPr>
            <w:sz w:val="18"/>
          </w:rPr>
          <m:rPr>
            <m:sty m:val="p"/>
          </m:rPr>
          <m:t>=</m:t>
        </m:r>
        <m:sSubSup>
          <m:e>
            <m:r>
              <w:rPr>
                <w:sz w:val="18"/>
              </w:rPr>
              <m:t>u</m:t>
            </m:r>
          </m:e>
          <m:sub>
            <m:r>
              <w:rPr>
                <w:sz w:val="18"/>
              </w:rPr>
              <m:t>B</m:t>
            </m:r>
          </m:sub>
          <m:sup>
            <m:r>
              <w:rPr>
                <w:sz w:val="18"/>
              </w:rPr>
              <m:t>2</m:t>
            </m:r>
          </m:sup>
        </m:sSubSup>
        <m:r>
          <w:rPr>
            <w:sz w:val="18"/>
          </w:rPr>
          <m:rPr>
            <m:sty m:val="p"/>
          </m:rPr>
          <m:t>+</m:t>
        </m:r>
        <m:sSubSup>
          <m:e>
            <m:r>
              <w:rPr>
                <w:sz w:val="18"/>
              </w:rPr>
              <m:t>u</m:t>
            </m:r>
          </m:e>
          <m:sub>
            <m:r>
              <w:rPr>
                <w:sz w:val="18"/>
              </w:rPr>
              <m:t>P</m:t>
            </m:r>
          </m:sub>
          <m:sup>
            <m:r>
              <w:rPr>
                <w:sz w:val="18"/>
              </w:rPr>
              <m:t>2</m:t>
            </m:r>
          </m:sup>
        </m:sSubSup>
        <m:r>
          <w:rPr>
            <w:sz w:val="18"/>
          </w:rPr>
          <m:rPr>
            <m:sty m:val="p"/>
          </m:rPr>
          <m:t>+</m:t>
        </m:r>
        <m:sSubSup>
          <m:e>
            <m:r>
              <w:rPr>
                <w:sz w:val="18"/>
              </w:rPr>
              <m:t>u</m:t>
            </m:r>
          </m:e>
          <m:sub>
            <m:r>
              <w:rPr>
                <w:sz w:val="18"/>
              </w:rPr>
              <m:t>L</m:t>
            </m:r>
          </m:sub>
          <m:sup>
            <m:r>
              <w:rPr>
                <w:sz w:val="18"/>
              </w:rPr>
              <m:t>2</m:t>
            </m:r>
          </m:sup>
        </m:sSubSup>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P</m:t>
            </m:r>
          </m:e>
        </m:d>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L</m:t>
            </m:r>
          </m:e>
        </m:d>
        <m:r>
          <w:rPr>
            <w:sz w:val="18"/>
          </w:rPr>
          <m:rPr>
            <m:sty m:val="p"/>
          </m:rPr>
          <m:t>+</m:t>
        </m:r>
        <m:r>
          <w:rPr>
            <w:sz w:val="18"/>
          </w:rPr>
          <m:t>2</m:t>
        </m:r>
        <m:r>
          <w:rPr>
            <w:sz w:val="18"/>
          </w:rPr>
          <m:rPr>
            <m:sty m:val="p"/>
          </m:rPr>
          <m:t>Cov</m:t>
        </m:r>
        <m:d>
          <m:dPr>
            <m:begChr m:val="("/>
            <m:endChr m:val=")"/>
            <m:sepChr m:val=""/>
            <m:grow/>
          </m:dPr>
          <m:e>
            <m:r>
              <w:rPr>
                <w:sz w:val="18"/>
              </w:rPr>
              <m:t>P</m:t>
            </m:r>
            <m:r>
              <w:rPr>
                <w:sz w:val="18"/>
              </w:rPr>
              <m:rPr>
                <m:sty m:val="p"/>
              </m:rPr>
              <m:t>,</m:t>
            </m:r>
            <m:r>
              <w:rPr>
                <w:sz w:val="18"/>
              </w:rPr>
              <m:t>L</m:t>
            </m:r>
          </m:e>
        </m:d>
      </m:oMath>
    </w:p>
    <w:p>
      <w:pPr>
        <w:keepNext/>
        <w:spacing w:before="40" w:after="60"/>
      </w:pPr>
      <w:r>
        <w:rPr>
          <w:rFonts w:ascii="Lato" w:hAnsi="Lato"/>
          <w:color w:val="315B50"/>
          <w:sz w:val="16"/>
        </w:rPr>
        <w:t>B, P and L in this variance identity denote baseline, project and leakage estimators, not reserve B_t. Standard uncertainties are in t CO2e; variances and covariances are squared units. Retain shared-source dependence and a valid covariance matrix.</w:t>
      </w:r>
    </w:p>
    <w:p>
      <w:pPr>
        <w:keepNext/>
        <w:spacing w:before="40" w:after="60"/>
      </w:pPr>
      <w:r>
        <w:rPr>
          <w:rFonts w:ascii="Lato" w:hAnsi="Lato"/>
          <w:color w:val="315B50"/>
          <w:sz w:val="14"/>
        </w:rPr>
        <w:t>Basis: F-U01; M05.1; M05.2 | Workbook: Qualified uncertainty calculation; ExAnte!J:L; ExPost!J:L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Source / limitation</w:t>
            </w:r>
          </w:p>
          <w:p>
            <w:pPr>
              <w:spacing w:before="40" w:after="40"/>
            </w:pPr>
            <m:oMath>
              <m:r>
                <w:rPr>
                  <w:sz w:val="16"/>
                  <w:color w:val="173E34"/>
                </w:rPr>
                <m:t>B</m:t>
              </m:r>
              <m:r>
                <w:rPr>
                  <w:sz w:val="16"/>
                  <w:color w:val="173E34"/>
                </w:rPr>
                <m:rPr>
                  <m:sty m:val="p"/>
                </m:rPr>
                <m:t>,</m:t>
              </m:r>
              <m:r>
                <w:rPr>
                  <w:sz w:val="16"/>
                  <w:color w:val="173E34"/>
                </w:rPr>
                <m:t> </m:t>
              </m:r>
              <m:r>
                <w:rPr>
                  <w:sz w:val="16"/>
                  <w:color w:val="173E34"/>
                </w:rPr>
                <m:t>P</m:t>
              </m:r>
              <m:r>
                <w:rPr>
                  <w:sz w:val="16"/>
                  <w:color w:val="173E34"/>
                </w:rPr>
                <m:rPr>
                  <m:sty m:val="p"/>
                </m:rPr>
                <m:t>,</m:t>
              </m:r>
              <m:r>
                <w:rPr>
                  <w:sz w:val="16"/>
                  <w:color w:val="173E34"/>
                </w:rPr>
                <m:t> </m:t>
              </m:r>
              <m:r>
                <w:rPr>
                  <w:sz w:val="16"/>
                  <w:color w:val="173E34"/>
                </w:rPr>
                <m:t>L</m:t>
              </m:r>
            </m:oMath>
          </w:p>
        </w:tc>
        <w:tc>
          <w:tcPr>
            <w:tcW w:type="dxa" w:w="3250"/>
            <w:tcMar>
              <w:top w:w="90" w:type="dxa"/>
              <w:bottom w:w="90" w:type="dxa"/>
              <w:left w:w="100" w:type="dxa"/>
              <w:right w:w="100" w:type="dxa"/>
            </w:tcMar>
            <w:vAlign w:val="center"/>
            <w:shd w:fill="E6F0EB"/>
          </w:tcPr>
          <w:p>
            <w:r>
              <w:rPr>
                <w:rFonts w:ascii="Lato" w:hAnsi="Lato"/>
                <w:b/>
                <w:color w:val="173E34"/>
                <w:sz w:val="17"/>
              </w:rPr>
              <w:t>Bound or quantified uncertainty</w:t>
            </w:r>
          </w:p>
          <w:p>
            <w:pPr>
              <w:spacing w:before="40" w:after="40"/>
            </w:pPr>
            <m:oMath>
              <m:sSub>
                <m:e>
                  <m:r>
                    <w:rPr>
                      <w:sz w:val="16"/>
                      <w:color w:val="173E34"/>
                    </w:rPr>
                    <m:t>u</m:t>
                  </m:r>
                </m:e>
                <m:sub>
                  <m:r>
                    <w:rPr>
                      <w:sz w:val="16"/>
                      <w:color w:val="173E34"/>
                    </w:rPr>
                    <m:t>B</m:t>
                  </m:r>
                </m:sub>
              </m:sSub>
              <m:r>
                <w:rPr>
                  <w:sz w:val="16"/>
                  <w:color w:val="173E34"/>
                </w:rPr>
                <m:rPr>
                  <m:sty m:val="p"/>
                </m:rPr>
                <m:t>,</m:t>
              </m:r>
              <m:r>
                <w:rPr>
                  <w:sz w:val="16"/>
                  <w:color w:val="173E34"/>
                </w:rPr>
                <m:t> </m:t>
              </m:r>
              <m:sSub>
                <m:e>
                  <m:r>
                    <w:rPr>
                      <w:sz w:val="16"/>
                      <w:color w:val="173E34"/>
                    </w:rPr>
                    <m:t>u</m:t>
                  </m:r>
                </m:e>
                <m:sub>
                  <m:r>
                    <w:rPr>
                      <w:sz w:val="16"/>
                      <w:color w:val="173E34"/>
                    </w:rPr>
                    <m:t>P</m:t>
                  </m:r>
                </m:sub>
              </m:sSub>
              <m:r>
                <w:rPr>
                  <w:sz w:val="16"/>
                  <w:color w:val="173E34"/>
                </w:rPr>
                <m:rPr>
                  <m:sty m:val="p"/>
                </m:rPr>
                <m:t>,</m:t>
              </m:r>
              <m:r>
                <w:rPr>
                  <w:sz w:val="16"/>
                  <w:color w:val="173E34"/>
                </w:rPr>
                <m:t> </m:t>
              </m:r>
              <m:sSub>
                <m:e>
                  <m:r>
                    <w:rPr>
                      <w:sz w:val="16"/>
                      <w:color w:val="173E34"/>
                    </w:rPr>
                    <m:t>u</m:t>
                  </m:r>
                </m:e>
                <m:sub>
                  <m:r>
                    <w:rPr>
                      <w:sz w:val="16"/>
                      <w:color w:val="173E34"/>
                    </w:rPr>
                    <m:t>L</m:t>
                  </m:r>
                </m:sub>
              </m:sSub>
              <m:r>
                <w:rPr>
                  <w:sz w:val="16"/>
                  <w:color w:val="173E34"/>
                </w:rPr>
                <m:rPr>
                  <m:sty m:val="p"/>
                </m:rPr>
                <m:t>,</m:t>
              </m:r>
              <m:r>
                <w:rPr>
                  <w:sz w:val="16"/>
                  <w:color w:val="173E34"/>
                </w:rPr>
                <m:t> </m:t>
              </m:r>
              <m:r>
                <w:rPr>
                  <w:sz w:val="16"/>
                  <w:color w:val="173E34"/>
                </w:rPr>
                <m:rPr>
                  <m:sty m:val="p"/>
                </m:rPr>
                <m:t>Cov</m:t>
              </m:r>
            </m:oMath>
          </w:p>
        </w:tc>
        <w:tc>
          <w:tcPr>
            <w:tcW w:type="dxa" w:w="3250"/>
            <w:tcMar>
              <w:top w:w="90" w:type="dxa"/>
              <w:bottom w:w="90" w:type="dxa"/>
              <w:left w:w="100" w:type="dxa"/>
              <w:right w:w="100" w:type="dxa"/>
            </w:tcMar>
            <w:vAlign w:val="center"/>
            <w:shd w:fill="E6F0EB"/>
          </w:tcPr>
          <w:p>
            <w:r>
              <w:rPr>
                <w:rFonts w:ascii="Lato" w:hAnsi="Lato"/>
                <w:b/>
                <w:color w:val="173E34"/>
                <w:sz w:val="17"/>
              </w:rPr>
              <w:t>Net-account effect / follow-up</w:t>
            </w:r>
          </w:p>
          <w:p>
            <w:pPr>
              <w:spacing w:before="40" w:after="40"/>
            </w:pPr>
            <m:oMath>
              <m:sSubSup>
                <m:e>
                  <m:r>
                    <w:rPr>
                      <w:sz w:val="16"/>
                      <w:color w:val="173E34"/>
                    </w:rPr>
                    <m:t>u</m:t>
                  </m:r>
                </m:e>
                <m:sub>
                  <m:r>
                    <w:rPr>
                      <w:sz w:val="16"/>
                      <w:color w:val="173E34"/>
                    </w:rPr>
                    <m:t>Q</m:t>
                  </m:r>
                </m:sub>
                <m:sup>
                  <m:r>
                    <w:rPr>
                      <w:sz w:val="16"/>
                      <w:color w:val="173E34"/>
                    </w:rPr>
                    <m:t>2</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5-2-EN-1-1"/>
                <w:tag w:val="sec_05-2-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2-EN-1-2"/>
                <w:tag w:val="sec_05-2-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2-EN-1-3"/>
                <w:tag w:val="sec_05-2-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5-2-EN-2-1"/>
                <w:tag w:val="sec_05-2-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5-2-EN-2-2"/>
                <w:tag w:val="sec_05-2-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5-2-EN-2-3"/>
                <w:tag w:val="sec_05-2-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5-2-EN-3-1"/>
                <w:tag w:val="sec_05-2-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2-EN-3-2"/>
                <w:tag w:val="sec_05-2-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5-2-EN-3-3"/>
                <w:tag w:val="sec_05-2-EN-3-3"/>
                <w:text/>
              </w:sdtPr>
              <w:sdtContent>
                <w:r>
                  <w:rPr>
                    <w:rFonts w:ascii="Lato" w:hAnsi="Lato"/>
                    <w:sz w:val="18"/>
                    <w:color w:val="62716E"/>
                  </w:rPr>
                  <w:t>[Complete]</w:t>
                </w:r>
              </w:sdtContent>
            </w:sdt>
          </w:p>
        </w:tc>
      </w:tr>
    </w:tbl>
    <w:p>
      <w:pPr>
        <w:spacing w:after="0"/>
      </w:pPr>
    </w:p>
    <w:p>
      <w:bookmarkStart w:id="3006" w:name="sec_06"/>
      <w:pPr>
        <w:pStyle w:val="Heading1"/>
        <w:keepNext/>
        <w:pageBreakBefore/>
      </w:pPr>
      <w:r>
        <w:t>06  Pool transfers, delayed release and physical units</w:t>
      </w:r>
      <w:bookmarkEnd w:id="3006"/>
    </w:p>
    <w:p>
      <w:pPr>
        <w:spacing w:after="120"/>
      </w:pPr>
      <w:r>
        <w:rPr>
          <w:rFonts w:ascii="Lato" w:hAnsi="Lato"/>
          <w:b w:val="0"/>
          <w:color w:val="62716E"/>
          <w:sz w:val="16"/>
        </w:rPr>
        <w:t>[1] Basis: M04.1; M04.2; M04.4; F-C03a; F-C03b; F-C05a; F-C05b; F-C05c</w:t>
      </w:r>
    </w:p>
    <w:p>
      <w:pPr>
        <w:pStyle w:val="Heading2"/>
        <w:keepNext/>
      </w:pPr>
      <w:r>
        <w:t>Cohort and pool continuation</w:t>
      </w:r>
    </w:p>
    <w:p>
      <w:pPr>
        <w:keepNext/>
        <w:spacing w:before="40" w:after="60"/>
      </w:pPr>
      <w:r>
        <w:rPr>
          <w:rFonts w:ascii="Lato" w:hAnsi="Lato"/>
          <w:color w:val="315B50"/>
          <w:sz w:val="18"/>
        </w:rPr>
        <w:t>EXPOST-T11 / Calculation notation</w:t>
      </w:r>
    </w:p>
    <w:p>
      <w:pPr>
        <w:keepNext/>
        <w:spacing w:before="40" w:after="60"/>
      </w:pPr>
      <m:oMath>
        <m:sSubSup>
          <m:e>
            <m:r>
              <w:rPr>
                <w:sz w:val="18"/>
              </w:rPr>
              <m:t>E</m:t>
            </m:r>
          </m:e>
          <m:sub>
            <m:r>
              <w:rPr>
                <w:sz w:val="18"/>
              </w:rPr>
              <m:t>i</m:t>
            </m:r>
            <m:r>
              <w:rPr>
                <w:sz w:val="18"/>
              </w:rPr>
              <m:rPr>
                <m:sty m:val="p"/>
              </m:rPr>
              <m:t>,</m:t>
            </m:r>
            <m:r>
              <w:rPr>
                <w:sz w:val="18"/>
              </w:rPr>
              <m:t>t</m:t>
            </m:r>
          </m:sub>
          <m:sup>
            <m:r>
              <w:rPr>
                <w:sz w:val="18"/>
              </w:rPr>
              <m:rPr>
                <m:sty m:val="p"/>
              </m:rPr>
              <m:t>C</m:t>
            </m:r>
            <m:sSub>
              <m:e>
                <m:r>
                  <w:rPr>
                    <w:sz w:val="18"/>
                  </w:rPr>
                  <m:rPr>
                    <m:sty m:val="p"/>
                  </m:rPr>
                  <m:t>O</m:t>
                </m:r>
              </m:e>
              <m:sub>
                <m:r>
                  <w:rPr>
                    <w:sz w:val="18"/>
                  </w:rPr>
                  <m:rPr>
                    <m:sty m:val="p"/>
                  </m:rPr>
                  <m:t>2</m:t>
                </m:r>
              </m:sub>
            </m:sSub>
          </m:sup>
        </m:sSubSup>
        <m:r>
          <w:rPr>
            <w:sz w:val="18"/>
          </w:rPr>
          <m:rPr>
            <m:sty m:val="p"/>
          </m:rPr>
          <m:t>=</m:t>
        </m:r>
        <m:f>
          <m:fPr>
            <m:type m:val="bar"/>
          </m:fPr>
          <m:num>
            <m:r>
              <w:rPr>
                <w:sz w:val="18"/>
              </w:rPr>
              <m:t>44</m:t>
            </m:r>
          </m:num>
          <m:den>
            <m:r>
              <w:rPr>
                <w:sz w:val="18"/>
              </w:rPr>
              <m:t>12</m:t>
            </m:r>
          </m:den>
        </m:f>
        <m:nary>
          <m:naryPr>
            <m:chr m:val="∑"/>
            <m:limLoc m:val="undOvr"/>
            <m:subHide m:val="off"/>
            <m:supHide m:val="on"/>
          </m:naryPr>
          <m:sub>
            <m:r>
              <w:rPr>
                <w:sz w:val="18"/>
              </w:rPr>
              <m:t>τ</m:t>
            </m:r>
            <m:r>
              <w:rPr>
                <w:sz w:val="18"/>
              </w:rPr>
              <m:rPr>
                <m:sty m:val="p"/>
              </m:rPr>
              <m:t>≤</m:t>
            </m:r>
            <m:r>
              <w:rPr>
                <w:sz w:val="18"/>
              </w:rPr>
              <m:t>t</m:t>
            </m:r>
          </m:sub>
          <m:sup>
            <m:r>
              <w:rPr>
                <w:sz w:val="18"/>
              </w:rPr>
              <m:t>​</m:t>
            </m:r>
          </m:sup>
          <m:e>
            <m:nary>
              <m:naryPr>
                <m:chr m:val="∑"/>
                <m:limLoc m:val="undOvr"/>
                <m:subHide m:val="off"/>
                <m:supHide m:val="on"/>
              </m:naryPr>
              <m:sub>
                <m:r>
                  <w:rPr>
                    <w:sz w:val="18"/>
                  </w:rPr>
                  <m:t>o</m:t>
                </m:r>
              </m:sub>
              <m:sup>
                <m:r>
                  <w:rPr>
                    <w:sz w:val="18"/>
                  </w:rPr>
                  <m:t>​</m:t>
                </m:r>
              </m:sup>
              <m:e>
                <m:sSub>
                  <m:e>
                    <m:r>
                      <w:rPr>
                        <w:sz w:val="18"/>
                      </w:rPr>
                      <m:t>A</m:t>
                    </m:r>
                  </m:e>
                  <m:sub>
                    <m:r>
                      <w:rPr>
                        <w:sz w:val="18"/>
                      </w:rPr>
                      <m:t>i</m:t>
                    </m:r>
                    <m:r>
                      <w:rPr>
                        <w:sz w:val="18"/>
                      </w:rPr>
                      <m:rPr>
                        <m:sty m:val="p"/>
                      </m:rPr>
                      <m:t>,</m:t>
                    </m:r>
                    <m:r>
                      <w:rPr>
                        <w:sz w:val="18"/>
                      </w:rPr>
                      <m:t>τ</m:t>
                    </m:r>
                  </m:sub>
                </m:sSub>
              </m:e>
            </m:nary>
          </m:e>
        </m:nary>
        <m:sSub>
          <m:e>
            <m:r>
              <w:rPr>
                <w:sz w:val="18"/>
              </w:rPr>
              <m:rPr>
                <m:sty m:val="p"/>
              </m:rPr>
              <m:t>ℓ</m:t>
            </m:r>
          </m:e>
          <m:sub>
            <m:r>
              <w:rPr>
                <w:sz w:val="18"/>
              </w:rPr>
              <m:t>i</m:t>
            </m:r>
            <m:r>
              <w:rPr>
                <w:sz w:val="18"/>
              </w:rPr>
              <m:t>o</m:t>
            </m:r>
            <m:r>
              <w:rPr>
                <w:sz w:val="18"/>
              </w:rPr>
              <m:rPr>
                <m:sty m:val="p"/>
              </m:rPr>
              <m:t>,</m:t>
            </m:r>
            <m:r>
              <w:rPr>
                <w:sz w:val="18"/>
              </w:rPr>
              <m:t>τ</m:t>
            </m:r>
          </m:sub>
        </m:sSub>
        <m:sSub>
          <m:e>
            <m:r>
              <w:rPr>
                <w:sz w:val="18"/>
              </w:rPr>
              <m:t>k</m:t>
            </m:r>
          </m:e>
          <m:sub>
            <m:r>
              <w:rPr>
                <w:sz w:val="18"/>
              </w:rPr>
              <m:t>i</m:t>
            </m:r>
            <m:r>
              <w:rPr>
                <w:sz w:val="18"/>
              </w:rPr>
              <m:t>o</m:t>
            </m:r>
            <m:r>
              <w:rPr>
                <w:sz w:val="18"/>
              </w:rPr>
              <m:rPr>
                <m:sty m:val="p"/>
              </m:rPr>
              <m:t>,</m:t>
            </m:r>
            <m:r>
              <w:rPr>
                <w:sz w:val="18"/>
              </w:rPr>
              <m:t>τ</m:t>
            </m:r>
          </m:sub>
        </m:sSub>
        <m:d>
          <m:dPr>
            <m:begChr m:val="("/>
            <m:endChr m:val=")"/>
            <m:sepChr m:val=""/>
            <m:grow/>
          </m:dPr>
          <m:e>
            <m:r>
              <w:rPr>
                <w:sz w:val="18"/>
              </w:rPr>
              <m:t>t</m:t>
            </m:r>
          </m:e>
        </m:d>
      </m:oMath>
    </w:p>
    <w:p>
      <w:pPr>
        <w:keepNext/>
        <w:spacing w:before="40" w:after="60"/>
      </w:pPr>
      <w:r>
        <w:rPr>
          <w:rFonts w:ascii="Lato" w:hAnsi="Lato"/>
          <w:color w:val="315B50"/>
          <w:sz w:val="16"/>
        </w:rPr>
        <w:t>A is newly affected ha, ell is allocated Mg C/ha, and k is the fraction released as CO2 in interval t. The sum of fractions cannot exceed its defined allocation. Cohorts and pools are disjoint; keep remaining material and pre-period cohorts. Use exact intervals.</w:t>
      </w:r>
    </w:p>
    <w:p>
      <w:pPr>
        <w:keepNext/>
        <w:spacing w:before="40" w:after="60"/>
      </w:pPr>
      <w:r>
        <w:rPr>
          <w:rFonts w:ascii="Lato" w:hAnsi="Lato"/>
          <w:color w:val="315B50"/>
          <w:sz w:val="14"/>
        </w:rPr>
        <w:t>Basis: M04.2; F-C03a; F-C03b; F-C04 | Workbook: Upstream cohort schedule;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Pool / event / original interval</w:t>
            </w:r>
          </w:p>
          <w:p>
            <w:pPr>
              <w:spacing w:before="40" w:after="40"/>
            </w:pPr>
            <m:oMath>
              <m:r>
                <w:rPr>
                  <w:sz w:val="16"/>
                  <w:color w:val="173E34"/>
                </w:rPr>
                <m:t>i</m:t>
              </m:r>
              <m:r>
                <w:rPr>
                  <w:sz w:val="16"/>
                  <w:color w:val="173E34"/>
                </w:rPr>
                <m:rPr>
                  <m:sty m:val="p"/>
                </m:rPr>
                <m:t>,</m:t>
              </m:r>
              <m:r>
                <w:rPr>
                  <w:sz w:val="16"/>
                  <w:color w:val="173E34"/>
                </w:rPr>
                <m:t> </m:t>
              </m:r>
              <m:r>
                <w:rPr>
                  <w:sz w:val="16"/>
                  <w:color w:val="173E34"/>
                </w:rPr>
                <m:t>o</m:t>
              </m:r>
              <m:r>
                <w:rPr>
                  <w:sz w:val="16"/>
                  <w:color w:val="173E34"/>
                </w:rPr>
                <m:rPr>
                  <m:sty m:val="p"/>
                </m:rPr>
                <m:t>,</m:t>
              </m:r>
              <m:r>
                <w:rPr>
                  <w:sz w:val="16"/>
                  <w:color w:val="173E34"/>
                </w:rPr>
                <m:t> </m:t>
              </m:r>
              <m:r>
                <w:rPr>
                  <w:sz w:val="16"/>
                  <w:color w:val="173E34"/>
                </w:rPr>
                <m:t>τ</m:t>
              </m:r>
            </m:oMath>
          </w:p>
        </w:tc>
        <w:tc>
          <w:tcPr>
            <w:tcW w:type="dxa" w:w="3250"/>
            <w:tcMar>
              <w:top w:w="90" w:type="dxa"/>
              <w:bottom w:w="90" w:type="dxa"/>
              <w:left w:w="100" w:type="dxa"/>
              <w:right w:w="100" w:type="dxa"/>
            </w:tcMar>
            <w:vAlign w:val="center"/>
            <w:shd w:fill="E6F0EB"/>
          </w:tcPr>
          <w:p>
            <w:r>
              <w:rPr>
                <w:rFonts w:ascii="Lato" w:hAnsi="Lato"/>
                <w:b/>
                <w:color w:val="173E34"/>
                <w:sz w:val="17"/>
              </w:rPr>
              <w:t>Opening stock, release and retained balance</w:t>
            </w:r>
          </w:p>
          <w:p>
            <w:pPr>
              <w:spacing w:before="40" w:after="40"/>
            </w:pPr>
            <m:oMath>
              <m:sSub>
                <m:e>
                  <m:r>
                    <w:rPr>
                      <w:sz w:val="16"/>
                      <w:color w:val="173E34"/>
                    </w:rPr>
                    <m:t>A</m:t>
                  </m:r>
                </m:e>
                <m:sub>
                  <m:r>
                    <w:rPr>
                      <w:sz w:val="16"/>
                      <w:color w:val="173E34"/>
                    </w:rPr>
                    <m:t>i</m:t>
                  </m:r>
                  <m:r>
                    <w:rPr>
                      <w:sz w:val="16"/>
                      <w:color w:val="173E34"/>
                    </w:rPr>
                    <m:rPr>
                      <m:sty m:val="p"/>
                    </m:rPr>
                    <m:t>,</m:t>
                  </m:r>
                  <m:r>
                    <w:rPr>
                      <w:sz w:val="16"/>
                      <w:color w:val="173E34"/>
                    </w:rPr>
                    <m:t>τ</m:t>
                  </m:r>
                </m:sub>
              </m:sSub>
              <m:r>
                <w:rPr>
                  <w:sz w:val="16"/>
                  <w:color w:val="173E34"/>
                </w:rPr>
                <m:rPr>
                  <m:sty m:val="p"/>
                </m:rPr>
                <m:t>,</m:t>
              </m:r>
              <m:r>
                <w:rPr>
                  <w:sz w:val="16"/>
                  <w:color w:val="173E34"/>
                </w:rPr>
                <m:t> </m:t>
              </m:r>
              <m:sSub>
                <m:e>
                  <m:r>
                    <w:rPr>
                      <w:sz w:val="16"/>
                      <w:color w:val="173E34"/>
                    </w:rPr>
                    <m:rPr>
                      <m:sty m:val="p"/>
                    </m:rPr>
                    <m:t>ℓ</m:t>
                  </m:r>
                </m:e>
                <m:sub>
                  <m:r>
                    <w:rPr>
                      <w:sz w:val="16"/>
                      <w:color w:val="173E34"/>
                    </w:rPr>
                    <m:t>i</m:t>
                  </m:r>
                  <m:r>
                    <w:rPr>
                      <w:sz w:val="16"/>
                      <w:color w:val="173E34"/>
                    </w:rPr>
                    <m:t>o</m:t>
                  </m:r>
                  <m:r>
                    <w:rPr>
                      <w:sz w:val="16"/>
                      <w:color w:val="173E34"/>
                    </w:rPr>
                    <m:rPr>
                      <m:sty m:val="p"/>
                    </m:rPr>
                    <m:t>,</m:t>
                  </m:r>
                  <m:r>
                    <w:rPr>
                      <w:sz w:val="16"/>
                      <w:color w:val="173E34"/>
                    </w:rPr>
                    <m:t>τ</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No-double-counting check / evidence</w:t>
            </w:r>
          </w:p>
          <w:p>
            <w:pPr>
              <w:spacing w:before="40" w:after="40"/>
            </w:pPr>
            <m:oMath>
              <m:sSub>
                <m:e>
                  <m:r>
                    <w:rPr>
                      <w:sz w:val="16"/>
                      <w:color w:val="173E34"/>
                    </w:rPr>
                    <m:t>k</m:t>
                  </m:r>
                </m:e>
                <m:sub>
                  <m:r>
                    <w:rPr>
                      <w:sz w:val="16"/>
                      <w:color w:val="173E34"/>
                    </w:rPr>
                    <m:t>i</m:t>
                  </m:r>
                  <m:r>
                    <w:rPr>
                      <w:sz w:val="16"/>
                      <w:color w:val="173E34"/>
                    </w:rPr>
                    <m:t>o</m:t>
                  </m:r>
                  <m:r>
                    <w:rPr>
                      <w:sz w:val="16"/>
                      <w:color w:val="173E34"/>
                    </w:rPr>
                    <m:rPr>
                      <m:sty m:val="p"/>
                    </m:rPr>
                    <m:t>,</m:t>
                  </m:r>
                  <m:r>
                    <w:rPr>
                      <w:sz w:val="16"/>
                      <w:color w:val="173E34"/>
                    </w:rPr>
                    <m:t>τ</m:t>
                  </m:r>
                </m:sub>
              </m:sSub>
              <m:d>
                <m:dPr>
                  <m:begChr m:val="("/>
                  <m:endChr m:val=")"/>
                  <m:sepChr m:val=""/>
                  <m:grow/>
                </m:dPr>
                <m:e>
                  <m:r>
                    <w:rPr>
                      <w:sz w:val="16"/>
                      <w:color w:val="173E34"/>
                    </w:rPr>
                    <m:t>t</m:t>
                  </m:r>
                </m:e>
              </m:d>
              <m:r>
                <w:rPr>
                  <w:sz w:val="16"/>
                  <w:color w:val="173E34"/>
                </w:rPr>
                <m:rPr>
                  <m:sty m:val="p"/>
                </m:rPr>
                <m:t>,</m:t>
              </m:r>
              <m:r>
                <w:rPr>
                  <w:sz w:val="16"/>
                  <w:color w:val="173E34"/>
                </w:rPr>
                <m:t> </m:t>
              </m:r>
              <m:sSubSup>
                <m:e>
                  <m:r>
                    <w:rPr>
                      <w:sz w:val="16"/>
                      <w:color w:val="173E34"/>
                    </w:rPr>
                    <m:t>E</m:t>
                  </m:r>
                </m:e>
                <m:sub>
                  <m:r>
                    <w:rPr>
                      <w:sz w:val="16"/>
                      <w:color w:val="173E34"/>
                    </w:rPr>
                    <m:t>i</m:t>
                  </m:r>
                  <m:r>
                    <w:rPr>
                      <w:sz w:val="16"/>
                      <w:color w:val="173E34"/>
                    </w:rPr>
                    <m:rPr>
                      <m:sty m:val="p"/>
                    </m:rPr>
                    <m:t>,</m:t>
                  </m:r>
                  <m:r>
                    <w:rPr>
                      <w:sz w:val="16"/>
                      <w:color w:val="173E34"/>
                    </w:rPr>
                    <m:t>t</m:t>
                  </m:r>
                </m:sub>
                <m:sup>
                  <m:r>
                    <w:rPr>
                      <w:sz w:val="16"/>
                      <w:color w:val="173E34"/>
                    </w:rPr>
                    <m:rPr>
                      <m:sty m:val="p"/>
                    </m:rPr>
                    <m:t>C</m:t>
                  </m:r>
                  <m:sSub>
                    <m:e>
                      <m:r>
                        <w:rPr>
                          <w:sz w:val="16"/>
                          <w:color w:val="173E34"/>
                        </w:rPr>
                        <m:rPr>
                          <m:sty m:val="p"/>
                        </m:rPr>
                        <m:t>O</m:t>
                      </m:r>
                    </m:e>
                    <m:sub>
                      <m:r>
                        <w:rPr>
                          <w:sz w:val="16"/>
                          <w:color w:val="173E34"/>
                        </w:rPr>
                        <m:rPr>
                          <m:sty m:val="p"/>
                        </m:rPr>
                        <m:t>2</m:t>
                      </m:r>
                    </m:sub>
                  </m:sSub>
                </m:sup>
              </m:sSubSup>
            </m:oMath>
          </w:p>
        </w:tc>
      </w:tr>
      <w:tr>
        <w:trPr>
          <w:trHeight w:val="510"/>
        </w:trPr>
        <w:tc>
          <w:tcPr>
            <w:tcW w:type="dxa" w:w="3250"/>
            <w:tcMar>
              <w:top w:w="90" w:type="dxa"/>
              <w:bottom w:w="90" w:type="dxa"/>
              <w:left w:w="100" w:type="dxa"/>
              <w:right w:w="100" w:type="dxa"/>
            </w:tcMar>
            <w:shd w:fill="F1F5F2"/>
          </w:tcPr>
          <w:p>
            <w:pPr>
              <w:spacing w:after="20"/>
            </w:pPr>
            <w:sdt>
              <w:sdtPr>
                <w:alias w:val="sec_06-0-EN-1-1"/>
                <w:tag w:val="sec_06-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0-EN-1-2"/>
                <w:tag w:val="sec_06-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0-EN-1-3"/>
                <w:tag w:val="sec_06-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6-0-EN-2-1"/>
                <w:tag w:val="sec_06-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6-0-EN-2-2"/>
                <w:tag w:val="sec_06-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6-0-EN-2-3"/>
                <w:tag w:val="sec_06-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6-0-EN-3-1"/>
                <w:tag w:val="sec_06-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0-EN-3-2"/>
                <w:tag w:val="sec_06-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6-0-EN-3-3"/>
                <w:tag w:val="sec_06-0-EN-3-3"/>
                <w:text/>
              </w:sdtPr>
              <w:sdtContent>
                <w:r>
                  <w:rPr>
                    <w:rFonts w:ascii="Lato" w:hAnsi="Lato"/>
                    <w:sz w:val="18"/>
                    <w:color w:val="62716E"/>
                  </w:rPr>
                  <w:t>[Complete]</w:t>
                </w:r>
              </w:sdtContent>
            </w:sdt>
          </w:p>
        </w:tc>
      </w:tr>
    </w:tbl>
    <w:p>
      <w:pPr>
        <w:spacing w:after="0"/>
      </w:pPr>
    </w:p>
    <w:p>
      <w:pPr>
        <w:pStyle w:val="Heading2"/>
        <w:keepNext/>
      </w:pPr>
      <w:r>
        <w:t>Conversions and time support</w:t>
      </w:r>
    </w:p>
    <w:p>
      <w:pPr>
        <w:spacing w:after="80"/>
      </w:pPr>
      <w:r>
        <w:rPr>
          <w:rFonts w:ascii="Lato" w:hAnsi="Lato"/>
          <w:b w:val="0"/>
          <w:color w:val="62716E"/>
          <w:sz w:val="18"/>
        </w:rPr>
        <w:t>State whether each factor is biomass, carbon, CO2 or CO2e; retain the gas-specific GWP reference. Check kg-to-tonne and C-to-CO2 conversions separately. Preserve delayed releases inherited from earlier events even after migration. Use one coherent stock-change or event-release pathway for the same loss.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6-1-EN"/>
                <w:tag w:val="sec_06-1-EN"/>
                <w:text/>
              </w:sdtPr>
              <w:sdtContent>
                <w:r>
                  <w:rPr>
                    <w:rFonts w:ascii="Lato" w:hAnsi="Lato"/>
                    <w:sz w:val="18"/>
                    <w:color w:val="62716E"/>
                  </w:rPr>
                  <w:t>[Enter response and exact evidence references.]</w:t>
                </w:r>
              </w:sdtContent>
            </w:sdt>
          </w:p>
        </w:tc>
      </w:tr>
    </w:tbl>
    <w:p>
      <w:pPr>
        <w:spacing w:after="20" w:before="0" w:line="96" w:lineRule="auto"/>
      </w:pPr>
    </w:p>
    <w:p>
      <w:bookmarkStart w:id="3007" w:name="sec_07"/>
      <w:pPr>
        <w:pStyle w:val="Heading1"/>
        <w:keepNext/>
        <w:pageBreakBefore/>
      </w:pPr>
      <w:r>
        <w:t>07  Signed period account and conservative quantity</w:t>
      </w:r>
      <w:bookmarkEnd w:id="3007"/>
    </w:p>
    <w:p>
      <w:pPr>
        <w:spacing w:after="120"/>
      </w:pPr>
      <w:r>
        <w:rPr>
          <w:rFonts w:ascii="Lato" w:hAnsi="Lato"/>
          <w:b w:val="0"/>
          <w:color w:val="62716E"/>
          <w:sz w:val="16"/>
        </w:rPr>
        <w:t>[1] Basis: M04.5; M05; F-U01; F-A01; F-A02; F-R01; FRM-02</w:t>
      </w:r>
    </w:p>
    <w:p>
      <w:pPr>
        <w:pStyle w:val="Heading2"/>
        <w:keepNext/>
      </w:pPr>
      <w:r>
        <w:t>Net environmental result</w:t>
      </w:r>
    </w:p>
    <w:p>
      <w:pPr>
        <w:keepNext/>
        <w:spacing w:before="40" w:after="60"/>
      </w:pPr>
      <w:r>
        <w:rPr>
          <w:rFonts w:ascii="Lato" w:hAnsi="Lato"/>
          <w:color w:val="315B50"/>
          <w:sz w:val="18"/>
        </w:rPr>
        <w:t>EXPOST-T12 / Calculation notation</w:t>
      </w:r>
    </w:p>
    <w:p>
      <w:pPr>
        <w:keepNext/>
        <w:spacing w:before="40" w:after="60"/>
      </w:pPr>
      <m:oMath>
        <m:sSubSup>
          <m:e>
            <m:acc>
              <m:accPr>
                <m:chr m:val="̂"/>
              </m:accPr>
              <m:e>
                <m:r>
                  <w:rPr>
                    <w:sz w:val="18"/>
                  </w:rPr>
                  <m:t>Q</m:t>
                </m:r>
              </m:e>
            </m:acc>
          </m:e>
          <m:sub>
            <m:r>
              <w:rPr>
                <w:sz w:val="18"/>
              </w:rPr>
              <m:t>t</m:t>
            </m:r>
          </m:sub>
          <m:sup>
            <m:r>
              <w:rPr>
                <w:sz w:val="18"/>
              </w:rPr>
              <m:t>z</m:t>
            </m:r>
          </m:sup>
        </m:sSubSup>
        <m:r>
          <w:rPr>
            <w:sz w:val="18"/>
          </w:rPr>
          <m:rPr>
            <m:sty m:val="p"/>
          </m:rPr>
          <m:t>=</m:t>
        </m:r>
        <m:sSubSup>
          <m:e>
            <m:r>
              <w:rPr>
                <w:sz w:val="18"/>
              </w:rPr>
              <m:t>N</m:t>
            </m:r>
          </m:e>
          <m:sub>
            <m:r>
              <w:rPr>
                <w:sz w:val="18"/>
              </w:rPr>
              <m:rPr>
                <m:sty m:val="p"/>
              </m:rPr>
              <m:t>B</m:t>
            </m:r>
            <m:r>
              <w:rPr>
                <w:sz w:val="18"/>
              </w:rPr>
              <m:rPr>
                <m:sty m:val="p"/>
              </m:rPr>
              <m:t>L</m:t>
            </m:r>
            <m:r>
              <w:rPr>
                <w:sz w:val="18"/>
              </w:rPr>
              <m:rPr>
                <m:sty m:val="p"/>
              </m:rPr>
              <m:t>,</m:t>
            </m:r>
            <m:r>
              <w:rPr>
                <w:sz w:val="18"/>
              </w:rPr>
              <m:t>t</m:t>
            </m:r>
          </m:sub>
          <m:sup>
            <m:r>
              <w:rPr>
                <w:sz w:val="18"/>
              </w:rPr>
              <m:t>z</m:t>
            </m:r>
          </m:sup>
        </m:sSubSup>
        <m:r>
          <w:rPr>
            <w:sz w:val="18"/>
          </w:rPr>
          <m:rPr>
            <m:sty m:val="p"/>
          </m:rPr>
          <m:t>−</m:t>
        </m:r>
        <m:sSubSup>
          <m:e>
            <m:r>
              <w:rPr>
                <w:sz w:val="18"/>
              </w:rPr>
              <m:t>N</m:t>
            </m:r>
          </m:e>
          <m:sub>
            <m:r>
              <w:rPr>
                <w:sz w:val="18"/>
              </w:rPr>
              <m:rPr>
                <m:sty m:val="p"/>
              </m:rPr>
              <m:t>P</m:t>
            </m:r>
            <m:r>
              <w:rPr>
                <w:sz w:val="18"/>
              </w:rPr>
              <m:rPr>
                <m:sty m:val="p"/>
              </m:rPr>
              <m:t>J</m:t>
            </m:r>
            <m:r>
              <w:rPr>
                <w:sz w:val="18"/>
              </w:rPr>
              <m:rPr>
                <m:sty m:val="p"/>
              </m:rPr>
              <m:t>,</m:t>
            </m:r>
            <m:r>
              <w:rPr>
                <w:sz w:val="18"/>
              </w:rPr>
              <m:t>t</m:t>
            </m:r>
          </m:sub>
          <m:sup>
            <m:r>
              <w:rPr>
                <w:sz w:val="18"/>
              </w:rPr>
              <m:t>z</m:t>
            </m:r>
          </m:sup>
        </m:sSubSup>
        <m:r>
          <w:rPr>
            <w:sz w:val="18"/>
          </w:rPr>
          <m:rPr>
            <m:sty m:val="p"/>
          </m:rPr>
          <m:t>−</m:t>
        </m:r>
        <m:sSubSup>
          <m:e>
            <m:r>
              <w:rPr>
                <w:sz w:val="18"/>
              </w:rPr>
              <m:t>L</m:t>
            </m:r>
          </m:e>
          <m:sub>
            <m:r>
              <w:rPr>
                <w:sz w:val="18"/>
              </w:rPr>
              <m:t>t</m:t>
            </m:r>
          </m:sub>
          <m:sup>
            <m:r>
              <w:rPr>
                <w:sz w:val="18"/>
              </w:rPr>
              <m:t>z</m:t>
            </m:r>
          </m:sup>
        </m:sSubSup>
        <m:r>
          <w:rPr>
            <w:sz w:val="18"/>
          </w:rPr>
          <m:rPr>
            <m:sty m:val="p"/>
          </m:rPr>
          <m:t>,</m:t>
        </m:r>
        <m:r>
          <w:rPr>
            <w:sz w:val="18"/>
          </w:rPr>
          <m:t>  </m:t>
        </m:r>
        <m:r>
          <w:rPr>
            <w:sz w:val="18"/>
          </w:rPr>
          <m:t>z</m:t>
        </m:r>
        <m:r>
          <w:rPr>
            <w:sz w:val="18"/>
          </w:rPr>
          <m:rPr>
            <m:sty m:val="p"/>
          </m:rPr>
          <m:t>∈</m:t>
        </m:r>
        <m:r>
          <w:rPr>
            <w:sz w:val="18"/>
          </w:rPr>
          <m:rPr>
            <m:sty m:val="p"/>
          </m:rPr>
          <m:t>{</m:t>
        </m:r>
        <m:r>
          <w:rPr>
            <w:sz w:val="18"/>
          </w:rPr>
          <m:rPr>
            <m:sty m:val="p"/>
          </m:rPr>
          <m:t>E</m:t>
        </m:r>
        <m:r>
          <w:rPr>
            <w:sz w:val="18"/>
          </w:rPr>
          <m:rPr>
            <m:sty m:val="p"/>
          </m:rPr>
          <m:t>A</m:t>
        </m:r>
        <m:r>
          <w:rPr>
            <w:sz w:val="18"/>
          </w:rPr>
          <m:rPr>
            <m:sty m:val="p"/>
          </m:rPr>
          <m:t>,</m:t>
        </m:r>
        <m:r>
          <w:rPr>
            <w:sz w:val="18"/>
          </w:rPr>
          <m:rPr>
            <m:sty m:val="p"/>
          </m:rPr>
          <m:t>E</m:t>
        </m:r>
        <m:r>
          <w:rPr>
            <w:sz w:val="18"/>
          </w:rPr>
          <m:rPr>
            <m:sty m:val="p"/>
          </m:rPr>
          <m:t>P</m:t>
        </m:r>
        <m:r>
          <w:rPr>
            <w:sz w:val="18"/>
          </w:rPr>
          <m:rPr>
            <m:sty m:val="p"/>
          </m:rPr>
          <m:t>}</m:t>
        </m:r>
      </m:oMath>
    </w:p>
    <w:p>
      <w:pPr>
        <w:keepNext/>
        <w:spacing w:before="40" w:after="60"/>
      </w:pPr>
      <w:r>
        <w:rPr>
          <w:rFonts w:ascii="Lato" w:hAnsi="Lato"/>
          <w:color w:val="315B50"/>
          <w:sz w:val="16"/>
        </w:rPr>
        <w:t>EA denotes the dated forecast; EP denotes the reporting-period account, not automatic verification. All terms are signed period masses on matched support. The quantity is before uncertainty, previous liabilities, reserve, and denomination.</w:t>
      </w:r>
    </w:p>
    <w:p>
      <w:pPr>
        <w:keepNext/>
        <w:spacing w:before="40" w:after="60"/>
      </w:pPr>
      <w:r>
        <w:rPr>
          <w:rFonts w:ascii="Lato" w:hAnsi="Lato"/>
          <w:color w:val="315B50"/>
          <w:sz w:val="14"/>
        </w:rPr>
        <w:t>Basis: M04.5; F-R01 | Workbook: ExAnte!F:I; ExPost!F:I</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Period / scope</w:t>
            </w:r>
          </w:p>
          <w:p>
            <w:pPr>
              <w:spacing w:before="40" w:after="40"/>
            </w:pPr>
            <m:oMath>
              <m:r>
                <w:rPr>
                  <w:sz w:val="16"/>
                  <w:color w:val="173E34"/>
                </w:rPr>
                <m:t>t</m:t>
              </m:r>
              <m:r>
                <w:rPr>
                  <w:sz w:val="16"/>
                  <w:color w:val="173E34"/>
                </w:rPr>
                <m:rPr>
                  <m:sty m:val="p"/>
                </m:rPr>
                <m:t>,</m:t>
              </m:r>
              <m:r>
                <w:rPr>
                  <w:sz w:val="16"/>
                  <w:color w:val="173E34"/>
                </w:rPr>
                <m:t> </m:t>
              </m:r>
              <m:r>
                <w:rPr>
                  <w:sz w:val="16"/>
                  <w:color w:val="173E34"/>
                </w:rPr>
                <m:t>z</m:t>
              </m:r>
            </m:oMath>
          </w:p>
        </w:tc>
        <w:tc>
          <w:tcPr>
            <w:tcW w:type="dxa" w:w="3250"/>
            <w:tcMar>
              <w:top w:w="90" w:type="dxa"/>
              <w:bottom w:w="90" w:type="dxa"/>
              <w:left w:w="100" w:type="dxa"/>
              <w:right w:w="100" w:type="dxa"/>
            </w:tcMar>
            <w:vAlign w:val="center"/>
            <w:shd w:fill="E6F0EB"/>
          </w:tcPr>
          <w:p>
            <w:r>
              <w:rPr>
                <w:rFonts w:ascii="Lato" w:hAnsi="Lato"/>
                <w:b/>
                <w:color w:val="173E34"/>
                <w:sz w:val="17"/>
              </w:rPr>
              <w:t>Baseline / project / leakage (t CO2e)</w:t>
            </w:r>
          </w:p>
          <w:p>
            <w:pPr>
              <w:spacing w:before="40" w:after="40"/>
            </w:pPr>
            <m:oMath>
              <m:sSubSup>
                <m:e>
                  <m:r>
                    <w:rPr>
                      <w:sz w:val="16"/>
                      <w:color w:val="173E34"/>
                    </w:rPr>
                    <m:t>N</m:t>
                  </m:r>
                </m:e>
                <m:sub>
                  <m:r>
                    <w:rPr>
                      <w:sz w:val="16"/>
                      <w:color w:val="173E34"/>
                    </w:rPr>
                    <m:rPr>
                      <m:sty m:val="p"/>
                    </m:rPr>
                    <m:t>B</m:t>
                  </m:r>
                  <m:r>
                    <w:rPr>
                      <w:sz w:val="16"/>
                      <w:color w:val="173E34"/>
                    </w:rPr>
                    <m:rPr>
                      <m:sty m:val="p"/>
                    </m:rPr>
                    <m:t>L</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N</m:t>
                  </m:r>
                </m:e>
                <m:sub>
                  <m:r>
                    <w:rPr>
                      <w:sz w:val="16"/>
                      <w:color w:val="173E34"/>
                    </w:rPr>
                    <m:rPr>
                      <m:sty m:val="p"/>
                    </m:rPr>
                    <m:t>P</m:t>
                  </m:r>
                  <m:r>
                    <w:rPr>
                      <w:sz w:val="16"/>
                      <w:color w:val="173E34"/>
                    </w:rPr>
                    <m:rPr>
                      <m:sty m:val="p"/>
                    </m:rPr>
                    <m:t>J</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L</m:t>
                  </m:r>
                </m:e>
                <m:sub>
                  <m:r>
                    <w:rPr>
                      <w:sz w:val="16"/>
                      <w:color w:val="173E34"/>
                    </w:rPr>
                    <m:t>t</m:t>
                  </m:r>
                </m:sub>
                <m:sup>
                  <m:r>
                    <w:rPr>
                      <w:sz w:val="16"/>
                      <w:color w:val="173E34"/>
                    </w:rPr>
                    <m:t>z</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Signed net result / workbook location</w:t>
            </w:r>
          </w:p>
          <w:p>
            <w:pPr>
              <w:spacing w:before="40" w:after="40"/>
            </w:pPr>
            <m:oMath>
              <m:sSubSup>
                <m:e>
                  <m:acc>
                    <m:accPr>
                      <m:chr m:val="̂"/>
                    </m:accPr>
                    <m:e>
                      <m:r>
                        <w:rPr>
                          <w:sz w:val="16"/>
                          <w:color w:val="173E34"/>
                        </w:rPr>
                        <m:t>Q</m:t>
                      </m:r>
                    </m:e>
                  </m:acc>
                </m:e>
                <m:sub>
                  <m:r>
                    <w:rPr>
                      <w:sz w:val="16"/>
                      <w:color w:val="173E34"/>
                    </w:rPr>
                    <m:t>t</m:t>
                  </m:r>
                </m:sub>
                <m:sup>
                  <m:r>
                    <w:rPr>
                      <w:sz w:val="16"/>
                      <w:color w:val="173E34"/>
                    </w:rPr>
                    <m:t>z</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7-0-EN-1-1"/>
                <w:tag w:val="sec_07-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0-EN-1-2"/>
                <w:tag w:val="sec_07-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0-EN-1-3"/>
                <w:tag w:val="sec_07-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7-0-EN-2-1"/>
                <w:tag w:val="sec_07-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7-0-EN-2-2"/>
                <w:tag w:val="sec_07-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7-0-EN-2-3"/>
                <w:tag w:val="sec_07-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7-0-EN-3-1"/>
                <w:tag w:val="sec_07-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0-EN-3-2"/>
                <w:tag w:val="sec_07-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0-EN-3-3"/>
                <w:tag w:val="sec_07-0-EN-3-3"/>
                <w:text/>
              </w:sdtPr>
              <w:sdtContent>
                <w:r>
                  <w:rPr>
                    <w:rFonts w:ascii="Lato" w:hAnsi="Lato"/>
                    <w:sz w:val="18"/>
                    <w:color w:val="62716E"/>
                  </w:rPr>
                  <w:t>[Complete]</w:t>
                </w:r>
              </w:sdtContent>
            </w:sdt>
          </w:p>
        </w:tc>
      </w:tr>
    </w:tbl>
    <w:p>
      <w:pPr>
        <w:spacing w:after="0"/>
      </w:pPr>
    </w:p>
    <w:p>
      <w:pPr>
        <w:pStyle w:val="Heading2"/>
        <w:keepNext/>
      </w:pPr>
      <w:r>
        <w:t>Conservativeness and materiality</w:t>
      </w:r>
    </w:p>
    <w:p>
      <w:pPr>
        <w:keepNext/>
        <w:spacing w:before="40" w:after="60"/>
      </w:pPr>
      <w:r>
        <w:rPr>
          <w:rFonts w:ascii="Lato" w:hAnsi="Lato"/>
          <w:color w:val="315B50"/>
          <w:sz w:val="18"/>
        </w:rPr>
        <w:t>EXPOST-T13 / Calculation notation</w:t>
      </w:r>
    </w:p>
    <w:p>
      <w:pPr>
        <w:keepNext/>
        <w:spacing w:before="40" w:after="60"/>
      </w:pPr>
      <m:oMath>
        <m:sSubSup>
          <m:e>
            <m:r>
              <w:rPr>
                <w:sz w:val="18"/>
              </w:rPr>
              <m:t>Q</m:t>
            </m:r>
          </m:e>
          <m:sub>
            <m:r>
              <w:rPr>
                <w:sz w:val="18"/>
              </w:rPr>
              <m:t>t</m:t>
            </m:r>
          </m:sub>
          <m:sup>
            <m:r>
              <w:rPr>
                <w:sz w:val="18"/>
              </w:rPr>
              <m:rPr>
                <m:sty m:val="p"/>
              </m:rPr>
              <m:t>l</m:t>
            </m:r>
            <m:r>
              <w:rPr>
                <w:sz w:val="18"/>
              </w:rPr>
              <m:rPr>
                <m:sty m:val="p"/>
              </m:rPr>
              <m:t>o</m:t>
            </m:r>
            <m:r>
              <w:rPr>
                <w:sz w:val="18"/>
              </w:rPr>
              <m:rPr>
                <m:sty m:val="p"/>
              </m:rPr>
              <m:t>w</m:t>
            </m:r>
          </m:sup>
        </m:sSubSup>
        <m:r>
          <w:rPr>
            <w:sz w:val="18"/>
          </w:rPr>
          <m:rPr>
            <m:sty m:val="p"/>
          </m:rPr>
          <m:t>=</m:t>
        </m:r>
        <m:sSub>
          <m:e>
            <m:acc>
              <m:accPr>
                <m:chr m:val="̂"/>
              </m:accPr>
              <m:e>
                <m:r>
                  <w:rPr>
                    <w:sz w:val="18"/>
                  </w:rPr>
                  <m:t>Q</m:t>
                </m:r>
              </m:e>
            </m:acc>
          </m:e>
          <m:sub>
            <m:r>
              <w:rPr>
                <w:sz w:val="18"/>
              </w:rPr>
              <m:t>t</m:t>
            </m:r>
          </m:sub>
        </m:sSub>
        <m:r>
          <w:rPr>
            <w:sz w:val="18"/>
          </w:rPr>
          <m:rPr>
            <m:sty m:val="p"/>
          </m:rPr>
          <m:t>−</m:t>
        </m:r>
        <m:sSub>
          <m:e>
            <m:r>
              <w:rPr>
                <w:sz w:val="18"/>
              </w:rPr>
              <m:t>k</m:t>
            </m:r>
          </m:e>
          <m:sub>
            <m:r>
              <w:rPr>
                <w:sz w:val="18"/>
              </w:rPr>
              <m:t>1</m:t>
            </m:r>
            <m:r>
              <w:rPr>
                <w:sz w:val="18"/>
              </w:rPr>
              <m:rPr>
                <m:sty m:val="p"/>
              </m:rPr>
              <m:t>−</m:t>
            </m:r>
            <m:r>
              <w:rPr>
                <w:sz w:val="18"/>
              </w:rPr>
              <m:t>α</m:t>
            </m:r>
          </m:sub>
        </m:sSub>
        <m:sSub>
          <m:e>
            <m:r>
              <w:rPr>
                <w:sz w:val="18"/>
              </w:rPr>
              <m:t>u</m:t>
            </m:r>
          </m:e>
          <m:sub>
            <m:sSub>
              <m:e>
                <m:r>
                  <w:rPr>
                    <w:sz w:val="18"/>
                  </w:rPr>
                  <m:t>Q</m:t>
                </m:r>
              </m:e>
              <m:sub>
                <m:r>
                  <w:rPr>
                    <w:sz w:val="18"/>
                  </w:rPr>
                  <m:t>t</m:t>
                </m:r>
              </m:sub>
            </m:sSub>
          </m:sub>
        </m:sSub>
      </m:oMath>
    </w:p>
    <w:p>
      <w:pPr>
        <w:keepNext/>
        <w:spacing w:before="40" w:after="60"/>
      </w:pPr>
      <m:oMath>
        <m:sSubSup>
          <m:e>
            <m:r>
              <w:rPr>
                <w:sz w:val="18"/>
              </w:rPr>
              <m:t>Q</m:t>
            </m:r>
          </m:e>
          <m:sub>
            <m:r>
              <w:rPr>
                <w:sz w:val="18"/>
              </w:rPr>
              <m:t>t</m:t>
            </m:r>
          </m:sub>
          <m:sup>
            <m:r>
              <w:rPr>
                <w:sz w:val="18"/>
              </w:rPr>
              <m:rPr>
                <m:sty m:val="p"/>
              </m:rPr>
              <m:t>l</m:t>
            </m:r>
            <m:r>
              <w:rPr>
                <w:sz w:val="18"/>
              </w:rPr>
              <m:rPr>
                <m:sty m:val="p"/>
              </m:rPr>
              <m:t>o</m:t>
            </m:r>
            <m:r>
              <w:rPr>
                <w:sz w:val="18"/>
              </w:rPr>
              <m:rPr>
                <m:sty m:val="p"/>
              </m:rPr>
              <m:t>w</m:t>
            </m:r>
          </m:sup>
        </m:sSubSup>
        <m:r>
          <w:rPr>
            <w:sz w:val="18"/>
          </w:rPr>
          <m:rPr>
            <m:sty m:val="p"/>
          </m:rPr>
          <m:t>=</m:t>
        </m:r>
        <m:sSub>
          <m:e>
            <m:acc>
              <m:accPr>
                <m:chr m:val="̂"/>
              </m:accPr>
              <m:e>
                <m:r>
                  <w:rPr>
                    <w:sz w:val="18"/>
                  </w:rPr>
                  <m:t>Q</m:t>
                </m:r>
              </m:e>
            </m:acc>
          </m:e>
          <m:sub>
            <m:r>
              <w:rPr>
                <w:sz w:val="18"/>
              </w:rPr>
              <m:t>t</m:t>
            </m:r>
          </m:sub>
        </m:sSub>
        <m:r>
          <w:rPr>
            <w:sz w:val="18"/>
          </w:rPr>
          <m:rPr>
            <m:sty m:val="p"/>
          </m:rPr>
          <m:t>−</m:t>
        </m:r>
        <m:sSub>
          <m:e>
            <m:r>
              <w:rPr>
                <w:sz w:val="18"/>
              </w:rPr>
              <m:t>δ</m:t>
            </m:r>
          </m:e>
          <m:sub>
            <m:r>
              <w:rPr>
                <w:sz w:val="18"/>
              </w:rPr>
              <m:t>t</m:t>
            </m:r>
          </m:sub>
        </m:sSub>
        <m:r>
          <w:rPr>
            <w:sz w:val="18"/>
          </w:rPr>
          <m:t> </m:t>
        </m:r>
        <m:d>
          <m:dPr>
            <m:begChr m:val="("/>
            <m:endChr m:val=")"/>
            <m:sepChr m:val=""/>
            <m:grow/>
          </m:dPr>
          <m:e>
            <m:r>
              <w:rPr>
                <w:sz w:val="18"/>
              </w:rPr>
              <m:rPr>
                <m:sty m:val="p"/>
              </m:rPr>
              <m:t>D</m:t>
            </m:r>
            <m:r>
              <w:rPr>
                <w:sz w:val="18"/>
              </w:rPr>
              <m:rPr>
                <m:sty m:val="p"/>
              </m:rPr>
              <m:t>E</m:t>
            </m:r>
            <m:r>
              <w:rPr>
                <w:sz w:val="18"/>
              </w:rPr>
              <m:rPr>
                <m:sty m:val="p"/>
              </m:rPr>
              <m:t>D</m:t>
            </m:r>
            <m:r>
              <w:rPr>
                <w:sz w:val="18"/>
              </w:rPr>
              <m:rPr>
                <m:sty m:val="p"/>
              </m:rPr>
              <m:t>U</m:t>
            </m:r>
            <m:r>
              <w:rPr>
                <w:sz w:val="18"/>
              </w:rPr>
              <m:rPr>
                <m:sty m:val="p"/>
              </m:rPr>
              <m:t>C</m:t>
            </m:r>
            <m:r>
              <w:rPr>
                <w:sz w:val="18"/>
              </w:rPr>
              <m:rPr>
                <m:sty m:val="p"/>
              </m:rPr>
              <m:t>T</m:t>
            </m:r>
            <m:r>
              <w:rPr>
                <w:sz w:val="18"/>
              </w:rPr>
              <m:rPr>
                <m:sty m:val="p"/>
              </m:rPr>
              <m:t>I</m:t>
            </m:r>
            <m:r>
              <w:rPr>
                <w:sz w:val="18"/>
              </w:rPr>
              <m:rPr>
                <m:sty m:val="p"/>
              </m:rPr>
              <m:t>O</m:t>
            </m:r>
            <m:r>
              <w:rPr>
                <w:sz w:val="18"/>
              </w:rPr>
              <m:rPr>
                <m:sty m:val="p"/>
              </m:rPr>
              <m:t>N</m:t>
            </m:r>
          </m:e>
        </m:d>
        <m:r>
          <w:rPr>
            <w:sz w:val="18"/>
          </w:rPr>
          <m:rPr>
            <m:sty m:val="p"/>
          </m:rPr>
          <m:t>;</m:t>
        </m:r>
        <m:r>
          <w:rPr>
            <w:sz w:val="18"/>
          </w:rPr>
          <m:t>  </m:t>
        </m:r>
        <m:sSubSup>
          <m:e>
            <m:r>
              <w:rPr>
                <w:sz w:val="18"/>
              </w:rPr>
              <m:t>Q</m:t>
            </m:r>
          </m:e>
          <m:sub>
            <m:r>
              <w:rPr>
                <w:sz w:val="18"/>
              </w:rPr>
              <m:t>t</m:t>
            </m:r>
          </m:sub>
          <m:sup>
            <m:r>
              <w:rPr>
                <w:sz w:val="18"/>
              </w:rPr>
              <m:rPr>
                <m:sty m:val="p"/>
              </m:rPr>
              <m:t>l</m:t>
            </m:r>
            <m:r>
              <w:rPr>
                <w:sz w:val="18"/>
              </w:rPr>
              <m:rPr>
                <m:sty m:val="p"/>
              </m:rPr>
              <m:t>o</m:t>
            </m:r>
            <m:r>
              <w:rPr>
                <w:sz w:val="18"/>
              </w:rPr>
              <m:rPr>
                <m:sty m:val="p"/>
              </m:rPr>
              <m:t>w</m:t>
            </m:r>
          </m:sup>
        </m:sSubSup>
        <m:r>
          <w:rPr>
            <w:sz w:val="18"/>
          </w:rPr>
          <m:rPr>
            <m:sty m:val="p"/>
          </m:rPr>
          <m:t>=</m:t>
        </m:r>
        <m:sSubSup>
          <m:e>
            <m:r>
              <w:rPr>
                <w:sz w:val="18"/>
              </w:rPr>
              <m:t>q</m:t>
            </m:r>
          </m:e>
          <m:sub>
            <m:r>
              <w:rPr>
                <w:sz w:val="18"/>
              </w:rPr>
              <m:t>t</m:t>
            </m:r>
          </m:sub>
          <m:sup>
            <m:r>
              <w:rPr>
                <w:sz w:val="18"/>
              </w:rPr>
              <m:rPr>
                <m:sty m:val="p"/>
              </m:rPr>
              <m:t>b</m:t>
            </m:r>
            <m:r>
              <w:rPr>
                <w:sz w:val="18"/>
              </w:rPr>
              <m:rPr>
                <m:sty m:val="p"/>
              </m:rPr>
              <m:t>o</m:t>
            </m:r>
            <m:r>
              <w:rPr>
                <w:sz w:val="18"/>
              </w:rPr>
              <m:rPr>
                <m:sty m:val="p"/>
              </m:rPr>
              <m:t>u</m:t>
            </m:r>
            <m:r>
              <w:rPr>
                <w:sz w:val="18"/>
              </w:rPr>
              <m:rPr>
                <m:sty m:val="p"/>
              </m:rPr>
              <m:t>n</m:t>
            </m:r>
            <m:r>
              <w:rPr>
                <w:sz w:val="18"/>
              </w:rPr>
              <m:rPr>
                <m:sty m:val="p"/>
              </m:rPr>
              <m:t>d</m:t>
            </m:r>
          </m:sup>
        </m:sSubSup>
        <m:r>
          <w:rPr>
            <w:sz w:val="18"/>
          </w:rPr>
          <m:t> </m:t>
        </m:r>
        <m:d>
          <m:dPr>
            <m:begChr m:val="("/>
            <m:endChr m:val=")"/>
            <m:sepChr m:val=""/>
            <m:grow/>
          </m:dPr>
          <m:e>
            <m:r>
              <w:rPr>
                <w:sz w:val="18"/>
              </w:rPr>
              <m:rPr>
                <m:sty m:val="p"/>
              </m:rPr>
              <m:t>B</m:t>
            </m:r>
            <m:r>
              <w:rPr>
                <w:sz w:val="18"/>
              </w:rPr>
              <m:rPr>
                <m:sty m:val="p"/>
              </m:rPr>
              <m:t>O</m:t>
            </m:r>
            <m:r>
              <w:rPr>
                <w:sz w:val="18"/>
              </w:rPr>
              <m:rPr>
                <m:sty m:val="p"/>
              </m:rPr>
              <m:t>U</m:t>
            </m:r>
            <m:r>
              <w:rPr>
                <w:sz w:val="18"/>
              </w:rPr>
              <m:rPr>
                <m:sty m:val="p"/>
              </m:rPr>
              <m:t>N</m:t>
            </m:r>
            <m:r>
              <w:rPr>
                <w:sz w:val="18"/>
              </w:rPr>
              <m:rPr>
                <m:sty m:val="p"/>
              </m:rPr>
              <m:t>D</m:t>
            </m:r>
          </m:e>
        </m:d>
      </m:oMath>
    </w:p>
    <w:p>
      <w:pPr>
        <w:keepNext/>
        <w:spacing w:before="40" w:after="60"/>
      </w:pPr>
      <w:r>
        <w:rPr>
          <w:rFonts w:ascii="Lato" w:hAnsi="Lato"/>
          <w:color w:val="315B50"/>
          <w:sz w:val="16"/>
        </w:rPr>
        <w:t>delta is the justified deduction (DEDUCTION route); BOUND supplies the supported lower value directly. The second displayed line describes the workbook interface, not a new approved estimator. Record the upstream uncertainty or evidence-bound procedure and decision.</w:t>
      </w:r>
    </w:p>
    <w:p>
      <w:pPr>
        <w:keepNext/>
        <w:spacing w:before="40" w:after="60"/>
      </w:pPr>
      <w:r>
        <w:rPr>
          <w:rFonts w:ascii="Lato" w:hAnsi="Lato"/>
          <w:color w:val="315B50"/>
          <w:sz w:val="14"/>
        </w:rPr>
        <w:t>Basis: M05.3; F-A02; AP-08 | Workbook: ExAnte!J:L; ExPost!J:L; ExPost!O</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Component / dependence / bias</w:t>
            </w:r>
          </w:p>
          <w:p>
            <w:pPr>
              <w:spacing w:before="40" w:after="40"/>
            </w:pPr>
            <m:oMath>
              <m:r>
                <w:rPr>
                  <w:sz w:val="16"/>
                  <w:color w:val="173E34"/>
                </w:rPr>
                <m:t>t</m:t>
              </m:r>
              <m:r>
                <w:rPr>
                  <w:sz w:val="16"/>
                  <w:color w:val="173E34"/>
                </w:rPr>
                <m:rPr>
                  <m:sty m:val="p"/>
                </m:rPr>
                <m:t>,</m:t>
              </m:r>
              <m:r>
                <w:rPr>
                  <w:sz w:val="16"/>
                  <w:color w:val="173E34"/>
                </w:rPr>
                <m:t> </m:t>
              </m:r>
              <m:sSub>
                <m:e>
                  <m:r>
                    <w:rPr>
                      <w:sz w:val="16"/>
                      <w:color w:val="173E34"/>
                    </w:rPr>
                    <m:t>δ</m:t>
                  </m:r>
                </m:e>
                <m:sub>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Approved deduction or supported bound</w:t>
            </w:r>
          </w:p>
          <w:p>
            <w:pPr>
              <w:spacing w:before="40" w:after="40"/>
            </w:pPr>
            <m:oMath>
              <m:sSub>
                <m:e>
                  <m:r>
                    <w:rPr>
                      <w:sz w:val="16"/>
                      <w:color w:val="173E34"/>
                    </w:rPr>
                    <m:t>u</m:t>
                  </m:r>
                </m:e>
                <m:sub>
                  <m:sSub>
                    <m:e>
                      <m:r>
                        <w:rPr>
                          <w:sz w:val="16"/>
                          <w:color w:val="173E34"/>
                        </w:rPr>
                        <m:t>Q</m:t>
                      </m:r>
                    </m:e>
                    <m:sub>
                      <m:r>
                        <w:rPr>
                          <w:sz w:val="16"/>
                          <w:color w:val="173E34"/>
                        </w:rPr>
                        <m:t>t</m:t>
                      </m:r>
                    </m:sub>
                  </m:sSub>
                </m:sub>
              </m:sSub>
              <m:r>
                <w:rPr>
                  <w:sz w:val="16"/>
                  <w:color w:val="173E34"/>
                </w:rPr>
                <m:rPr>
                  <m:sty m:val="p"/>
                </m:rPr>
                <m:t>,</m:t>
              </m:r>
              <m:r>
                <w:rPr>
                  <w:sz w:val="16"/>
                  <w:color w:val="173E34"/>
                </w:rPr>
                <m:t> </m:t>
              </m:r>
              <m:sSub>
                <m:e>
                  <m:r>
                    <w:rPr>
                      <w:sz w:val="16"/>
                      <w:color w:val="173E34"/>
                    </w:rPr>
                    <m:t>k</m:t>
                  </m:r>
                </m:e>
                <m:sub>
                  <m:r>
                    <w:rPr>
                      <w:sz w:val="16"/>
                      <w:color w:val="173E34"/>
                    </w:rPr>
                    <m:t>1</m:t>
                  </m:r>
                  <m:r>
                    <w:rPr>
                      <w:sz w:val="16"/>
                      <w:color w:val="173E34"/>
                    </w:rPr>
                    <m:rPr>
                      <m:sty m:val="p"/>
                    </m:rPr>
                    <m:t>−</m:t>
                  </m:r>
                  <m:r>
                    <w:rPr>
                      <w:sz w:val="16"/>
                      <w:color w:val="173E34"/>
                    </w:rPr>
                    <m:t>α</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Q_low and separate materiality findings</w:t>
            </w:r>
          </w:p>
          <w:p>
            <w:pPr>
              <w:spacing w:before="40" w:after="40"/>
            </w:pPr>
            <m:oMath>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7-1-EN-1-1"/>
                <w:tag w:val="sec_07-1-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1-EN-1-2"/>
                <w:tag w:val="sec_07-1-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1-EN-1-3"/>
                <w:tag w:val="sec_07-1-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7-1-EN-2-1"/>
                <w:tag w:val="sec_07-1-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7-1-EN-2-2"/>
                <w:tag w:val="sec_07-1-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7-1-EN-2-3"/>
                <w:tag w:val="sec_07-1-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7-1-EN-3-1"/>
                <w:tag w:val="sec_07-1-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1-EN-3-2"/>
                <w:tag w:val="sec_07-1-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7-1-EN-3-3"/>
                <w:tag w:val="sec_07-1-EN-3-3"/>
                <w:text/>
              </w:sdtPr>
              <w:sdtContent>
                <w:r>
                  <w:rPr>
                    <w:rFonts w:ascii="Lato" w:hAnsi="Lato"/>
                    <w:sz w:val="18"/>
                    <w:color w:val="62716E"/>
                  </w:rPr>
                  <w:t>[Complete]</w:t>
                </w:r>
              </w:sdtContent>
            </w:sdt>
          </w:p>
        </w:tc>
      </w:tr>
    </w:tbl>
    <w:p>
      <w:pPr>
        <w:spacing w:after="0"/>
      </w:pPr>
    </w:p>
    <w:p>
      <w:pPr>
        <w:pStyle w:val="Heading2"/>
        <w:keepNext/>
      </w:pPr>
      <w:r>
        <w:t>Completeness and adverse outcomes</w:t>
      </w:r>
    </w:p>
    <w:p>
      <w:pPr>
        <w:spacing w:after="80"/>
      </w:pPr>
      <w:r>
        <w:rPr>
          <w:rFonts w:ascii="Lato" w:hAnsi="Lato"/>
          <w:b w:val="0"/>
          <w:color w:val="62716E"/>
          <w:sz w:val="18"/>
        </w:rPr>
        <w:t>Show positive and negative results before the nonnegative eligible portion. Record missing inputs as missing. The uncertainty method and materiality screen are separate. Report both the assessed scope and any withheld scope.</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7-2-EN"/>
                <w:tag w:val="sec_07-2-EN"/>
                <w:text/>
              </w:sdtPr>
              <w:sdtContent>
                <w:r>
                  <w:rPr>
                    <w:rFonts w:ascii="Lato" w:hAnsi="Lato"/>
                    <w:sz w:val="18"/>
                    <w:color w:val="62716E"/>
                  </w:rPr>
                  <w:t>[Enter response and exact evidence references.]</w:t>
                </w:r>
              </w:sdtContent>
            </w:sdt>
          </w:p>
        </w:tc>
      </w:tr>
    </w:tbl>
    <w:p>
      <w:pPr>
        <w:spacing w:after="20" w:before="0" w:line="96" w:lineRule="auto"/>
      </w:pPr>
    </w:p>
    <w:p>
      <w:bookmarkStart w:id="3008" w:name="sec_08"/>
      <w:pPr>
        <w:pStyle w:val="Heading1"/>
        <w:keepNext/>
        <w:pageBreakBefore/>
      </w:pPr>
      <w:r>
        <w:t>08  Liabilities, reserve and conditional NVEU request</w:t>
      </w:r>
      <w:bookmarkEnd w:id="3008"/>
    </w:p>
    <w:p>
      <w:pPr>
        <w:spacing w:after="120"/>
      </w:pPr>
      <w:r>
        <w:rPr>
          <w:rFonts w:ascii="Lato" w:hAnsi="Lato"/>
          <w:b w:val="0"/>
          <w:color w:val="62716E"/>
          <w:sz w:val="16"/>
        </w:rPr>
        <w:t>[1] Basis: F-03; F-R03; F-R04; F-R05a; F-R05b; U-01; U-07; FRM-02/C; FRM-09</w:t>
      </w:r>
    </w:p>
    <w:p>
      <w:pPr>
        <w:pStyle w:val="Heading2"/>
        <w:keepNext/>
      </w:pPr>
      <w:r>
        <w:t>Candidate allocation versus executed settlement</w:t>
      </w:r>
    </w:p>
    <w:p>
      <w:pPr>
        <w:keepNext/>
        <w:spacing w:before="40" w:after="60"/>
      </w:pPr>
      <w:r>
        <w:rPr>
          <w:rFonts w:ascii="Lato" w:hAnsi="Lato"/>
          <w:color w:val="315B50"/>
          <w:sz w:val="18"/>
        </w:rPr>
        <w:t>EXPOST-T14 / Calculation notation</w:t>
      </w:r>
    </w:p>
    <w:p>
      <w:pPr>
        <w:keepNext/>
        <w:spacing w:before="40" w:after="60"/>
      </w:pPr>
      <m:oMath>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r>
          <w:rPr>
            <w:sz w:val="18"/>
          </w:rPr>
          <m:rPr>
            <m:sty m:val="p"/>
          </m:rPr>
          <m:t>max</m:t>
        </m:r>
        <m:d>
          <m:dPr>
            <m:begChr m:val="("/>
            <m:endChr m:val=")"/>
            <m:sepChr m:val=""/>
            <m:grow/>
          </m:dPr>
          <m:e>
            <m:r>
              <w:rPr>
                <w:sz w:val="18"/>
              </w:rPr>
              <m:t>0</m:t>
            </m:r>
            <m:r>
              <w:rPr>
                <w:sz w:val="18"/>
              </w:rPr>
              <m:rPr>
                <m:sty m:val="p"/>
              </m:rPr>
              <m:t>,</m:t>
            </m:r>
            <m:sSubSup>
              <m:e>
                <m:r>
                  <w:rPr>
                    <w:sz w:val="18"/>
                  </w:rPr>
                  <m:t>Q</m:t>
                </m:r>
              </m:e>
              <m:sub>
                <m:r>
                  <w:rPr>
                    <w:sz w:val="18"/>
                  </w:rPr>
                  <m:t>t</m:t>
                </m:r>
              </m:sub>
              <m:sup>
                <m:r>
                  <w:rPr>
                    <w:sz w:val="18"/>
                  </w:rPr>
                  <m:rPr>
                    <m:sty m:val="p"/>
                  </m:rPr>
                  <m:t>l</m:t>
                </m:r>
                <m:r>
                  <w:rPr>
                    <w:sz w:val="18"/>
                  </w:rPr>
                  <m:rPr>
                    <m:sty m:val="p"/>
                  </m:rPr>
                  <m:t>o</m:t>
                </m:r>
                <m:r>
                  <w:rPr>
                    <w:sz w:val="18"/>
                  </w:rPr>
                  <m:rPr>
                    <m:sty m:val="p"/>
                  </m:rPr>
                  <m:t>w</m:t>
                </m:r>
              </m:sup>
            </m:sSubSup>
          </m:e>
        </m:d>
        <m:r>
          <w:rPr>
            <w:sz w:val="18"/>
          </w:rPr>
          <m:rPr>
            <m:sty m:val="p"/>
          </m:rPr>
          <m:t>,</m:t>
        </m:r>
        <m:r>
          <w:rPr>
            <w:sz w:val="18"/>
          </w:rPr>
          <m:t> </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rPr>
            <m:sty m:val="p"/>
          </m:rPr>
          <m:t>min</m:t>
        </m:r>
        <m:d>
          <m:dPr>
            <m:begChr m:val="("/>
            <m:endChr m:val=")"/>
            <m:sepChr m:val=""/>
            <m:grow/>
          </m:dPr>
          <m:e>
            <m:sSub>
              <m:e>
                <m:r>
                  <w:rPr>
                    <w:sz w:val="18"/>
                  </w:rPr>
                  <m:t>D</m:t>
                </m:r>
              </m:e>
              <m:sub>
                <m:r>
                  <w:rPr>
                    <w:sz w:val="18"/>
                  </w:rPr>
                  <m:t>t</m:t>
                </m:r>
              </m:sub>
            </m:sSub>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e>
        </m:d>
      </m:oMath>
    </w:p>
    <w:p>
      <w:pPr>
        <w:keepNext/>
        <w:spacing w:before="40" w:after="60"/>
      </w:pPr>
      <m:oMath>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t> </m:t>
        </m:r>
        <m:sSubSup>
          <m:e>
            <m:r>
              <w:rPr>
                <w:sz w:val="18"/>
              </w:rPr>
              <m:t>J</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
          <m:e>
            <m:r>
              <w:rPr>
                <w:sz w:val="18"/>
              </w:rPr>
              <m:t>B</m:t>
            </m:r>
          </m:e>
          <m:sub>
            <m:r>
              <w:rPr>
                <w:sz w:val="18"/>
              </w:rPr>
              <m:t>t</m:t>
            </m:r>
          </m:sub>
        </m:sSub>
      </m:oMath>
    </w:p>
    <w:p>
      <w:pPr>
        <w:keepNext/>
        <w:spacing w:before="40" w:after="60"/>
      </w:pPr>
      <w:r>
        <w:rPr>
          <w:rFonts w:ascii="Lato" w:hAnsi="Lato"/>
          <w:color w:val="315B50"/>
          <w:sz w:val="16"/>
        </w:rPr>
        <w:t>cand distinguishes a worksheet proposal from an executed posting. D_set is actual evidenced settlement; D_rem = D - D_set. Do not reduce posted liability by D_cand. A larger required reserve than the candidate base is a shortfall, not funded protection. No rounding is implied.</w:t>
      </w:r>
    </w:p>
    <w:p>
      <w:pPr>
        <w:keepNext/>
        <w:spacing w:before="40" w:after="60"/>
      </w:pPr>
      <w:r>
        <w:rPr>
          <w:rFonts w:ascii="Lato" w:hAnsi="Lato"/>
          <w:color w:val="315B50"/>
          <w:sz w:val="14"/>
        </w:rPr>
        <w:t>Basis: M05.4; M05.5; F-R03 | Workbook: Settlement!B:L; ExAnte!M:O (forecast only)</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Opening liability / settlement candidate</w:t>
            </w:r>
          </w:p>
          <w:p>
            <w:pPr>
              <w:spacing w:before="40" w:after="40"/>
            </w:pPr>
            <m:oMath>
              <m:sSub>
                <m:e>
                  <m:r>
                    <w:rPr>
                      <w:sz w:val="16"/>
                      <w:color w:val="173E34"/>
                    </w:rPr>
                    <m:t>D</m:t>
                  </m:r>
                </m:e>
                <m:sub>
                  <m:r>
                    <w:rPr>
                      <w:sz w:val="16"/>
                      <w:color w:val="173E34"/>
                    </w:rPr>
                    <m:t>t</m:t>
                  </m:r>
                </m:sub>
              </m:sSub>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Actual settlement and execution evidence</w:t>
            </w:r>
          </w:p>
          <w:p>
            <w:pPr>
              <w:spacing w:before="40" w:after="40"/>
            </w:pPr>
            <m:oMath>
              <m:sSubSup>
                <m:e>
                  <m:r>
                    <w:rPr>
                      <w:sz w:val="16"/>
                      <w:color w:val="173E34"/>
                    </w:rPr>
                    <m:t>D</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Sup>
                <m:e>
                  <m:r>
                    <w:rPr>
                      <w:sz w:val="16"/>
                      <w:color w:val="173E34"/>
                    </w:rPr>
                    <m:t>D</m:t>
                  </m:r>
                </m:e>
                <m:sub>
                  <m:r>
                    <w:rPr>
                      <w:sz w:val="16"/>
                      <w:color w:val="173E34"/>
                    </w:rPr>
                    <m:t>t</m:t>
                  </m:r>
                </m:sub>
                <m:sup>
                  <m:r>
                    <w:rPr>
                      <w:sz w:val="16"/>
                      <w:color w:val="173E34"/>
                    </w:rPr>
                    <m:rPr>
                      <m:sty m:val="p"/>
                    </m:rPr>
                    <m:t>s</m:t>
                  </m:r>
                  <m:r>
                    <w:rPr>
                      <w:sz w:val="16"/>
                      <w:color w:val="173E34"/>
                    </w:rPr>
                    <m:rPr>
                      <m:sty m:val="p"/>
                    </m:rPr>
                    <m:t>e</m:t>
                  </m:r>
                  <m:r>
                    <w:rPr>
                      <w:sz w:val="16"/>
                      <w:color w:val="173E34"/>
                    </w:rPr>
                    <m:rPr>
                      <m:sty m:val="p"/>
                    </m:rPr>
                    <m:t>t</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Post-liability base / new reserve / available mass</w:t>
            </w:r>
          </w:p>
          <w:p>
            <w:pPr>
              <w:spacing w:before="40" w:after="40"/>
            </w:pPr>
            <m:oMath>
              <m:sSubSup>
                <m:e>
                  <m:r>
                    <w:rPr>
                      <w:sz w:val="16"/>
                      <w:color w:val="173E34"/>
                    </w:rPr>
                    <m:t>Q</m:t>
                  </m:r>
                </m:e>
                <m:sub>
                  <m:r>
                    <w:rPr>
                      <w:sz w:val="16"/>
                      <w:color w:val="173E34"/>
                    </w:rPr>
                    <m:t>t</m:t>
                  </m:r>
                </m:sub>
                <m:sup>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e</m:t>
                  </m:r>
                  <m:r>
                    <w:rPr>
                      <w:sz w:val="16"/>
                      <w:color w:val="173E34"/>
                    </w:rPr>
                    <m:rPr>
                      <m:sty m:val="p"/>
                    </m:rPr>
                    <m:t>,</m:t>
                  </m:r>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
                <m:e>
                  <m:r>
                    <w:rPr>
                      <w:sz w:val="16"/>
                      <w:color w:val="173E34"/>
                    </w:rPr>
                    <m:t>B</m:t>
                  </m:r>
                </m:e>
                <m:sub>
                  <m:r>
                    <w:rPr>
                      <w:sz w:val="16"/>
                      <w:color w:val="173E34"/>
                    </w:rPr>
                    <m:t>t</m:t>
                  </m:r>
                </m:sub>
              </m:sSub>
              <m:r>
                <w:rPr>
                  <w:sz w:val="16"/>
                  <w:color w:val="173E34"/>
                </w:rPr>
                <m:rPr>
                  <m:sty m:val="p"/>
                </m:rPr>
                <m:t>,</m:t>
              </m:r>
              <m:r>
                <w:rPr>
                  <w:sz w:val="16"/>
                  <w:color w:val="173E34"/>
                </w:rPr>
                <m:t> </m:t>
              </m:r>
              <m:sSubSup>
                <m:e>
                  <m:r>
                    <w:rPr>
                      <w:sz w:val="16"/>
                      <w:color w:val="173E34"/>
                    </w:rPr>
                    <m:t>J</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8-0-EN-1-1"/>
                <w:tag w:val="sec_08-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0-EN-1-2"/>
                <w:tag w:val="sec_08-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0-EN-1-3"/>
                <w:tag w:val="sec_08-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8-0-EN-2-1"/>
                <w:tag w:val="sec_08-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8-0-EN-2-2"/>
                <w:tag w:val="sec_08-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8-0-EN-2-3"/>
                <w:tag w:val="sec_08-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8-0-EN-3-1"/>
                <w:tag w:val="sec_08-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0-EN-3-2"/>
                <w:tag w:val="sec_08-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0-EN-3-3"/>
                <w:tag w:val="sec_08-0-EN-3-3"/>
                <w:text/>
              </w:sdtPr>
              <w:sdtContent>
                <w:r>
                  <w:rPr>
                    <w:rFonts w:ascii="Lato" w:hAnsi="Lato"/>
                    <w:sz w:val="18"/>
                    <w:color w:val="62716E"/>
                  </w:rPr>
                  <w:t>[Complete]</w:t>
                </w:r>
              </w:sdtContent>
            </w:sdt>
          </w:p>
        </w:tc>
      </w:tr>
    </w:tbl>
    <w:p>
      <w:pPr>
        <w:spacing w:after="0"/>
      </w:pPr>
    </w:p>
    <w:p>
      <w:pPr>
        <w:pStyle w:val="Heading2"/>
        <w:keepNext/>
      </w:pPr>
      <w:r>
        <w:t>Deficit and closing liability</w:t>
      </w:r>
    </w:p>
    <w:p>
      <w:pPr>
        <w:keepNext/>
        <w:spacing w:before="40" w:after="60"/>
      </w:pPr>
      <w:r>
        <w:rPr>
          <w:rFonts w:ascii="Lato" w:hAnsi="Lato"/>
          <w:color w:val="315B50"/>
          <w:sz w:val="18"/>
        </w:rPr>
        <w:t>EXPOST-T15 / Calculation notation</w:t>
      </w:r>
    </w:p>
    <w:p>
      <w:pPr>
        <w:keepNext/>
        <w:spacing w:before="40" w:after="60"/>
      </w:pPr>
      <m:oMath>
        <m:sSubSup>
          <m:e>
            <m:r>
              <w:rPr>
                <w:sz w:val="18"/>
              </w:rPr>
              <m:t>N</m:t>
            </m:r>
          </m:e>
          <m:sub>
            <m:r>
              <w:rPr>
                <w:sz w:val="18"/>
              </w:rPr>
              <m:t>t</m:t>
            </m:r>
          </m:sub>
          <m:sup>
            <m:r>
              <w:rPr>
                <w:sz w:val="18"/>
              </w:rPr>
              <m:rPr>
                <m:sty m:val="p"/>
              </m:rPr>
              <m:t>−</m:t>
            </m:r>
          </m:sup>
        </m:sSubSup>
        <m:r>
          <w:rPr>
            <w:sz w:val="18"/>
          </w:rPr>
          <m:rPr>
            <m:sty m:val="p"/>
          </m:rPr>
          <m:t>=</m:t>
        </m:r>
        <m:r>
          <w:rPr>
            <w:sz w:val="18"/>
          </w:rPr>
          <m:rPr>
            <m:sty m:val="p"/>
          </m:rPr>
          <m:t>max</m:t>
        </m:r>
        <m:d>
          <m:dPr>
            <m:begChr m:val="("/>
            <m:endChr m:val=")"/>
            <m:sepChr m:val=""/>
            <m:grow/>
          </m:dPr>
          <m:e>
            <m:r>
              <w:rPr>
                <w:sz w:val="18"/>
              </w:rPr>
              <m:t>0</m:t>
            </m:r>
            <m:r>
              <w:rPr>
                <w:sz w:val="18"/>
              </w:rPr>
              <m:rPr>
                <m:sty m:val="p"/>
              </m:rPr>
              <m:t>,</m:t>
            </m:r>
            <m:r>
              <w:rPr>
                <w:sz w:val="18"/>
              </w:rPr>
              <m:rPr>
                <m:sty m:val="p"/>
              </m:rPr>
              <m:t>−</m:t>
            </m:r>
            <m:sSubSup>
              <m:e>
                <m:r>
                  <w:rPr>
                    <w:sz w:val="18"/>
                  </w:rPr>
                  <m:t>Q</m:t>
                </m:r>
              </m:e>
              <m:sub>
                <m:r>
                  <w:rPr>
                    <w:sz w:val="18"/>
                  </w:rPr>
                  <m:t>t</m:t>
                </m:r>
              </m:sub>
              <m:sup>
                <m:r>
                  <w:rPr>
                    <w:sz w:val="18"/>
                  </w:rPr>
                  <m:rPr>
                    <m:sty m:val="p"/>
                  </m:rPr>
                  <m:t>l</m:t>
                </m:r>
                <m:r>
                  <w:rPr>
                    <w:sz w:val="18"/>
                  </w:rPr>
                  <m:rPr>
                    <m:sty m:val="p"/>
                  </m:rPr>
                  <m:t>o</m:t>
                </m:r>
                <m:r>
                  <w:rPr>
                    <w:sz w:val="18"/>
                  </w:rPr>
                  <m:rPr>
                    <m:sty m:val="p"/>
                  </m:rPr>
                  <m:t>w</m:t>
                </m:r>
              </m:sup>
            </m:sSubSup>
          </m:e>
        </m:d>
        <m:r>
          <w:rPr>
            <w:sz w:val="18"/>
          </w:rPr>
          <m:rPr>
            <m:sty m:val="p"/>
          </m:rPr>
          <m:t>,</m:t>
        </m:r>
        <m:r>
          <w:rPr>
            <w:sz w:val="18"/>
          </w:rPr>
          <m:t> </m:t>
        </m:r>
        <m:r>
          <w:rPr>
            <w:sz w:val="18"/>
          </w:rPr>
          <m:t>Δ</m:t>
        </m:r>
        <m:sSubSup>
          <m:e>
            <m:r>
              <w:rPr>
                <w:sz w:val="18"/>
              </w:rPr>
              <m:t>D</m:t>
            </m:r>
          </m:e>
          <m:sub>
            <m:r>
              <w:rPr>
                <w:sz w:val="18"/>
              </w:rPr>
              <m:t>t</m:t>
            </m:r>
          </m:sub>
          <m:sup>
            <m:r>
              <w:rPr>
                <w:sz w:val="18"/>
              </w:rPr>
              <m:rPr>
                <m:sty m:val="p"/>
              </m:rPr>
              <m:t>−</m:t>
            </m:r>
          </m:sup>
        </m:sSubSup>
        <m:r>
          <w:rPr>
            <w:sz w:val="18"/>
          </w:rPr>
          <m:rPr>
            <m:sty m:val="p"/>
          </m:rPr>
          <m:t>=</m:t>
        </m:r>
        <m:sSubSup>
          <m:e>
            <m:r>
              <w:rPr>
                <w:sz w:val="18"/>
              </w:rPr>
              <m:t>N</m:t>
            </m:r>
          </m:e>
          <m:sub>
            <m:r>
              <w:rPr>
                <w:sz w:val="18"/>
              </w:rPr>
              <m:t>t</m:t>
            </m:r>
          </m:sub>
          <m:sup>
            <m:r>
              <w:rPr>
                <w:sz w:val="18"/>
              </w:rPr>
              <m:rPr>
                <m:sty m:val="p"/>
              </m:rPr>
              <m:t>−</m:t>
            </m:r>
          </m:sup>
        </m:sSubSup>
        <m:r>
          <w:rPr>
            <w:sz w:val="18"/>
          </w:rPr>
          <m:rPr>
            <m:sty m:val="p"/>
          </m:rPr>
          <m:t>−</m:t>
        </m:r>
        <m:sSub>
          <m:e>
            <m:r>
              <w:rPr>
                <w:sz w:val="18"/>
              </w:rPr>
              <m:t>O</m:t>
            </m:r>
          </m:e>
          <m:sub>
            <m:r>
              <w:rPr>
                <w:sz w:val="18"/>
              </w:rPr>
              <m:t>t</m:t>
            </m:r>
          </m:sub>
        </m:sSub>
        <m:r>
          <w:rPr>
            <w:sz w:val="18"/>
          </w:rPr>
          <m:rPr>
            <m:sty m:val="p"/>
          </m:rPr>
          <m:t>−</m:t>
        </m:r>
        <m:sSubSup>
          <m:e>
            <m:r>
              <w:rPr>
                <w:sz w:val="18"/>
              </w:rPr>
              <m:t>C</m:t>
            </m:r>
          </m:e>
          <m:sub>
            <m:r>
              <w:rPr>
                <w:sz w:val="18"/>
              </w:rPr>
              <m:t>t</m:t>
            </m:r>
          </m:sub>
          <m:sup>
            <m:r>
              <w:rPr>
                <w:sz w:val="18"/>
              </w:rPr>
              <m:rPr>
                <m:sty m:val="p"/>
              </m:rPr>
              <m:t>−</m:t>
            </m:r>
          </m:sup>
        </m:sSubSup>
      </m:oMath>
    </w:p>
    <w:p>
      <w:pPr>
        <w:keepNext/>
        <w:spacing w:before="40" w:after="60"/>
      </w:pPr>
      <m:oMath>
        <m:sSub>
          <m:e>
            <m:r>
              <w:rPr>
                <w:sz w:val="18"/>
              </w:rPr>
              <m:t>D</m:t>
            </m:r>
          </m:e>
          <m:sub>
            <m:r>
              <w:rPr>
                <w:sz w:val="18"/>
              </w:rPr>
              <m:t>t</m:t>
            </m:r>
            <m:r>
              <w:rPr>
                <w:sz w:val="18"/>
              </w:rPr>
              <m:rPr>
                <m:sty m:val="p"/>
              </m:rPr>
              <m:t>+</m:t>
            </m:r>
            <m:r>
              <w:rPr>
                <w:sz w:val="18"/>
              </w:rPr>
              <m:t>1</m:t>
            </m:r>
          </m:sub>
        </m:sSub>
        <m:r>
          <w:rPr>
            <w:sz w:val="18"/>
          </w:rPr>
          <m:rPr>
            <m:sty m:val="p"/>
          </m:rPr>
          <m:t>=</m:t>
        </m:r>
        <m:sSubSup>
          <m:e>
            <m:r>
              <w:rPr>
                <w:sz w:val="18"/>
              </w:rPr>
              <m:t>D</m:t>
            </m:r>
          </m:e>
          <m:sub>
            <m:r>
              <w:rPr>
                <w:sz w:val="18"/>
              </w:rPr>
              <m:t>t</m:t>
            </m:r>
          </m:sub>
          <m:sup>
            <m:r>
              <w:rPr>
                <w:sz w:val="18"/>
              </w:rPr>
              <m:rPr>
                <m:sty m:val="p"/>
              </m:rPr>
              <m:t>r</m:t>
            </m:r>
            <m:r>
              <w:rPr>
                <w:sz w:val="18"/>
              </w:rPr>
              <m:rPr>
                <m:sty m:val="p"/>
              </m:rPr>
              <m:t>e</m:t>
            </m:r>
            <m:r>
              <w:rPr>
                <w:sz w:val="18"/>
              </w:rPr>
              <m:rPr>
                <m:sty m:val="p"/>
              </m:rPr>
              <m:t>m</m:t>
            </m:r>
          </m:sup>
        </m:sSubSup>
        <m:r>
          <w:rPr>
            <w:sz w:val="18"/>
          </w:rPr>
          <m:rPr>
            <m:sty m:val="p"/>
          </m:rPr>
          <m:t>+</m:t>
        </m:r>
        <m:r>
          <w:rPr>
            <w:sz w:val="18"/>
          </w:rPr>
          <m:t>Δ</m:t>
        </m:r>
        <m:sSubSup>
          <m:e>
            <m:r>
              <w:rPr>
                <w:sz w:val="18"/>
              </w:rPr>
              <m:t>D</m:t>
            </m:r>
          </m:e>
          <m:sub>
            <m:r>
              <w:rPr>
                <w:sz w:val="18"/>
              </w:rPr>
              <m:t>t</m:t>
            </m:r>
          </m:sub>
          <m:sup>
            <m:r>
              <w:rPr>
                <w:sz w:val="18"/>
              </w:rPr>
              <m:rPr>
                <m:sty m:val="p"/>
              </m:rPr>
              <m:t>−</m:t>
            </m:r>
          </m:sup>
        </m:sSubSup>
      </m:oMath>
    </w:p>
    <w:p>
      <w:pPr>
        <w:keepNext/>
        <w:spacing w:before="40" w:after="60"/>
      </w:pPr>
      <w:r>
        <w:rPr>
          <w:rFonts w:ascii="Lato" w:hAnsi="Lato"/>
          <w:color w:val="315B50"/>
          <w:sz w:val="16"/>
        </w:rPr>
        <w:t>FULL_BOUND only when expressly adopted. O is a documented previously recognized portion of the same deficit; C_minus is executed reserve cancellation for a disjoint portion. Require O+C_minus &lt;= N_minus. A negative uncertainty bound is not automatically a physical reversal.</w:t>
      </w:r>
    </w:p>
    <w:p>
      <w:pPr>
        <w:keepNext/>
        <w:spacing w:before="40" w:after="60"/>
      </w:pPr>
      <w:r>
        <w:rPr>
          <w:rFonts w:ascii="Lato" w:hAnsi="Lato"/>
          <w:color w:val="315B50"/>
          <w:sz w:val="14"/>
        </w:rPr>
        <w:t>Basis: F-R05a; F-R05b; F-03 | Workbook: CarryForward!B:J; Settlement!I</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Negative result / applicable profile</w:t>
            </w:r>
          </w:p>
          <w:p>
            <w:pPr>
              <w:spacing w:before="40" w:after="40"/>
            </w:pPr>
            <m:oMath>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r>
                <w:rPr>
                  <w:sz w:val="16"/>
                  <w:color w:val="173E34"/>
                </w:rPr>
                <m:rPr>
                  <m:sty m:val="p"/>
                </m:rPr>
                <m:t>,</m:t>
              </m:r>
              <m:r>
                <w:rPr>
                  <w:sz w:val="16"/>
                  <w:color w:val="173E34"/>
                </w:rPr>
                <m:t> </m:t>
              </m:r>
              <m:sSubSup>
                <m:e>
                  <m:r>
                    <w:rPr>
                      <w:sz w:val="16"/>
                      <w:color w:val="173E34"/>
                    </w:rPr>
                    <m:t>N</m:t>
                  </m:r>
                </m:e>
                <m:sub>
                  <m:r>
                    <w:rPr>
                      <w:sz w:val="16"/>
                      <w:color w:val="173E34"/>
                    </w:rPr>
                    <m:t>t</m:t>
                  </m:r>
                </m:sub>
                <m:sup>
                  <m:r>
                    <w:rPr>
                      <w:sz w:val="16"/>
                      <w:color w:val="173E34"/>
                    </w:rPr>
                    <m:rPr>
                      <m:sty m:val="p"/>
                    </m:rPr>
                    <m:t>−</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Prior recognized overlap / executed cancellation</w:t>
            </w:r>
          </w:p>
          <w:p>
            <w:pPr>
              <w:spacing w:before="40" w:after="40"/>
            </w:pPr>
            <m:oMath>
              <m:sSub>
                <m:e>
                  <m:r>
                    <w:rPr>
                      <w:sz w:val="16"/>
                      <w:color w:val="173E34"/>
                    </w:rPr>
                    <m:t>O</m:t>
                  </m:r>
                </m:e>
                <m:sub>
                  <m:r>
                    <w:rPr>
                      <w:sz w:val="16"/>
                      <w:color w:val="173E34"/>
                    </w:rPr>
                    <m:t>t</m:t>
                  </m:r>
                </m:sub>
              </m:sSub>
              <m:r>
                <w:rPr>
                  <w:sz w:val="16"/>
                  <w:color w:val="173E34"/>
                </w:rPr>
                <m:rPr>
                  <m:sty m:val="p"/>
                </m:rPr>
                <m:t>,</m:t>
              </m:r>
              <m:r>
                <w:rPr>
                  <w:sz w:val="16"/>
                  <w:color w:val="173E34"/>
                </w:rPr>
                <m:t> </m:t>
              </m:r>
              <m:sSubSup>
                <m:e>
                  <m:r>
                    <w:rPr>
                      <w:sz w:val="16"/>
                      <w:color w:val="173E34"/>
                    </w:rPr>
                    <m:t>C</m:t>
                  </m:r>
                </m:e>
                <m:sub>
                  <m:r>
                    <w:rPr>
                      <w:sz w:val="16"/>
                      <w:color w:val="173E34"/>
                    </w:rPr>
                    <m:t>t</m:t>
                  </m:r>
                </m:sub>
                <m:sup>
                  <m:r>
                    <w:rPr>
                      <w:sz w:val="16"/>
                      <w:color w:val="173E34"/>
                    </w:rPr>
                    <m:rPr>
                      <m:sty m:val="p"/>
                    </m:rPr>
                    <m:t>−</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New deficit, closing balance and next-period link</w:t>
            </w:r>
          </w:p>
          <w:p>
            <w:pPr>
              <w:spacing w:before="40" w:after="40"/>
            </w:pPr>
            <m:oMath>
              <m:r>
                <w:rPr>
                  <w:sz w:val="16"/>
                  <w:color w:val="173E34"/>
                </w:rPr>
                <m:t>Δ</m:t>
              </m:r>
              <m:sSubSup>
                <m:e>
                  <m:r>
                    <w:rPr>
                      <w:sz w:val="16"/>
                      <w:color w:val="173E34"/>
                    </w:rPr>
                    <m:t>D</m:t>
                  </m:r>
                </m:e>
                <m:sub>
                  <m:r>
                    <w:rPr>
                      <w:sz w:val="16"/>
                      <w:color w:val="173E34"/>
                    </w:rPr>
                    <m:t>t</m:t>
                  </m:r>
                </m:sub>
                <m:sup>
                  <m:r>
                    <w:rPr>
                      <w:sz w:val="16"/>
                      <w:color w:val="173E34"/>
                    </w:rPr>
                    <m:rPr>
                      <m:sty m:val="p"/>
                    </m:rPr>
                    <m:t>−</m:t>
                  </m:r>
                </m:sup>
              </m:sSubSup>
              <m:r>
                <w:rPr>
                  <w:sz w:val="16"/>
                  <w:color w:val="173E34"/>
                </w:rPr>
                <m:rPr>
                  <m:sty m:val="p"/>
                </m:rPr>
                <m:t>,</m:t>
              </m:r>
              <m:r>
                <w:rPr>
                  <w:sz w:val="16"/>
                  <w:color w:val="173E34"/>
                </w:rPr>
                <m:t> </m:t>
              </m:r>
              <m:sSub>
                <m:e>
                  <m:r>
                    <w:rPr>
                      <w:sz w:val="16"/>
                      <w:color w:val="173E34"/>
                    </w:rPr>
                    <m:t>D</m:t>
                  </m:r>
                </m:e>
                <m:sub>
                  <m:r>
                    <w:rPr>
                      <w:sz w:val="16"/>
                      <w:color w:val="173E34"/>
                    </w:rPr>
                    <m:t>t</m:t>
                  </m:r>
                  <m:r>
                    <w:rPr>
                      <w:sz w:val="16"/>
                      <w:color w:val="173E34"/>
                    </w:rPr>
                    <m:rPr>
                      <m:sty m:val="p"/>
                    </m:rPr>
                    <m:t>+</m:t>
                  </m:r>
                  <m:r>
                    <w:rPr>
                      <w:sz w:val="16"/>
                      <w:color w:val="173E34"/>
                    </w:rPr>
                    <m:t>1</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8-1-EN-1-1"/>
                <w:tag w:val="sec_08-1-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1-EN-1-2"/>
                <w:tag w:val="sec_08-1-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1-EN-1-3"/>
                <w:tag w:val="sec_08-1-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8-1-EN-2-1"/>
                <w:tag w:val="sec_08-1-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8-1-EN-2-2"/>
                <w:tag w:val="sec_08-1-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8-1-EN-2-3"/>
                <w:tag w:val="sec_08-1-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8-1-EN-3-1"/>
                <w:tag w:val="sec_08-1-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1-EN-3-2"/>
                <w:tag w:val="sec_08-1-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8-1-EN-3-3"/>
                <w:tag w:val="sec_08-1-EN-3-3"/>
                <w:text/>
              </w:sdtPr>
              <w:sdtContent>
                <w:r>
                  <w:rPr>
                    <w:rFonts w:ascii="Lato" w:hAnsi="Lato"/>
                    <w:sz w:val="18"/>
                    <w:color w:val="62716E"/>
                  </w:rPr>
                  <w:t>[Complete]</w:t>
                </w:r>
              </w:sdtContent>
            </w:sdt>
          </w:p>
        </w:tc>
      </w:tr>
    </w:tbl>
    <w:p>
      <w:pPr>
        <w:spacing w:after="0"/>
      </w:pPr>
    </w:p>
    <w:p>
      <w:pPr>
        <w:pStyle w:val="Heading2"/>
        <w:keepNext/>
      </w:pPr>
      <w:r>
        <w:t>Units and authorizations</w:t>
      </w:r>
    </w:p>
    <w:p>
      <w:pPr>
        <w:spacing w:after="80"/>
      </w:pPr>
      <w:r>
        <w:rPr>
          <w:rFonts w:ascii="Lato" w:hAnsi="Lato"/>
          <w:b w:val="0"/>
          <w:color w:val="62716E"/>
          <w:sz w:val="18"/>
        </w:rPr>
        <w:t>Use NVEU only for the applicable authorized category. State denomination and increment if approved; otherwise retain physical quantities. A computed candidate is not issuance. Distinguish reserve required, reserve funded, reserve canceled, denomination residuals and other external carbon units.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8-2-EN"/>
                <w:tag w:val="sec_08-2-EN"/>
                <w:text/>
              </w:sdtPr>
              <w:sdtContent>
                <w:r>
                  <w:rPr>
                    <w:rFonts w:ascii="Lato" w:hAnsi="Lato"/>
                    <w:sz w:val="18"/>
                    <w:color w:val="62716E"/>
                  </w:rPr>
                  <w:t>[Enter response and exact evidence references.]</w:t>
                </w:r>
              </w:sdtContent>
            </w:sdt>
          </w:p>
        </w:tc>
      </w:tr>
    </w:tbl>
    <w:p>
      <w:pPr>
        <w:spacing w:after="20" w:before="0" w:line="96" w:lineRule="auto"/>
      </w:pPr>
    </w:p>
    <w:p>
      <w:bookmarkStart w:id="3009" w:name="sec_09"/>
      <w:pPr>
        <w:pStyle w:val="Heading1"/>
        <w:keepNext/>
        <w:pageBreakBefore/>
      </w:pPr>
      <w:r>
        <w:t>09  Ex-ante to ex-post comparison</w:t>
      </w:r>
      <w:bookmarkEnd w:id="3009"/>
    </w:p>
    <w:p>
      <w:pPr>
        <w:spacing w:after="120"/>
      </w:pPr>
      <w:r>
        <w:rPr>
          <w:rFonts w:ascii="Lato" w:hAnsi="Lato"/>
          <w:b w:val="0"/>
          <w:color w:val="62716E"/>
          <w:sz w:val="16"/>
        </w:rPr>
        <w:t>[1] Basis: P-13; P-14; S-18; M04.5; F-R01</w:t>
      </w:r>
    </w:p>
    <w:p>
      <w:pPr>
        <w:pStyle w:val="Heading2"/>
        <w:keepNext/>
      </w:pPr>
      <w:r>
        <w:t>Matched comparison</w:t>
      </w:r>
    </w:p>
    <w:p>
      <w:pPr>
        <w:keepNext/>
        <w:spacing w:before="40" w:after="60"/>
      </w:pPr>
      <w:r>
        <w:rPr>
          <w:rFonts w:ascii="Lato" w:hAnsi="Lato"/>
          <w:color w:val="315B50"/>
          <w:sz w:val="18"/>
        </w:rPr>
        <w:t>EXPOST-T16 / Calculation notation</w:t>
      </w:r>
    </w:p>
    <w:p>
      <w:pPr>
        <w:keepNext/>
        <w:spacing w:before="40" w:after="60"/>
      </w:pPr>
      <m:oMath>
        <m:r>
          <w:rPr>
            <w:sz w:val="18"/>
          </w:rPr>
          <m:t>Δ</m:t>
        </m:r>
        <m:sSub>
          <m:e>
            <m:r>
              <w:rPr>
                <w:sz w:val="18"/>
              </w:rPr>
              <m:t>Q</m:t>
            </m:r>
          </m:e>
          <m:sub>
            <m:r>
              <w:rPr>
                <w:sz w:val="18"/>
              </w:rPr>
              <m:t>t</m:t>
            </m:r>
          </m:sub>
        </m:sSub>
        <m:r>
          <w:rPr>
            <w:sz w:val="18"/>
          </w:rPr>
          <m:rPr>
            <m:sty m:val="p"/>
          </m:rPr>
          <m:t>=</m:t>
        </m:r>
        <m:sSubSup>
          <m:e>
            <m:r>
              <w:rPr>
                <w:sz w:val="18"/>
              </w:rPr>
              <m:t>Q</m:t>
            </m:r>
          </m:e>
          <m:sub>
            <m:r>
              <w:rPr>
                <w:sz w:val="18"/>
              </w:rPr>
              <m:t>t</m:t>
            </m:r>
          </m:sub>
          <m:sup>
            <m:r>
              <w:rPr>
                <w:sz w:val="18"/>
              </w:rPr>
              <m:rPr>
                <m:sty m:val="p"/>
              </m:rPr>
              <m:t>E</m:t>
            </m:r>
            <m:r>
              <w:rPr>
                <w:sz w:val="18"/>
              </w:rPr>
              <m:rPr>
                <m:sty m:val="p"/>
              </m:rPr>
              <m:t>P</m:t>
            </m:r>
          </m:sup>
        </m:sSubSup>
        <m:r>
          <w:rPr>
            <w:sz w:val="18"/>
          </w:rPr>
          <m:rPr>
            <m:sty m:val="p"/>
          </m:rPr>
          <m:t>−</m:t>
        </m:r>
        <m:sSubSup>
          <m:e>
            <m:r>
              <w:rPr>
                <w:sz w:val="18"/>
              </w:rPr>
              <m:t>Q</m:t>
            </m:r>
          </m:e>
          <m:sub>
            <m:r>
              <w:rPr>
                <w:sz w:val="18"/>
              </w:rPr>
              <m:t>t</m:t>
            </m:r>
          </m:sub>
          <m:sup>
            <m:r>
              <w:rPr>
                <w:sz w:val="18"/>
              </w:rPr>
              <m:rPr>
                <m:sty m:val="p"/>
              </m:rPr>
              <m:t>E</m:t>
            </m:r>
            <m:r>
              <w:rPr>
                <w:sz w:val="18"/>
              </w:rPr>
              <m:rPr>
                <m:sty m:val="p"/>
              </m:rPr>
              <m:t>A</m:t>
            </m:r>
          </m:sup>
        </m:sSubSup>
      </m:oMath>
    </w:p>
    <w:p>
      <w:pPr>
        <w:keepNext/>
        <w:spacing w:before="40" w:after="60"/>
      </w:pPr>
      <m:oMath>
        <m:r>
          <w:rPr>
            <w:sz w:val="18"/>
          </w:rPr>
          <m:t>Δ</m:t>
        </m:r>
        <m:sSub>
          <m:e>
            <m:r>
              <w:rPr>
                <w:sz w:val="18"/>
              </w:rPr>
              <m:t>Q</m:t>
            </m:r>
          </m:e>
          <m:sub>
            <m:r>
              <w:rPr>
                <w:sz w:val="18"/>
              </w:rPr>
              <m:t>t</m:t>
            </m:r>
          </m:sub>
        </m:sSub>
        <m:r>
          <w:rPr>
            <w:sz w:val="18"/>
          </w:rPr>
          <m:rPr>
            <m:sty m:val="p"/>
          </m:rPr>
          <m:t>=</m:t>
        </m:r>
        <m:r>
          <w:rPr>
            <w:sz w:val="18"/>
          </w:rPr>
          <m:t>Δ</m:t>
        </m:r>
        <m:sSub>
          <m:e>
            <m:r>
              <w:rPr>
                <w:sz w:val="18"/>
              </w:rPr>
              <m:t>N</m:t>
            </m:r>
          </m:e>
          <m:sub>
            <m:r>
              <w:rPr>
                <w:sz w:val="18"/>
              </w:rPr>
              <m:rPr>
                <m:sty m:val="p"/>
              </m:rPr>
              <m:t>B</m:t>
            </m:r>
            <m:r>
              <w:rPr>
                <w:sz w:val="18"/>
              </w:rPr>
              <m:rPr>
                <m:sty m:val="p"/>
              </m:rPr>
              <m:t>L</m:t>
            </m:r>
            <m:r>
              <w:rPr>
                <w:sz w:val="18"/>
              </w:rPr>
              <m:rPr>
                <m:sty m:val="p"/>
              </m:rPr>
              <m:t>,</m:t>
            </m:r>
            <m:r>
              <w:rPr>
                <w:sz w:val="18"/>
              </w:rPr>
              <m:t>t</m:t>
            </m:r>
          </m:sub>
        </m:sSub>
        <m:r>
          <w:rPr>
            <w:sz w:val="18"/>
          </w:rPr>
          <m:rPr>
            <m:sty m:val="p"/>
          </m:rPr>
          <m:t>−</m:t>
        </m:r>
        <m:r>
          <w:rPr>
            <w:sz w:val="18"/>
          </w:rPr>
          <m:t>Δ</m:t>
        </m:r>
        <m:sSub>
          <m:e>
            <m:r>
              <w:rPr>
                <w:sz w:val="18"/>
              </w:rPr>
              <m:t>N</m:t>
            </m:r>
          </m:e>
          <m:sub>
            <m:r>
              <w:rPr>
                <w:sz w:val="18"/>
              </w:rPr>
              <m:rPr>
                <m:sty m:val="p"/>
              </m:rPr>
              <m:t>P</m:t>
            </m:r>
            <m:r>
              <w:rPr>
                <w:sz w:val="18"/>
              </w:rPr>
              <m:rPr>
                <m:sty m:val="p"/>
              </m:rPr>
              <m:t>J</m:t>
            </m:r>
            <m:r>
              <w:rPr>
                <w:sz w:val="18"/>
              </w:rPr>
              <m:rPr>
                <m:sty m:val="p"/>
              </m:rPr>
              <m:t>,</m:t>
            </m:r>
            <m:r>
              <w:rPr>
                <w:sz w:val="18"/>
              </w:rPr>
              <m:t>t</m:t>
            </m:r>
          </m:sub>
        </m:sSub>
        <m:r>
          <w:rPr>
            <w:sz w:val="18"/>
          </w:rPr>
          <m:rPr>
            <m:sty m:val="p"/>
          </m:rPr>
          <m:t>−</m:t>
        </m:r>
        <m:r>
          <w:rPr>
            <w:sz w:val="18"/>
          </w:rPr>
          <m:t>Δ</m:t>
        </m:r>
        <m:sSub>
          <m:e>
            <m:r>
              <w:rPr>
                <w:sz w:val="18"/>
              </w:rPr>
              <m:t>L</m:t>
            </m:r>
          </m:e>
          <m:sub>
            <m:r>
              <w:rPr>
                <w:sz w:val="18"/>
              </w:rPr>
              <m:t>t</m:t>
            </m:r>
          </m:sub>
        </m:sSub>
      </m:oMath>
    </w:p>
    <w:p>
      <w:pPr>
        <w:keepNext/>
        <w:spacing w:before="40" w:after="60"/>
      </w:pPr>
      <w:r>
        <w:rPr>
          <w:rFonts w:ascii="Lato" w:hAnsi="Lato"/>
          <w:color w:val="315B50"/>
          <w:sz w:val="16"/>
        </w:rPr>
        <w:t>All deltas are EP minus the frozen EA value on the same support before uncertainty and reserve. r = deltaQ - (deltaBL - deltaPJ - deltaL) is an arithmetic residual. A forecast difference is not itself mitigation, causation, or a materiality finding.</w:t>
      </w:r>
    </w:p>
    <w:p>
      <w:pPr>
        <w:keepNext/>
        <w:spacing w:before="40" w:after="60"/>
      </w:pPr>
      <w:r>
        <w:rPr>
          <w:rFonts w:ascii="Lato" w:hAnsi="Lato"/>
          <w:color w:val="315B50"/>
          <w:sz w:val="14"/>
        </w:rPr>
        <w:t>Basis: M04.5; P-13; comparison identity | Workbook: Comparison!D:J</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Period / same scope / same unit</w:t>
            </w:r>
          </w:p>
          <w:p>
            <w:pPr>
              <w:spacing w:before="40" w:after="40"/>
            </w:pPr>
            <m:oMath>
              <m:r>
                <w:rPr>
                  <w:sz w:val="16"/>
                  <w:color w:val="173E34"/>
                </w:rPr>
                <m:t>t</m:t>
              </m:r>
              <m:r>
                <w:rPr>
                  <w:sz w:val="16"/>
                  <w:color w:val="173E34"/>
                </w:rPr>
                <m:rPr>
                  <m:sty m:val="p"/>
                </m:rPr>
                <m:t>,</m:t>
              </m:r>
              <m:r>
                <w:rPr>
                  <w:sz w:val="16"/>
                  <w:color w:val="173E34"/>
                </w:rPr>
                <m:t> </m:t>
              </m:r>
              <m:r>
                <w:rPr>
                  <w:sz w:val="16"/>
                  <w:color w:val="173E34"/>
                </w:rPr>
                <m:t>z</m:t>
              </m:r>
            </m:oMath>
          </w:p>
        </w:tc>
        <w:tc>
          <w:tcPr>
            <w:tcW w:type="dxa" w:w="3250"/>
            <w:tcMar>
              <w:top w:w="90" w:type="dxa"/>
              <w:bottom w:w="90" w:type="dxa"/>
              <w:left w:w="100" w:type="dxa"/>
              <w:right w:w="100" w:type="dxa"/>
            </w:tcMar>
            <w:vAlign w:val="center"/>
            <w:shd w:fill="E6F0EB"/>
          </w:tcPr>
          <w:p>
            <w:r>
              <w:rPr>
                <w:rFonts w:ascii="Lato" w:hAnsi="Lato"/>
                <w:b/>
                <w:color w:val="173E34"/>
                <w:sz w:val="17"/>
              </w:rPr>
              <w:t>Frozen ex-ante / reported ex-post</w:t>
            </w:r>
          </w:p>
          <w:p>
            <w:pPr>
              <w:spacing w:before="40" w:after="40"/>
            </w:pPr>
            <m:oMath>
              <m:sSubSup>
                <m:e>
                  <m:r>
                    <w:rPr>
                      <w:sz w:val="16"/>
                      <w:color w:val="173E34"/>
                    </w:rPr>
                    <m:t>Q</m:t>
                  </m:r>
                </m:e>
                <m:sub>
                  <m:r>
                    <w:rPr>
                      <w:sz w:val="16"/>
                      <w:color w:val="173E34"/>
                    </w:rPr>
                    <m:t>t</m:t>
                  </m:r>
                </m:sub>
                <m:sup>
                  <m:r>
                    <w:rPr>
                      <w:sz w:val="16"/>
                      <w:color w:val="173E34"/>
                    </w:rPr>
                    <m:rPr>
                      <m:sty m:val="p"/>
                    </m:rPr>
                    <m:t>E</m:t>
                  </m:r>
                  <m:r>
                    <w:rPr>
                      <w:sz w:val="16"/>
                      <w:color w:val="173E34"/>
                    </w:rPr>
                    <m:rPr>
                      <m:sty m:val="p"/>
                    </m:rPr>
                    <m:t>A</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E</m:t>
                  </m:r>
                  <m:r>
                    <w:rPr>
                      <w:sz w:val="16"/>
                      <w:color w:val="173E34"/>
                    </w:rPr>
                    <m:rPr>
                      <m:sty m:val="p"/>
                    </m:rPr>
                    <m:t>P</m:t>
                  </m:r>
                </m:sup>
              </m:sSubSup>
            </m:oMath>
          </w:p>
        </w:tc>
        <w:tc>
          <w:tcPr>
            <w:tcW w:type="dxa" w:w="3250"/>
            <w:tcMar>
              <w:top w:w="90" w:type="dxa"/>
              <w:bottom w:w="90" w:type="dxa"/>
              <w:left w:w="100" w:type="dxa"/>
              <w:right w:w="100" w:type="dxa"/>
            </w:tcMar>
            <w:vAlign w:val="center"/>
            <w:shd w:fill="E6F0EB"/>
          </w:tcPr>
          <w:p>
            <w:r>
              <w:rPr>
                <w:rFonts w:ascii="Lato" w:hAnsi="Lato"/>
                <w:b/>
                <w:color w:val="173E34"/>
                <w:sz w:val="17"/>
              </w:rPr>
              <w:t>Difference and component explanation</w:t>
            </w:r>
          </w:p>
          <w:p>
            <w:pPr>
              <w:spacing w:before="40" w:after="40"/>
            </w:pPr>
            <m:oMath>
              <m:r>
                <w:rPr>
                  <w:sz w:val="16"/>
                  <w:color w:val="173E34"/>
                </w:rPr>
                <m:t>Δ</m:t>
              </m:r>
              <m:sSub>
                <m:e>
                  <m:r>
                    <w:rPr>
                      <w:sz w:val="16"/>
                      <w:color w:val="173E34"/>
                    </w:rPr>
                    <m:t>Q</m:t>
                  </m:r>
                </m:e>
                <m:sub>
                  <m:r>
                    <w:rPr>
                      <w:sz w:val="16"/>
                      <w:color w:val="173E34"/>
                    </w:rPr>
                    <m:t>t</m:t>
                  </m:r>
                </m:sub>
              </m:sSub>
              <m:r>
                <w:rPr>
                  <w:sz w:val="16"/>
                  <w:color w:val="173E34"/>
                </w:rPr>
                <m:rPr>
                  <m:sty m:val="p"/>
                </m:rPr>
                <m:t>,</m:t>
              </m:r>
              <m:r>
                <w:rPr>
                  <w:sz w:val="16"/>
                  <w:color w:val="173E34"/>
                </w:rPr>
                <m:t> </m:t>
              </m:r>
              <m:sSub>
                <m:e>
                  <m:r>
                    <w:rPr>
                      <w:sz w:val="16"/>
                      <w:color w:val="173E34"/>
                    </w:rPr>
                    <m:t>r</m:t>
                  </m:r>
                </m:e>
                <m:sub>
                  <m:r>
                    <w:rPr>
                      <w:sz w:val="16"/>
                      <w:color w:val="173E34"/>
                    </w:rPr>
                    <m:t>t</m:t>
                  </m:r>
                </m:sub>
              </m:sSub>
            </m:oMath>
          </w:p>
        </w:tc>
      </w:tr>
      <w:tr>
        <w:trPr>
          <w:trHeight w:val="510"/>
        </w:trPr>
        <w:tc>
          <w:tcPr>
            <w:tcW w:type="dxa" w:w="3250"/>
            <w:tcMar>
              <w:top w:w="90" w:type="dxa"/>
              <w:bottom w:w="90" w:type="dxa"/>
              <w:left w:w="100" w:type="dxa"/>
              <w:right w:w="100" w:type="dxa"/>
            </w:tcMar>
            <w:shd w:fill="F1F5F2"/>
          </w:tcPr>
          <w:p>
            <w:pPr>
              <w:spacing w:after="20"/>
            </w:pPr>
            <w:sdt>
              <w:sdtPr>
                <w:alias w:val="sec_09-0-EN-1-1"/>
                <w:tag w:val="sec_09-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9-0-EN-1-2"/>
                <w:tag w:val="sec_09-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9-0-EN-1-3"/>
                <w:tag w:val="sec_09-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9-0-EN-2-1"/>
                <w:tag w:val="sec_09-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9-0-EN-2-2"/>
                <w:tag w:val="sec_09-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9-0-EN-2-3"/>
                <w:tag w:val="sec_09-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9-0-EN-3-1"/>
                <w:tag w:val="sec_09-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9-0-EN-3-2"/>
                <w:tag w:val="sec_09-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9-0-EN-3-3"/>
                <w:tag w:val="sec_09-0-EN-3-3"/>
                <w:text/>
              </w:sdtPr>
              <w:sdtContent>
                <w:r>
                  <w:rPr>
                    <w:rFonts w:ascii="Lato" w:hAnsi="Lato"/>
                    <w:sz w:val="18"/>
                    <w:color w:val="62716E"/>
                  </w:rPr>
                  <w:t>[Complete]</w:t>
                </w:r>
              </w:sdtContent>
            </w:sdt>
          </w:p>
        </w:tc>
      </w:tr>
    </w:tbl>
    <w:p>
      <w:pPr>
        <w:spacing w:after="0"/>
      </w:pPr>
    </w:p>
    <w:p>
      <w:pPr>
        <w:pStyle w:val="Heading2"/>
        <w:keepNext/>
      </w:pPr>
      <w:r>
        <w:t>Explain the difference, do not force agreement</w:t>
      </w:r>
    </w:p>
    <w:p>
      <w:pPr>
        <w:spacing w:after="80"/>
      </w:pPr>
      <w:r>
        <w:rPr>
          <w:rFonts w:ascii="Lato" w:hAnsi="Lato"/>
          <w:b w:val="0"/>
          <w:color w:val="62716E"/>
          <w:sz w:val="18"/>
        </w:rPr>
        <w:t>Separate actual performance, revised activity data, changed carbon factors, scope/time harmonization, uncertainty, reserve and prior-liability effects. Preserve the original forecast even when a harmonized comparison is needed. An arithmetic identity does not demonstrate that a method change was justified.</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09-1-EN"/>
                <w:tag w:val="sec_09-1-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Subperiod distributions</w:t>
      </w:r>
    </w:p>
    <w:p>
      <w:pPr>
        <w:keepNext/>
        <w:spacing w:before="40" w:after="60"/>
      </w:pPr>
      <w:r>
        <w:rPr>
          <w:rFonts w:ascii="Lato" w:hAnsi="Lato"/>
          <w:color w:val="315B50"/>
          <w:sz w:val="18"/>
        </w:rPr>
        <w:t>EXPOST-T17 / Calculation notation</w:t>
      </w:r>
    </w:p>
    <w:p>
      <w:pPr>
        <w:keepNext/>
        <w:spacing w:before="40" w:after="60"/>
      </w:pPr>
      <m:oMath>
        <m:sSub>
          <m:e>
            <m:r>
              <w:rPr>
                <w:sz w:val="18"/>
              </w:rPr>
              <m:t>Q</m:t>
            </m:r>
          </m:e>
          <m:sub>
            <m:r>
              <w:rPr>
                <w:sz w:val="18"/>
              </w:rPr>
              <m:t>t</m:t>
            </m:r>
            <m:r>
              <w:rPr>
                <w:sz w:val="18"/>
              </w:rPr>
              <m:rPr>
                <m:sty m:val="p"/>
              </m:rPr>
              <m:t>,</m:t>
            </m:r>
            <m:r>
              <w:rPr>
                <w:sz w:val="18"/>
              </w:rPr>
              <m:t>m</m:t>
            </m:r>
          </m:sub>
        </m:sSub>
        <m:r>
          <w:rPr>
            <w:sz w:val="18"/>
          </w:rPr>
          <m:rPr>
            <m:sty m:val="p"/>
          </m:rPr>
          <m:t>=</m:t>
        </m:r>
        <m:sSub>
          <m:e>
            <m:r>
              <w:rPr>
                <w:sz w:val="18"/>
              </w:rPr>
              <m:t>w</m:t>
            </m:r>
          </m:e>
          <m:sub>
            <m:r>
              <w:rPr>
                <w:sz w:val="18"/>
              </w:rPr>
              <m:t>t</m:t>
            </m:r>
            <m:r>
              <w:rPr>
                <w:sz w:val="18"/>
              </w:rPr>
              <m:rPr>
                <m:sty m:val="p"/>
              </m:rPr>
              <m:t>,</m:t>
            </m:r>
            <m:r>
              <w:rPr>
                <w:sz w:val="18"/>
              </w:rPr>
              <m:t>m</m:t>
            </m:r>
          </m:sub>
        </m:sSub>
        <m:sSub>
          <m:e>
            <m:r>
              <w:rPr>
                <w:sz w:val="18"/>
              </w:rPr>
              <m:t>Q</m:t>
            </m:r>
          </m:e>
          <m:sub>
            <m:r>
              <w:rPr>
                <w:sz w:val="18"/>
              </w:rPr>
              <m:t>t</m:t>
            </m:r>
          </m:sub>
        </m:sSub>
        <m:r>
          <w:rPr>
            <w:sz w:val="18"/>
          </w:rPr>
          <m:rPr>
            <m:sty m:val="p"/>
          </m:rPr>
          <m:t>,</m:t>
        </m:r>
        <m:r>
          <w:rPr>
            <w:sz w:val="18"/>
          </w:rPr>
          <m:t> </m:t>
        </m:r>
        <m:sSub>
          <m:e>
            <m:r>
              <w:rPr>
                <w:sz w:val="18"/>
              </w:rPr>
              <m:t>w</m:t>
            </m:r>
          </m:e>
          <m:sub>
            <m:r>
              <w:rPr>
                <w:sz w:val="18"/>
              </w:rPr>
              <m:t>t</m:t>
            </m:r>
            <m:r>
              <w:rPr>
                <w:sz w:val="18"/>
              </w:rPr>
              <m:rPr>
                <m:sty m:val="p"/>
              </m:rPr>
              <m:t>,</m:t>
            </m:r>
            <m:r>
              <w:rPr>
                <w:sz w:val="18"/>
              </w:rPr>
              <m:t>m</m:t>
            </m:r>
          </m:sub>
        </m:sSub>
        <m:r>
          <w:rPr>
            <w:sz w:val="18"/>
          </w:rPr>
          <m:rPr>
            <m:sty m:val="p"/>
          </m:rPr>
          <m:t>≥</m:t>
        </m:r>
        <m:r>
          <w:rPr>
            <w:sz w:val="18"/>
          </w:rPr>
          <m:t>0</m:t>
        </m:r>
        <m:r>
          <w:rPr>
            <w:sz w:val="18"/>
          </w:rPr>
          <m:rPr>
            <m:sty m:val="p"/>
          </m:rPr>
          <m:t>,</m:t>
        </m:r>
        <m:r>
          <w:rPr>
            <w:sz w:val="18"/>
          </w:rPr>
          <m:t> </m:t>
        </m:r>
        <m:nary>
          <m:naryPr>
            <m:chr m:val="∑"/>
            <m:limLoc m:val="undOvr"/>
            <m:subHide m:val="off"/>
            <m:supHide m:val="on"/>
          </m:naryPr>
          <m:sub>
            <m:r>
              <w:rPr>
                <w:sz w:val="18"/>
              </w:rPr>
              <m:t>m</m:t>
            </m:r>
          </m:sub>
          <m:sup>
            <m:r>
              <w:rPr>
                <w:sz w:val="18"/>
              </w:rPr>
              <m:t>​</m:t>
            </m:r>
          </m:sup>
          <m:e>
            <m:sSub>
              <m:e>
                <m:r>
                  <w:rPr>
                    <w:sz w:val="18"/>
                  </w:rPr>
                  <m:t>w</m:t>
                </m:r>
              </m:e>
              <m:sub>
                <m:r>
                  <w:rPr>
                    <w:sz w:val="18"/>
                  </w:rPr>
                  <m:t>t</m:t>
                </m:r>
                <m:r>
                  <w:rPr>
                    <w:sz w:val="18"/>
                  </w:rPr>
                  <m:rPr>
                    <m:sty m:val="p"/>
                  </m:rPr>
                  <m:t>,</m:t>
                </m:r>
                <m:r>
                  <w:rPr>
                    <w:sz w:val="18"/>
                  </w:rPr>
                  <m:t>m</m:t>
                </m:r>
              </m:sub>
            </m:sSub>
          </m:e>
        </m:nary>
        <m:r>
          <w:rPr>
            <w:sz w:val="18"/>
          </w:rPr>
          <m:rPr>
            <m:sty m:val="p"/>
          </m:rPr>
          <m:t>=</m:t>
        </m:r>
        <m:r>
          <w:rPr>
            <w:sz w:val="18"/>
          </w:rPr>
          <m:t>1</m:t>
        </m:r>
      </m:oMath>
    </w:p>
    <w:p>
      <w:pPr>
        <w:keepNext/>
        <w:spacing w:before="40" w:after="60"/>
      </w:pPr>
      <m:oMath>
        <m:sSubSup>
          <m:e>
            <m:r>
              <w:rPr>
                <w:sz w:val="18"/>
              </w:rPr>
              <m:t>r</m:t>
            </m:r>
          </m:e>
          <m:sub>
            <m:r>
              <w:rPr>
                <w:sz w:val="18"/>
              </w:rPr>
              <m:t>t</m:t>
            </m:r>
          </m:sub>
          <m:sup>
            <m:r>
              <w:rPr>
                <w:sz w:val="18"/>
              </w:rPr>
              <m:rPr>
                <m:sty m:val="p"/>
              </m:rPr>
              <m:t>a</m:t>
            </m:r>
            <m:r>
              <w:rPr>
                <w:sz w:val="18"/>
              </w:rPr>
              <m:rPr>
                <m:sty m:val="p"/>
              </m:rPr>
              <m:t>l</m:t>
            </m:r>
            <m:r>
              <w:rPr>
                <w:sz w:val="18"/>
              </w:rPr>
              <m:rPr>
                <m:sty m:val="p"/>
              </m:rPr>
              <m:t>l</m:t>
            </m:r>
            <m:r>
              <w:rPr>
                <w:sz w:val="18"/>
              </w:rPr>
              <m:rPr>
                <m:sty m:val="p"/>
              </m:rPr>
              <m:t>o</m:t>
            </m:r>
            <m:r>
              <w:rPr>
                <w:sz w:val="18"/>
              </w:rPr>
              <m:rPr>
                <m:sty m:val="p"/>
              </m:rPr>
              <m:t>c</m:t>
            </m:r>
          </m:sup>
        </m:sSubSup>
        <m:r>
          <w:rPr>
            <w:sz w:val="18"/>
          </w:rPr>
          <m:rPr>
            <m:sty m:val="p"/>
          </m:rPr>
          <m:t>=</m:t>
        </m:r>
        <m:nary>
          <m:naryPr>
            <m:chr m:val="∑"/>
            <m:limLoc m:val="undOvr"/>
            <m:subHide m:val="off"/>
            <m:supHide m:val="on"/>
          </m:naryPr>
          <m:sub>
            <m:r>
              <w:rPr>
                <w:sz w:val="18"/>
              </w:rPr>
              <m:t>m</m:t>
            </m:r>
          </m:sub>
          <m:sup>
            <m:r>
              <w:rPr>
                <w:sz w:val="18"/>
              </w:rPr>
              <m:t>​</m:t>
            </m:r>
          </m:sup>
          <m:e>
            <m:sSub>
              <m:e>
                <m:r>
                  <w:rPr>
                    <w:sz w:val="18"/>
                  </w:rPr>
                  <m:t>Q</m:t>
                </m:r>
              </m:e>
              <m:sub>
                <m:r>
                  <w:rPr>
                    <w:sz w:val="18"/>
                  </w:rPr>
                  <m:t>t</m:t>
                </m:r>
                <m:r>
                  <w:rPr>
                    <w:sz w:val="18"/>
                  </w:rPr>
                  <m:rPr>
                    <m:sty m:val="p"/>
                  </m:rPr>
                  <m:t>,</m:t>
                </m:r>
                <m:r>
                  <w:rPr>
                    <w:sz w:val="18"/>
                  </w:rPr>
                  <m:t>m</m:t>
                </m:r>
              </m:sub>
            </m:sSub>
          </m:e>
        </m:nary>
        <m:r>
          <w:rPr>
            <w:sz w:val="18"/>
          </w:rPr>
          <m:rPr>
            <m:sty m:val="p"/>
          </m:rPr>
          <m:t>−</m:t>
        </m:r>
        <m:sSub>
          <m:e>
            <m:r>
              <w:rPr>
                <w:sz w:val="18"/>
              </w:rPr>
              <m:t>Q</m:t>
            </m:r>
          </m:e>
          <m:sub>
            <m:r>
              <w:rPr>
                <w:sz w:val="18"/>
              </w:rPr>
              <m:t>t</m:t>
            </m:r>
          </m:sub>
        </m:sSub>
      </m:oMath>
    </w:p>
    <w:p>
      <w:pPr>
        <w:keepNext/>
        <w:spacing w:before="40" w:after="60"/>
      </w:pPr>
      <w:r>
        <w:rPr>
          <w:rFonts w:ascii="Lato" w:hAnsi="Lato"/>
          <w:color w:val="315B50"/>
          <w:sz w:val="16"/>
        </w:rPr>
        <w:t>m is a child reporting interval, not automatically a measured month. The same parent and basis must be used for all weights. Do not add a parent total to its allocated children. Retain negative signs and explain unequal-duration allocations.</w:t>
      </w:r>
    </w:p>
    <w:p>
      <w:pPr>
        <w:keepNext/>
        <w:spacing w:before="40" w:after="60"/>
      </w:pPr>
      <w:r>
        <w:rPr>
          <w:rFonts w:ascii="Lato" w:hAnsi="Lato"/>
          <w:color w:val="315B50"/>
          <w:sz w:val="14"/>
        </w:rPr>
        <w:t>Basis: F-R01; allocation identity | Workbook: Allocation!C:I</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Parent period / verified or reported status</w:t>
            </w:r>
          </w:p>
          <w:p>
            <w:pPr>
              <w:spacing w:before="40" w:after="40"/>
            </w:pPr>
            <m:oMath>
              <m:r>
                <w:rPr>
                  <w:sz w:val="16"/>
                  <w:color w:val="173E34"/>
                </w:rPr>
                <m:t>t</m:t>
              </m:r>
              <m:r>
                <w:rPr>
                  <w:sz w:val="16"/>
                  <w:color w:val="173E34"/>
                </w:rPr>
                <m:rPr>
                  <m:sty m:val="p"/>
                </m:rPr>
                <m:t>,</m:t>
              </m:r>
              <m:r>
                <w:rPr>
                  <w:sz w:val="16"/>
                  <w:color w:val="173E34"/>
                </w:rPr>
                <m:t> </m:t>
              </m:r>
              <m:r>
                <w:rPr>
                  <w:sz w:val="16"/>
                  <w:color w:val="173E34"/>
                </w:rPr>
                <m:t>m</m:t>
              </m:r>
            </m:oMath>
          </w:p>
        </w:tc>
        <w:tc>
          <w:tcPr>
            <w:tcW w:type="dxa" w:w="3250"/>
            <w:tcMar>
              <w:top w:w="90" w:type="dxa"/>
              <w:bottom w:w="90" w:type="dxa"/>
              <w:left w:w="100" w:type="dxa"/>
              <w:right w:w="100" w:type="dxa"/>
            </w:tcMar>
            <w:vAlign w:val="center"/>
            <w:shd w:fill="E6F0EB"/>
          </w:tcPr>
          <w:p>
            <w:r>
              <w:rPr>
                <w:rFonts w:ascii="Lato" w:hAnsi="Lato"/>
                <w:b/>
                <w:color w:val="173E34"/>
                <w:sz w:val="17"/>
              </w:rPr>
              <w:t>Allocation weights and justification</w:t>
            </w:r>
          </w:p>
          <w:p>
            <w:pPr>
              <w:spacing w:before="40" w:after="40"/>
            </w:pPr>
            <m:oMath>
              <m:sSub>
                <m:e>
                  <m:r>
                    <w:rPr>
                      <w:sz w:val="16"/>
                      <w:color w:val="173E34"/>
                    </w:rPr>
                    <m:t>w</m:t>
                  </m:r>
                </m:e>
                <m:sub>
                  <m:r>
                    <w:rPr>
                      <w:sz w:val="16"/>
                      <w:color w:val="173E34"/>
                    </w:rPr>
                    <m:t>t</m:t>
                  </m:r>
                  <m:r>
                    <w:rPr>
                      <w:sz w:val="16"/>
                      <w:color w:val="173E34"/>
                    </w:rPr>
                    <m:rPr>
                      <m:sty m:val="p"/>
                    </m:rPr>
                    <m:t>,</m:t>
                  </m:r>
                  <m:r>
                    <w:rPr>
                      <w:sz w:val="16"/>
                      <w:color w:val="173E34"/>
                    </w:rPr>
                    <m:t>m</m:t>
                  </m:r>
                </m:sub>
              </m:sSub>
              <m:r>
                <w:rPr>
                  <w:sz w:val="16"/>
                  <w:color w:val="173E34"/>
                </w:rPr>
                <m:rPr>
                  <m:sty m:val="p"/>
                </m:rPr>
                <m:t>,</m:t>
              </m:r>
              <m:r>
                <w:rPr>
                  <w:sz w:val="16"/>
                  <w:color w:val="173E34"/>
                </w:rPr>
                <m:t> </m:t>
              </m:r>
              <m:sSub>
                <m:e>
                  <m:r>
                    <w:rPr>
                      <w:sz w:val="16"/>
                      <w:color w:val="173E34"/>
                    </w:rPr>
                    <m:t>Q</m:t>
                  </m:r>
                </m:e>
                <m:sub>
                  <m:r>
                    <w:rPr>
                      <w:sz w:val="16"/>
                      <w:color w:val="173E34"/>
                    </w:rPr>
                    <m:t>t</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Closure / no overlapping claims</w:t>
            </w:r>
          </w:p>
          <w:p>
            <w:pPr>
              <w:spacing w:before="40" w:after="40"/>
            </w:pPr>
            <m:oMath>
              <m:sSub>
                <m:e>
                  <m:r>
                    <w:rPr>
                      <w:sz w:val="16"/>
                      <w:color w:val="173E34"/>
                    </w:rPr>
                    <m:t>Q</m:t>
                  </m:r>
                </m:e>
                <m:sub>
                  <m:r>
                    <w:rPr>
                      <w:sz w:val="16"/>
                      <w:color w:val="173E34"/>
                    </w:rPr>
                    <m:t>t</m:t>
                  </m:r>
                  <m:r>
                    <w:rPr>
                      <w:sz w:val="16"/>
                      <w:color w:val="173E34"/>
                    </w:rPr>
                    <m:rPr>
                      <m:sty m:val="p"/>
                    </m:rPr>
                    <m:t>,</m:t>
                  </m:r>
                  <m:r>
                    <w:rPr>
                      <w:sz w:val="16"/>
                      <w:color w:val="173E34"/>
                    </w:rPr>
                    <m:t>m</m:t>
                  </m:r>
                </m:sub>
              </m:sSub>
              <m:r>
                <w:rPr>
                  <w:sz w:val="16"/>
                  <w:color w:val="173E34"/>
                </w:rPr>
                <m:rPr>
                  <m:sty m:val="p"/>
                </m:rPr>
                <m:t>,</m:t>
              </m:r>
              <m:r>
                <w:rPr>
                  <w:sz w:val="16"/>
                  <w:color w:val="173E34"/>
                </w:rPr>
                <m:t> </m:t>
              </m:r>
              <m:sSubSup>
                <m:e>
                  <m:r>
                    <w:rPr>
                      <w:sz w:val="16"/>
                      <w:color w:val="173E34"/>
                    </w:rPr>
                    <m:t>r</m:t>
                  </m:r>
                </m:e>
                <m:sub>
                  <m:r>
                    <w:rPr>
                      <w:sz w:val="16"/>
                      <w:color w:val="173E34"/>
                    </w:rPr>
                    <m:t>t</m:t>
                  </m:r>
                </m:sub>
                <m:sup>
                  <m:r>
                    <w:rPr>
                      <w:sz w:val="16"/>
                      <w:color w:val="173E34"/>
                    </w:rPr>
                    <m:rPr>
                      <m:sty m:val="p"/>
                    </m:rPr>
                    <m:t>a</m:t>
                  </m:r>
                  <m:r>
                    <w:rPr>
                      <w:sz w:val="16"/>
                      <w:color w:val="173E34"/>
                    </w:rPr>
                    <m:rPr>
                      <m:sty m:val="p"/>
                    </m:rPr>
                    <m:t>l</m:t>
                  </m:r>
                  <m:r>
                    <w:rPr>
                      <w:sz w:val="16"/>
                      <w:color w:val="173E34"/>
                    </w:rPr>
                    <m:rPr>
                      <m:sty m:val="p"/>
                    </m:rPr>
                    <m:t>l</m:t>
                  </m:r>
                  <m:r>
                    <w:rPr>
                      <w:sz w:val="16"/>
                      <w:color w:val="173E34"/>
                    </w:rPr>
                    <m:rPr>
                      <m:sty m:val="p"/>
                    </m:rPr>
                    <m:t>o</m:t>
                  </m:r>
                  <m:r>
                    <w:rPr>
                      <w:sz w:val="16"/>
                      <w:color w:val="173E34"/>
                    </w:rPr>
                    <m:rPr>
                      <m:sty m:val="p"/>
                    </m:rPr>
                    <m:t>c</m:t>
                  </m:r>
                </m:sup>
              </m:sSubSup>
            </m:oMath>
          </w:p>
        </w:tc>
      </w:tr>
      <w:tr>
        <w:trPr>
          <w:trHeight w:val="510"/>
        </w:trPr>
        <w:tc>
          <w:tcPr>
            <w:tcW w:type="dxa" w:w="3250"/>
            <w:tcMar>
              <w:top w:w="90" w:type="dxa"/>
              <w:bottom w:w="90" w:type="dxa"/>
              <w:left w:w="100" w:type="dxa"/>
              <w:right w:w="100" w:type="dxa"/>
            </w:tcMar>
            <w:shd w:fill="F1F5F2"/>
          </w:tcPr>
          <w:p>
            <w:pPr>
              <w:spacing w:after="20"/>
            </w:pPr>
            <w:sdt>
              <w:sdtPr>
                <w:alias w:val="sec_09-2-EN-1-1"/>
                <w:tag w:val="sec_09-2-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9-2-EN-1-2"/>
                <w:tag w:val="sec_09-2-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9-2-EN-1-3"/>
                <w:tag w:val="sec_09-2-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09-2-EN-2-1"/>
                <w:tag w:val="sec_09-2-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9-2-EN-2-2"/>
                <w:tag w:val="sec_09-2-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09-2-EN-2-3"/>
                <w:tag w:val="sec_09-2-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09-2-EN-3-1"/>
                <w:tag w:val="sec_09-2-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9-2-EN-3-2"/>
                <w:tag w:val="sec_09-2-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09-2-EN-3-3"/>
                <w:tag w:val="sec_09-2-EN-3-3"/>
                <w:text/>
              </w:sdtPr>
              <w:sdtContent>
                <w:r>
                  <w:rPr>
                    <w:rFonts w:ascii="Lato" w:hAnsi="Lato"/>
                    <w:sz w:val="18"/>
                    <w:color w:val="62716E"/>
                  </w:rPr>
                  <w:t>[Complete]</w:t>
                </w:r>
              </w:sdtContent>
            </w:sdt>
          </w:p>
        </w:tc>
      </w:tr>
    </w:tbl>
    <w:p>
      <w:pPr>
        <w:spacing w:after="0"/>
      </w:pPr>
    </w:p>
    <w:p>
      <w:bookmarkStart w:id="3010" w:name="sec_10"/>
      <w:pPr>
        <w:pStyle w:val="Heading1"/>
        <w:keepNext/>
        <w:pageBreakBefore/>
      </w:pPr>
      <w:r>
        <w:t>10  Continuing additionality, safeguards and separate outcomes</w:t>
      </w:r>
      <w:bookmarkEnd w:id="3010"/>
    </w:p>
    <w:p>
      <w:pPr>
        <w:spacing w:after="120"/>
      </w:pPr>
      <w:r>
        <w:rPr>
          <w:rFonts w:ascii="Lato" w:hAnsi="Lato"/>
          <w:b w:val="0"/>
          <w:color w:val="62716E"/>
          <w:sz w:val="16"/>
        </w:rPr>
        <w:t>[1] Basis: AO-05; AO-06; AO-08; AO-10; T-10; P-04</w:t>
      </w:r>
    </w:p>
    <w:p>
      <w:pPr>
        <w:pStyle w:val="Heading2"/>
        <w:keepNext/>
      </w:pPr>
      <w:r>
        <w:t>Continuation assessment</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Intervention / initial premise</w:t>
            </w:r>
          </w:p>
        </w:tc>
        <w:tc>
          <w:tcPr>
            <w:tcW w:type="dxa" w:w="3250"/>
            <w:shd w:fill="215F52"/>
            <w:tcMar>
              <w:top w:w="90" w:type="dxa"/>
              <w:bottom w:w="90" w:type="dxa"/>
              <w:left w:w="100" w:type="dxa"/>
              <w:right w:w="100" w:type="dxa"/>
            </w:tcMar>
            <w:vAlign w:val="center"/>
          </w:tcPr>
          <w:p>
            <w:r>
              <w:rPr>
                <w:rFonts w:ascii="Lato" w:hAnsi="Lato"/>
                <w:b/>
                <w:color w:val="FFFFFF"/>
                <w:sz w:val="17"/>
              </w:rPr>
              <w:t>Implementation and intermediate evidence</w:t>
            </w:r>
          </w:p>
        </w:tc>
        <w:tc>
          <w:tcPr>
            <w:tcW w:type="dxa" w:w="3250"/>
            <w:shd w:fill="215F52"/>
            <w:tcMar>
              <w:top w:w="90" w:type="dxa"/>
              <w:bottom w:w="90" w:type="dxa"/>
              <w:left w:w="100" w:type="dxa"/>
              <w:right w:w="100" w:type="dxa"/>
            </w:tcMar>
            <w:vAlign w:val="center"/>
          </w:tcPr>
          <w:p>
            <w:r>
              <w:rPr>
                <w:rFonts w:ascii="Lato" w:hAnsi="Lato"/>
                <w:b/>
                <w:color w:val="FFFFFF"/>
                <w:sz w:val="17"/>
              </w:rPr>
              <w:t>Outcome evidence / continuing conclusion</w:t>
            </w:r>
          </w:p>
        </w:tc>
      </w:tr>
      <w:tr>
        <w:trPr>
          <w:trHeight w:val="510"/>
        </w:trPr>
        <w:tc>
          <w:tcPr>
            <w:tcW w:type="dxa" w:w="3250"/>
            <w:tcMar>
              <w:top w:w="90" w:type="dxa"/>
              <w:bottom w:w="90" w:type="dxa"/>
              <w:left w:w="100" w:type="dxa"/>
              <w:right w:w="100" w:type="dxa"/>
            </w:tcMar>
            <w:shd w:fill="F1F5F2"/>
          </w:tcPr>
          <w:p>
            <w:pPr>
              <w:spacing w:after="20"/>
            </w:pPr>
            <w:sdt>
              <w:sdtPr>
                <w:alias w:val="sec_10-0-EN-1-1"/>
                <w:tag w:val="sec_10-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0-0-EN-1-2"/>
                <w:tag w:val="sec_10-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0-0-EN-1-3"/>
                <w:tag w:val="sec_10-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10-0-EN-2-1"/>
                <w:tag w:val="sec_10-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10-0-EN-2-2"/>
                <w:tag w:val="sec_10-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10-0-EN-2-3"/>
                <w:tag w:val="sec_10-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10-0-EN-3-1"/>
                <w:tag w:val="sec_10-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0-0-EN-3-2"/>
                <w:tag w:val="sec_10-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0-0-EN-3-3"/>
                <w:tag w:val="sec_10-0-EN-3-3"/>
                <w:text/>
              </w:sdtPr>
              <w:sdtContent>
                <w:r>
                  <w:rPr>
                    <w:rFonts w:ascii="Lato" w:hAnsi="Lato"/>
                    <w:sz w:val="18"/>
                    <w:color w:val="62716E"/>
                  </w:rPr>
                  <w:t>[Complete]</w:t>
                </w:r>
              </w:sdtContent>
            </w:sdt>
          </w:p>
        </w:tc>
      </w:tr>
    </w:tbl>
    <w:p>
      <w:pPr>
        <w:spacing w:after="0"/>
      </w:pPr>
    </w:p>
    <w:p>
      <w:pPr>
        <w:pStyle w:val="Heading2"/>
        <w:keepNext/>
      </w:pPr>
      <w:r>
        <w:t>Safeguards and competing explanations</w:t>
      </w:r>
    </w:p>
    <w:p>
      <w:pPr>
        <w:spacing w:after="80"/>
      </w:pPr>
      <w:r>
        <w:rPr>
          <w:rFonts w:ascii="Lato" w:hAnsi="Lato"/>
          <w:b w:val="0"/>
          <w:color w:val="62716E"/>
          <w:sz w:val="18"/>
        </w:rPr>
        <w:t>Record rights/consent changes, complaints, benefit-sharing, interacting initiatives, disturbances and alternative explanations for outcomes. Report social and biodiversity indicators in their own units; do not add them to the carbon result.</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10-1-EN"/>
                <w:tag w:val="sec_10-1-EN"/>
                <w:text/>
              </w:sdtPr>
              <w:sdtContent>
                <w:r>
                  <w:rPr>
                    <w:rFonts w:ascii="Lato" w:hAnsi="Lato"/>
                    <w:sz w:val="18"/>
                    <w:color w:val="62716E"/>
                  </w:rPr>
                  <w:t>[Enter response and exact evidence references.]</w:t>
                </w:r>
              </w:sdtContent>
            </w:sdt>
          </w:p>
        </w:tc>
      </w:tr>
    </w:tbl>
    <w:p>
      <w:pPr>
        <w:spacing w:after="20" w:before="0" w:line="96" w:lineRule="auto"/>
      </w:pPr>
    </w:p>
    <w:p>
      <w:bookmarkStart w:id="3011" w:name="sec_11"/>
      <w:pPr>
        <w:pStyle w:val="Heading1"/>
        <w:keepNext/>
        <w:pageBreakBefore/>
      </w:pPr>
      <w:r>
        <w:t>11  Migration, prior claims and evidence continuity</w:t>
      </w:r>
      <w:bookmarkEnd w:id="3011"/>
    </w:p>
    <w:p>
      <w:pPr>
        <w:spacing w:after="120"/>
      </w:pPr>
      <w:r>
        <w:rPr>
          <w:rFonts w:ascii="Lato" w:hAnsi="Lato"/>
          <w:b w:val="0"/>
          <w:color w:val="62716E"/>
          <w:sz w:val="16"/>
        </w:rPr>
        <w:t>[1] Basis: MIG-02; MIG-05; MIG-06; MIG-07; MIG-08; MIG-09; MIG-12; AO-11</w:t>
      </w:r>
    </w:p>
    <w:p>
      <w:pPr>
        <w:pStyle w:val="Heading2"/>
        <w:keepNext/>
      </w:pPr>
      <w:r>
        <w:t>Origin and previous status</w:t>
      </w:r>
    </w:p>
    <w:p>
      <w:pPr>
        <w:keepNext/>
        <w:spacing w:before="40" w:after="60"/>
      </w:pPr>
      <w:r>
        <w:rPr>
          <w:rFonts w:ascii="Lato" w:hAnsi="Lato"/>
          <w:color w:val="315B50"/>
          <w:sz w:val="18"/>
        </w:rPr>
        <w:t>EXPOST-T19 / Calculation notation</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retains the original result; harm is the original method on the agreed comparable basis; NEB is the receiving-method result on that basis. This telescoping identity explains differences, not eligibility. Do not force the methodological difference to zero.</w:t>
      </w:r>
    </w:p>
    <w:p>
      <w:pPr>
        <w:keepNext/>
        <w:spacing w:before="40" w:after="60"/>
      </w:pPr>
      <w:r>
        <w:rPr>
          <w:rFonts w:ascii="Lato" w:hAnsi="Lato"/>
          <w:color w:val="315B50"/>
          <w:sz w:val="14"/>
        </w:rPr>
        <w:t>Basis: MIG-05; P-13; reconciliation identity | Workbook: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Outcome / original program / period</w:t>
            </w:r>
          </w:p>
          <w:p>
            <w:pPr>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r>
              <w:rPr>
                <w:rFonts w:ascii="Lato" w:hAnsi="Lato"/>
                <w:b/>
                <w:color w:val="173E34"/>
                <w:sz w:val="17"/>
              </w:rPr>
              <w:t>Issued, used, retired, canceled or unissued record</w:t>
            </w:r>
          </w:p>
          <w:p>
            <w:pPr>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r>
              <w:rPr>
                <w:rFonts w:ascii="Lato" w:hAnsi="Lato"/>
                <w:b/>
                <w:color w:val="173E34"/>
                <w:sz w:val="17"/>
              </w:rPr>
              <w:t>Claim intersection / liability / decision</w:t>
            </w:r>
          </w:p>
          <w:p>
            <w:pPr>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spacing w:after="20"/>
            </w:pPr>
            <w:sdt>
              <w:sdtPr>
                <w:alias w:val="sec_11-0-EN-1-1"/>
                <w:tag w:val="sec_11-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1-0-EN-1-2"/>
                <w:tag w:val="sec_11-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1-0-EN-1-3"/>
                <w:tag w:val="sec_11-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11-0-EN-2-1"/>
                <w:tag w:val="sec_11-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11-0-EN-2-2"/>
                <w:tag w:val="sec_11-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11-0-EN-2-3"/>
                <w:tag w:val="sec_11-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11-0-EN-3-1"/>
                <w:tag w:val="sec_11-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1-0-EN-3-2"/>
                <w:tag w:val="sec_11-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1-0-EN-3-3"/>
                <w:tag w:val="sec_11-0-EN-3-3"/>
                <w:text/>
              </w:sdtPr>
              <w:sdtContent>
                <w:r>
                  <w:rPr>
                    <w:rFonts w:ascii="Lato" w:hAnsi="Lato"/>
                    <w:sz w:val="18"/>
                    <w:color w:val="62716E"/>
                  </w:rPr>
                  <w:t>[Complete]</w:t>
                </w:r>
              </w:sdtContent>
            </w:sdt>
          </w:p>
        </w:tc>
      </w:tr>
    </w:tbl>
    <w:p>
      <w:pPr>
        <w:spacing w:after="0"/>
      </w:pPr>
    </w:p>
    <w:p>
      <w:pPr>
        <w:pStyle w:val="Heading2"/>
        <w:keepNext/>
      </w:pPr>
      <w:r>
        <w:t>Migration reconciliation attachment</w:t>
      </w:r>
    </w:p>
    <w:p>
      <w:pPr>
        <w:spacing w:after="80"/>
      </w:pPr>
      <w:r>
        <w:rPr>
          <w:rFonts w:ascii="Lato" w:hAnsi="Lato"/>
          <w:b w:val="0"/>
          <w:color w:val="62716E"/>
          <w:sz w:val="18"/>
        </w:rPr>
        <w:t>Attach the Migration Reconciliation template where applicable. Preserve original results and restrictions; state the receiving method and cutover date. Cancellation of other external carbon units alone does not authorize NEBIOT replacement issuance.</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11-1-EN"/>
                <w:tag w:val="sec_11-1-EN"/>
                <w:text/>
              </w:sdtPr>
              <w:sdtContent>
                <w:r>
                  <w:rPr>
                    <w:rFonts w:ascii="Lato" w:hAnsi="Lato"/>
                    <w:sz w:val="18"/>
                    <w:color w:val="62716E"/>
                  </w:rPr>
                  <w:t>[Enter response and exact evidence references.]</w:t>
                </w:r>
              </w:sdtContent>
            </w:sdt>
          </w:p>
        </w:tc>
      </w:tr>
    </w:tbl>
    <w:p>
      <w:pPr>
        <w:spacing w:after="20" w:before="0" w:line="96" w:lineRule="auto"/>
      </w:pPr>
    </w:p>
    <w:p>
      <w:bookmarkStart w:id="3012" w:name="sec_12"/>
      <w:pPr>
        <w:pStyle w:val="Heading1"/>
        <w:keepNext/>
        <w:pageBreakBefore/>
      </w:pPr>
      <w:r>
        <w:t>12  Evidence index, independent review and decision</w:t>
      </w:r>
      <w:bookmarkEnd w:id="3012"/>
    </w:p>
    <w:p>
      <w:pPr>
        <w:spacing w:after="120"/>
      </w:pPr>
      <w:r>
        <w:rPr>
          <w:rFonts w:ascii="Lato" w:hAnsi="Lato"/>
          <w:b w:val="0"/>
          <w:color w:val="62716E"/>
          <w:sz w:val="16"/>
        </w:rPr>
        <w:t>[1] Basis: P-05; P-06; P-09; P-12; P-14; A-12; FRM-03; FRM-06</w:t>
      </w:r>
    </w:p>
    <w:p>
      <w:pPr>
        <w:pStyle w:val="Heading2"/>
        <w:keepNext/>
      </w:pPr>
      <w:r>
        <w:t>Findings and closure</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Requirement / finding / evidence</w:t>
            </w:r>
          </w:p>
        </w:tc>
        <w:tc>
          <w:tcPr>
            <w:tcW w:type="dxa" w:w="3250"/>
            <w:shd w:fill="215F52"/>
            <w:tcMar>
              <w:top w:w="90" w:type="dxa"/>
              <w:bottom w:w="90" w:type="dxa"/>
              <w:left w:w="100" w:type="dxa"/>
              <w:right w:w="100" w:type="dxa"/>
            </w:tcMar>
            <w:vAlign w:val="center"/>
          </w:tcPr>
          <w:p>
            <w:r>
              <w:rPr>
                <w:rFonts w:ascii="Lato" w:hAnsi="Lato"/>
                <w:b/>
                <w:color w:val="FFFFFF"/>
                <w:sz w:val="17"/>
              </w:rPr>
              <w:t>Proponent response / correction</w:t>
            </w:r>
          </w:p>
        </w:tc>
        <w:tc>
          <w:tcPr>
            <w:tcW w:type="dxa" w:w="3250"/>
            <w:shd w:fill="215F52"/>
            <w:tcMar>
              <w:top w:w="90" w:type="dxa"/>
              <w:bottom w:w="90" w:type="dxa"/>
              <w:left w:w="100" w:type="dxa"/>
              <w:right w:w="100" w:type="dxa"/>
            </w:tcMar>
            <w:vAlign w:val="center"/>
          </w:tcPr>
          <w:p>
            <w:r>
              <w:rPr>
                <w:rFonts w:ascii="Lato" w:hAnsi="Lato"/>
                <w:b/>
                <w:color w:val="FFFFFF"/>
                <w:sz w:val="17"/>
              </w:rPr>
              <w:t>Uninvolved assessment / closure reference</w:t>
            </w:r>
          </w:p>
        </w:tc>
      </w:tr>
      <w:tr>
        <w:trPr>
          <w:trHeight w:val="510"/>
        </w:trPr>
        <w:tc>
          <w:tcPr>
            <w:tcW w:type="dxa" w:w="3250"/>
            <w:tcMar>
              <w:top w:w="90" w:type="dxa"/>
              <w:bottom w:w="90" w:type="dxa"/>
              <w:left w:w="100" w:type="dxa"/>
              <w:right w:w="100" w:type="dxa"/>
            </w:tcMar>
            <w:shd w:fill="F1F5F2"/>
          </w:tcPr>
          <w:p>
            <w:pPr>
              <w:spacing w:after="20"/>
            </w:pPr>
            <w:sdt>
              <w:sdtPr>
                <w:alias w:val="sec_12-0-EN-1-1"/>
                <w:tag w:val="sec_12-0-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2-0-EN-1-2"/>
                <w:tag w:val="sec_12-0-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2-0-EN-1-3"/>
                <w:tag w:val="sec_12-0-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12-0-EN-2-1"/>
                <w:tag w:val="sec_12-0-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12-0-EN-2-2"/>
                <w:tag w:val="sec_12-0-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12-0-EN-2-3"/>
                <w:tag w:val="sec_12-0-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12-0-EN-3-1"/>
                <w:tag w:val="sec_12-0-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2-0-EN-3-2"/>
                <w:tag w:val="sec_12-0-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2-0-EN-3-3"/>
                <w:tag w:val="sec_12-0-EN-3-3"/>
                <w:text/>
              </w:sdtPr>
              <w:sdtContent>
                <w:r>
                  <w:rPr>
                    <w:rFonts w:ascii="Lato" w:hAnsi="Lato"/>
                    <w:sz w:val="18"/>
                    <w:color w:val="62716E"/>
                  </w:rPr>
                  <w:t>[Complete]</w:t>
                </w:r>
              </w:sdtContent>
            </w:sdt>
          </w:p>
        </w:tc>
      </w:tr>
    </w:tbl>
    <w:p>
      <w:pPr>
        <w:spacing w:after="0"/>
      </w:pPr>
    </w:p>
    <w:p>
      <w:pPr>
        <w:pStyle w:val="Heading2"/>
        <w:keepNext/>
      </w:pPr>
      <w:r>
        <w:t>Evidence and separate decisions</w:t>
      </w:r>
    </w:p>
    <w:p>
      <w:pPr>
        <w:spacing w:after="80"/>
      </w:pPr>
      <w:r>
        <w:rPr>
          <w:rFonts w:ascii="Lato" w:hAnsi="Lato"/>
          <w:b w:val="0"/>
          <w:color w:val="62716E"/>
          <w:sz w:val="18"/>
        </w:rPr>
        <w:t>Attach original and updated calculation records, raw/reference observations, monitoring deviations, liability records and the OVV opinion when available. A completed response is not independent closure. Keep reported, verified and authorized quantities in separate signed records.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sec_12-1-EN"/>
                <w:tag w:val="sec_12-1-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Submission and assessment</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shd w:fill="215F52"/>
            <w:tcMar>
              <w:top w:w="90" w:type="dxa"/>
              <w:bottom w:w="90" w:type="dxa"/>
              <w:left w:w="100" w:type="dxa"/>
              <w:right w:w="100" w:type="dxa"/>
            </w:tcMar>
            <w:vAlign w:val="center"/>
          </w:tcPr>
          <w:p>
            <w:r>
              <w:rPr>
                <w:rFonts w:ascii="Lato" w:hAnsi="Lato"/>
                <w:b/>
                <w:color w:val="FFFFFF"/>
                <w:sz w:val="17"/>
              </w:rPr>
              <w:t>Role / organization</w:t>
            </w:r>
          </w:p>
        </w:tc>
        <w:tc>
          <w:tcPr>
            <w:tcW w:type="dxa" w:w="3250"/>
            <w:shd w:fill="215F52"/>
            <w:tcMar>
              <w:top w:w="90" w:type="dxa"/>
              <w:bottom w:w="90" w:type="dxa"/>
              <w:left w:w="100" w:type="dxa"/>
              <w:right w:w="100" w:type="dxa"/>
            </w:tcMar>
            <w:vAlign w:val="center"/>
          </w:tcPr>
          <w:p>
            <w:r>
              <w:rPr>
                <w:rFonts w:ascii="Lato" w:hAnsi="Lato"/>
                <w:b/>
                <w:color w:val="FFFFFF"/>
                <w:sz w:val="17"/>
              </w:rPr>
              <w:t>Name, date and signature</w:t>
            </w:r>
          </w:p>
        </w:tc>
        <w:tc>
          <w:tcPr>
            <w:tcW w:type="dxa" w:w="3250"/>
            <w:shd w:fill="215F52"/>
            <w:tcMar>
              <w:top w:w="90" w:type="dxa"/>
              <w:bottom w:w="90" w:type="dxa"/>
              <w:left w:w="100" w:type="dxa"/>
              <w:right w:w="100" w:type="dxa"/>
            </w:tcMar>
            <w:vAlign w:val="center"/>
          </w:tcPr>
          <w:p>
            <w:r>
              <w:rPr>
                <w:rFonts w:ascii="Lato" w:hAnsi="Lato"/>
                <w:b/>
                <w:color w:val="FFFFFF"/>
                <w:sz w:val="17"/>
              </w:rPr>
              <w:t>Quantity, scope, status and authority</w:t>
            </w:r>
          </w:p>
        </w:tc>
      </w:tr>
      <w:tr>
        <w:trPr>
          <w:trHeight w:val="510"/>
        </w:trPr>
        <w:tc>
          <w:tcPr>
            <w:tcW w:type="dxa" w:w="3250"/>
            <w:tcMar>
              <w:top w:w="90" w:type="dxa"/>
              <w:bottom w:w="90" w:type="dxa"/>
              <w:left w:w="100" w:type="dxa"/>
              <w:right w:w="100" w:type="dxa"/>
            </w:tcMar>
            <w:shd w:fill="F1F5F2"/>
          </w:tcPr>
          <w:p>
            <w:pPr>
              <w:spacing w:after="20"/>
            </w:pPr>
            <w:sdt>
              <w:sdtPr>
                <w:alias w:val="sec_12-2-EN-1-1"/>
                <w:tag w:val="sec_12-2-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2-2-EN-1-2"/>
                <w:tag w:val="sec_12-2-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2-2-EN-1-3"/>
                <w:tag w:val="sec_12-2-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sec_12-2-EN-2-1"/>
                <w:tag w:val="sec_12-2-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12-2-EN-2-2"/>
                <w:tag w:val="sec_12-2-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sec_12-2-EN-2-3"/>
                <w:tag w:val="sec_12-2-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sec_12-2-EN-3-1"/>
                <w:tag w:val="sec_12-2-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2-2-EN-3-2"/>
                <w:tag w:val="sec_12-2-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sec_12-2-EN-3-3"/>
                <w:tag w:val="sec_12-2-EN-3-3"/>
                <w:text/>
              </w:sdtPr>
              <w:sdtContent>
                <w:r>
                  <w:rPr>
                    <w:rFonts w:ascii="Lato" w:hAnsi="Lato"/>
                    <w:sz w:val="18"/>
                    <w:color w:val="62716E"/>
                  </w:rPr>
                  <w:t>[Complete]</w:t>
                </w:r>
              </w:sdtContent>
            </w:sdt>
          </w:p>
        </w:tc>
      </w:tr>
    </w:tbl>
    <w:p>
      <w:bookmarkStart w:id="99001" w:name="calc_register"/>
      <w:pPr>
        <w:pStyle w:val="Heading1"/>
        <w:keepNext/>
        <w:pageBreakBefore/>
      </w:pPr>
      <w:r>
        <w:t>CALC — Calculation traceability and notation</w:t>
      </w:r>
      <w:bookmarkEnd w:id="99001"/>
    </w:p>
    <w:p>
      <w:pPr>
        <w:spacing w:after="100"/>
      </w:pPr>
      <w:r>
        <w:t>Record each calculated quantity as a uniquely identified row. Retain the exact source expression and a separate expression for any NEBIOT adaptation. A translated label does not change a formula. Units, included pools, sign convention, observation period, input status, and mathematical domain are part of the calculation record. An administrative table does not need an invented equation. Source-defined variables that remain ambiguous require clarification rather than an assumed meaning.</w:t>
      </w:r>
    </w:p>
    <w:p>
      <w:pPr>
        <w:pStyle w:val="Heading2"/>
        <w:keepNext/>
        <w:spacing w:after="100"/>
      </w:pPr>
      <w:r>
        <w:t>Indices and status</w:t>
      </w:r>
    </w:p>
    <w:p>
      <w:pPr>
        <w:spacing w:after="100"/>
      </w:pPr>
      <w:r>
        <w:t>EA = dated forecast; EP = reporting-period account; t = interval; i,j = declared strata or classes; o = disjoint organ or pool; g = gas; tau = disturbance cohort; l = calculation/component row.</w:t>
      </w:r>
    </w:p>
    <w:p>
      <w:pPr>
        <w:pStyle w:val="Heading2"/>
        <w:keepNext/>
        <w:spacing w:after="100"/>
      </w:pPr>
      <w:r>
        <w:t>One calculation record — repeat for each result</w:t>
      </w:r>
    </w:p>
    <w:tbl>
      <w:tblPr>
        <w:tblW w:type="auto" w:w="0"/>
        <w:tblLayout w:type="fixed"/>
        <w:tblLook w:firstColumn="1" w:firstRow="1" w:lastColumn="0" w:lastRow="0" w:noHBand="0" w:noVBand="1" w:val="04A0"/>
      </w:tblPr>
      <w:tblGrid>
        <w:gridCol w:w="3240"/>
        <w:gridCol w:w="6120"/>
      </w:tblGrid>
      <w:tr>
        <w:trPr/>
        <w:tc>
          <w:tcPr>
            <w:tcW w:type="dxa" w:w="4873"/>
            <w:shd w:fill="215F52"/>
          </w:tcPr>
          <w:p>
            <w:pPr>
              <w:spacing w:after="80"/>
            </w:pPr>
            <w:r>
              <w:rPr>
                <w:rFonts w:ascii="Lato" w:hAnsi="Lato"/>
                <w:b/>
                <w:color w:val="FFFFFF"/>
                <w:sz w:val="18"/>
              </w:rPr>
              <w:t>Field</w:t>
            </w:r>
          </w:p>
        </w:tc>
        <w:tc>
          <w:tcPr>
            <w:tcW w:type="dxa" w:w="4873"/>
            <w:shd w:fill="215F52"/>
          </w:tcPr>
          <w:p>
            <w:pPr>
              <w:spacing w:after="80"/>
            </w:pPr>
            <w:r>
              <w:rPr>
                <w:rFonts w:ascii="Lato" w:hAnsi="Lato"/>
                <w:b/>
                <w:color w:val="FFFFFF"/>
                <w:sz w:val="18"/>
              </w:rPr>
              <w:t>Record</w:t>
            </w:r>
          </w:p>
        </w:tc>
      </w:tr>
      <w:tr>
        <w:trPr/>
        <w:tc>
          <w:tcPr>
            <w:tcW w:type="dxa" w:w="3240"/>
          </w:tcPr>
          <w:p>
            <w:pPr>
              <w:spacing w:after="80"/>
            </w:pPr>
            <w:r>
              <w:rPr>
                <w:rFonts w:ascii="Lato" w:hAnsi="Lato"/>
                <w:sz w:val="18"/>
              </w:rPr>
              <w:t>Calculation row / symbol</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Definition and intended use</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Exact source file / version / fingerprint</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Worksheet / cell or raw record ID</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Original expression and original unit</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Inputs: symbols, values, units and periods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Receiving equation / standard identifier</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Transformation, conversion and rationale</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Unrounded intermediate and final values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Report table / row / output location</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Recalculation difference / tolerance basis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Independent reviewer / finding / disposition</w:t>
            </w:r>
          </w:p>
        </w:tc>
        <w:tc>
          <w:tcPr>
            <w:tcW w:type="dxa" w:w="6120"/>
          </w:tcPr>
          <w:p>
            <w:pPr>
              <w:spacing w:after="80"/>
            </w:pPr>
            <w:r>
              <w:rPr>
                <w:rFonts w:ascii="Lato" w:hAnsi="Lato"/>
                <w:sz w:val="18"/>
              </w:rPr>
              <w:t>[Complete]</w:t>
            </w:r>
          </w:p>
        </w:tc>
      </w:tr>
    </w:tbl>
    <w:p>
      <w:pPr>
        <w:pStyle w:val="Heading2"/>
        <w:keepNext/>
        <w:spacing w:after="100"/>
      </w:pPr>
      <w:r>
        <w:t>Arithmetic comparison, not materiality</w:t>
      </w:r>
    </w:p>
    <w:p>
      <w:pPr>
        <w:spacing w:after="100"/>
      </w:pPr>
      <m:oMath>
        <m:sSub>
          <m:e>
            <m:r>
              <w:rPr>
                <w:sz w:val="20"/>
              </w:rPr>
              <m:t>δ</m:t>
            </m:r>
          </m:e>
          <m:sub>
            <m:r>
              <w:rPr>
                <w:sz w:val="20"/>
              </w:rPr>
              <m:rPr>
                <m:sty m:val="p"/>
              </m:rPr>
              <m:t>ℓ</m:t>
            </m:r>
          </m:sub>
        </m:sSub>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c</m:t>
            </m:r>
            <m:r>
              <w:rPr>
                <w:sz w:val="20"/>
              </w:rPr>
              <m:rPr>
                <m:sty m:val="p"/>
              </m:rPr>
              <m:t>a</m:t>
            </m:r>
            <m:r>
              <w:rPr>
                <w:sz w:val="20"/>
              </w:rPr>
              <m:rPr>
                <m:sty m:val="p"/>
              </m:rPr>
              <m:t>l</m:t>
            </m:r>
            <m:r>
              <w:rPr>
                <w:sz w:val="20"/>
              </w:rPr>
              <m:rPr>
                <m:sty m:val="p"/>
              </m:rPr>
              <m:t>c</m:t>
            </m:r>
          </m:sup>
        </m:sSubSup>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oMath>
    </w:p>
    <w:p>
      <w:pPr>
        <w:spacing w:after="100"/>
      </w:pPr>
      <m:oMath>
        <m:d>
          <m:dPr>
            <m:begChr m:val="|"/>
            <m:endChr m:val="|"/>
            <m:sepChr m:val=""/>
            <m:grow/>
          </m:dPr>
          <m:e>
            <m:sSub>
              <m:e>
                <m:r>
                  <w:rPr>
                    <w:sz w:val="20"/>
                  </w:rPr>
                  <m:t>δ</m:t>
                </m:r>
              </m:e>
              <m:sub>
                <m:r>
                  <w:rPr>
                    <w:sz w:val="20"/>
                  </w:rPr>
                  <m:rPr>
                    <m:sty m:val="p"/>
                  </m:rPr>
                  <m:t>ℓ</m:t>
                </m:r>
              </m:sub>
            </m:sSub>
          </m:e>
        </m:d>
        <m:r>
          <w:rPr>
            <w:sz w:val="20"/>
          </w:rPr>
          <m:rPr>
            <m:sty m:val="p"/>
          </m:rPr>
          <m:t>≤</m:t>
        </m:r>
        <m:sSub>
          <m:e>
            <m:r>
              <w:rPr>
                <w:sz w:val="20"/>
              </w:rPr>
              <m:t>ε</m:t>
            </m:r>
          </m:e>
          <m:sub>
            <m:r>
              <w:rPr>
                <w:sz w:val="20"/>
              </w:rPr>
              <m:t>a</m:t>
            </m:r>
          </m:sub>
        </m:sSub>
        <m:r>
          <w:rPr>
            <w:sz w:val="20"/>
          </w:rPr>
          <m:rPr>
            <m:sty m:val="p"/>
          </m:rPr>
          <m:t>+</m:t>
        </m:r>
        <m:sSub>
          <m:e>
            <m:r>
              <w:rPr>
                <w:sz w:val="20"/>
              </w:rPr>
              <m:t>ε</m:t>
            </m:r>
          </m:e>
          <m:sub>
            <m:r>
              <w:rPr>
                <w:sz w:val="20"/>
              </w:rPr>
              <m:t>r</m:t>
            </m:r>
          </m:sub>
        </m:sSub>
        <m:d>
          <m:dPr>
            <m:begChr m:val="|"/>
            <m:endChr m:val="|"/>
            <m:sepChr m:val=""/>
            <m:grow/>
          </m:dPr>
          <m:e>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e>
        </m:d>
      </m:oMath>
    </w:p>
    <w:p>
      <w:pPr>
        <w:spacing w:after="100"/>
      </w:pPr>
      <w:r>
        <w:t>The absolute tolerance has the result unit; the relative tolerance is dimensionless. These are software-comparison settings, not materiality thresholds. Compare unrounded values. Reproduce the source method first, and record any harmonization or methodological change separately.</w:t>
      </w:r>
    </w:p>
    <w:sectPr w:rsidR="00FC693F" w:rsidRPr="0006063C" w:rsidSect="00034616">
      <w:headerReference w:type="default" r:id="rId9"/>
      <w:footerReference w:type="default" r:id="rId10"/>
      <w:headerReference w:type="first" r:id="rId12"/>
      <w:footerReference w:type="first" r:id="rId13"/>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TEMPLATE 1.2  / EX-POST /  NEBIOT 0.8.2</w:t>
    </w:r>
    <w:r>
      <w:tab/>
    </w:r>
    <w:r>
      <w:rPr>
        <w:rFonts w:ascii="Arial" w:hAnsi="Arial"/>
        <w:b w:val="0"/>
        <w:i w:val="0"/>
        <w:color w:val="62716E"/>
        <w:sz w:val="14"/>
      </w:rPr>
      <w:t xml:space="preserve">Page </w:t>
    </w:r>
    <w:fldSimple w:instr="PAGE">
      <w:r>
        <w:t>1</w:t>
      </w:r>
    </w:fldSimple>
    <w:r>
      <w:t xml:space="preserve"> / </w:t>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EX-POST OUTCOME REPORT</w:t>
    </w:r>
    <w:r>
      <w:tab/>
    </w:r>
    <w:r>
      <w:rPr>
        <w:rFonts w:ascii="Arial" w:hAnsi="Arial"/>
        <w:b w:val="0"/>
        <w:i w:val="0"/>
        <w:color w:val="62716E"/>
        <w:sz w:val="16"/>
      </w:rPr>
      <w:t>EN   |   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Ex-Post Outcome Report | NEBIOT</dc:title>
  <dc:subject>Reporting template | NEBIOT Standard 0.8.2</dc:subject>
  <dc:creator>Henry Arellano-Peña</dc:creator>
  <cp:keywords>NEBIOT, PD, template</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