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DOCUMENTACIÓN DEL PROYECTO</w:t>
      </w:r>
    </w:p>
    <w:p>
      <w:pPr>
        <w:jc w:val="center"/>
      </w:pPr>
      <w:r>
        <w:drawing>
          <wp:inline xmlns:a="http://schemas.openxmlformats.org/drawingml/2006/main" xmlns:pic="http://schemas.openxmlformats.org/drawingml/2006/picture">
            <wp:extent cx="5760720" cy="1918365"/>
            <wp:docPr id="1" name="Picture 1" descr="NEBIOT — Español"/>
            <wp:cNvGraphicFramePr>
              <a:graphicFrameLocks noChangeAspect="1"/>
            </wp:cNvGraphicFramePr>
            <a:graphic>
              <a:graphicData uri="http://schemas.openxmlformats.org/drawingml/2006/picture">
                <pic:pic>
                  <pic:nvPicPr>
                    <pic:cNvPr id="0" name="NEBIOT-Span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Autoridad del programa: Nuevo Estándar Biotropical — NEBIOT S.A.S.</w:t>
      </w:r>
    </w:p>
    <w:p>
      <w:pPr>
        <w:pStyle w:val="Title"/>
        <w:spacing w:after="160"/>
        <w:pBdr>
          <w:bottom w:val="single" w:sz="8" w:color="A6813D" w:space="5"/>
        </w:pBdr>
      </w:pPr>
      <w:r>
        <w:t>Informe de resultados ex post</w:t>
      </w:r>
    </w:p>
    <w:p>
      <w:pPr>
        <w:keepNext w:val="0"/>
        <w:spacing w:after="180" w:line="259" w:lineRule="auto"/>
      </w:pPr>
      <w:r>
        <w:rPr>
          <w:rFonts w:ascii="Arial" w:hAnsi="Arial"/>
          <w:b w:val="0"/>
          <w:i/>
          <w:color w:val="215F52"/>
          <w:sz w:val="21"/>
        </w:rPr>
        <w:t>Cuenta del período de monitoreo y solicitud de verificación</w:t>
      </w:r>
    </w:p>
    <w:p>
      <w:pPr>
        <w:keepNext w:val="0"/>
        <w:spacing w:after="260" w:line="259" w:lineRule="auto"/>
      </w:pPr>
      <w:r>
        <w:rPr>
          <w:rFonts w:ascii="Arial" w:hAnsi="Arial"/>
          <w:b w:val="0"/>
          <w:i w:val="0"/>
          <w:color w:val="62716E"/>
          <w:sz w:val="17"/>
        </w:rPr>
        <w:t>Estándar de referencia: NEBIOT 0.8.2   |   Edición de plantilla 1.2</w:t>
      </w:r>
    </w:p>
    <w:p>
      <w:pPr>
        <w:keepNext w:val="0"/>
        <w:spacing w:after="200" w:line="259" w:lineRule="auto"/>
      </w:pPr>
      <w:r>
        <w:rPr>
          <w:rFonts w:ascii="Arial" w:hAnsi="Arial"/>
          <w:b w:val="0"/>
          <w:i/>
          <w:color w:val="215F52"/>
          <w:sz w:val="32"/>
        </w:rPr>
        <w:t>[NOMBRE DEL PROYECTO]</w:t>
      </w:r>
    </w:p>
    <w:p>
      <w:pPr>
        <w:spacing w:after="80"/>
      </w:pPr>
      <w:r>
        <w:rPr>
          <w:rFonts w:ascii="Arial" w:hAnsi="Arial"/>
          <w:b/>
          <w:i w:val="0"/>
          <w:color w:val="243A36"/>
          <w:sz w:val="18"/>
        </w:rPr>
        <w:t xml:space="preserve">ID del proyecto: </w:t>
      </w:r>
      <w:r>
        <w:rPr>
          <w:rFonts w:ascii="Arial" w:hAnsi="Arial"/>
          <w:b w:val="0"/>
          <w:i/>
          <w:color w:val="62716E"/>
          <w:sz w:val="18"/>
        </w:rPr>
        <w:t>[Completar]</w:t>
      </w:r>
    </w:p>
    <w:p>
      <w:pPr>
        <w:spacing w:after="80"/>
      </w:pPr>
      <w:r>
        <w:rPr>
          <w:rFonts w:ascii="Arial" w:hAnsi="Arial"/>
          <w:b/>
          <w:i w:val="0"/>
          <w:color w:val="243A36"/>
          <w:sz w:val="18"/>
        </w:rPr>
        <w:t xml:space="preserve">País / jurisdicción: </w:t>
      </w:r>
      <w:r>
        <w:rPr>
          <w:rFonts w:ascii="Arial" w:hAnsi="Arial"/>
          <w:b w:val="0"/>
          <w:i/>
          <w:color w:val="62716E"/>
          <w:sz w:val="18"/>
        </w:rPr>
        <w:t>[Completar]</w:t>
      </w:r>
    </w:p>
    <w:p>
      <w:pPr>
        <w:spacing w:after="80"/>
      </w:pPr>
      <w:r>
        <w:rPr>
          <w:rFonts w:ascii="Arial" w:hAnsi="Arial"/>
          <w:b/>
          <w:i w:val="0"/>
          <w:color w:val="243A36"/>
          <w:sz w:val="18"/>
        </w:rPr>
        <w:t xml:space="preserve">Versión del documento del proyecto: </w:t>
      </w:r>
      <w:r>
        <w:rPr>
          <w:rFonts w:ascii="Arial" w:hAnsi="Arial"/>
          <w:b w:val="0"/>
          <w:i/>
          <w:color w:val="62716E"/>
          <w:sz w:val="18"/>
        </w:rPr>
        <w:t>[Completar]</w:t>
      </w:r>
    </w:p>
    <w:p>
      <w:pPr>
        <w:spacing w:after="80"/>
      </w:pPr>
      <w:r>
        <w:rPr>
          <w:rFonts w:ascii="Arial" w:hAnsi="Arial"/>
          <w:b/>
          <w:i w:val="0"/>
          <w:color w:val="243A36"/>
          <w:sz w:val="18"/>
        </w:rPr>
        <w:t xml:space="preserve">Fecha de emisión (AAAA-MM-DD): </w:t>
      </w:r>
      <w:r>
        <w:rPr>
          <w:rFonts w:ascii="Arial" w:hAnsi="Arial"/>
          <w:b w:val="0"/>
          <w:i/>
          <w:color w:val="62716E"/>
          <w:sz w:val="18"/>
        </w:rPr>
        <w:t>[Completar]</w:t>
      </w:r>
    </w:p>
    <w:p>
      <w:pPr>
        <w:keepNext w:val="0"/>
        <w:spacing w:after="100" w:line="259" w:lineRule="auto"/>
      </w:pPr>
      <w:r>
        <w:rPr>
          <w:rFonts w:ascii="Arial" w:hAnsi="Arial"/>
          <w:b w:val="0"/>
          <w:i w:val="0"/>
          <w:color w:val="215F52"/>
          <w:sz w:val="21"/>
        </w:rPr>
        <w:t>Organizaciones ejecutoras y partes interesadas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ENTIDAD EJECUTORA</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PROPONENTE DEL PROYECTO</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TITULARES / PARTES INTERESADAS</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r>
    </w:tbl>
    <w:p>
      <w:pPr>
        <w:keepNext w:val="0"/>
        <w:spacing w:after="160" w:line="259" w:lineRule="auto"/>
      </w:pPr>
      <w:r>
        <w:rPr>
          <w:rFonts w:ascii="Arial" w:hAnsi="Arial"/>
          <w:b w:val="0"/>
          <w:i w:val="0"/>
          <w:color w:val="62716E"/>
          <w:sz w:val="16"/>
        </w:rPr>
        <w:t>Use logotipos autorizados e identifique la función real de cada organización. Exhibir un logotipo no establece consentimiento, propiedad, respaldo, validación ni admisión. Retire espacios sin usar de la presentación final.</w:t>
      </w:r>
    </w:p>
    <w:p>
      <w:pPr>
        <w:keepNext w:val="0"/>
        <w:spacing w:after="100" w:line="259" w:lineRule="auto"/>
      </w:pPr>
      <w:r>
        <w:rPr>
          <w:rFonts w:ascii="Arial" w:hAnsi="Arial"/>
          <w:b w:val="0"/>
          <w:i w:val="0"/>
          <w:color w:val="62716E"/>
          <w:sz w:val="15"/>
        </w:rPr>
        <w:t>Se conserva la grafía SAS del logotipo; S.A.S. es la convención de puntuación utilizada en el texto.</w:t>
      </w:r>
    </w:p>
    <w:p>
      <w:r>
        <w:br w:type="page"/>
      </w:r>
    </w:p>
    <w:p>
      <w:pPr>
        <w:pStyle w:val="Heading1"/>
        <w:keepNext/>
      </w:pPr>
      <w:r>
        <w:t>Licencia y uso de esta plantilla</w:t>
      </w:r>
    </w:p>
    <w:p>
      <w:pPr>
        <w:keepNext w:val="0"/>
        <w:spacing w:after="220" w:line="259" w:lineRule="auto"/>
      </w:pPr>
      <w:r>
        <w:rPr>
          <w:rFonts w:ascii="Arial" w:hAnsi="Arial"/>
          <w:b w:val="0"/>
          <w:i w:val="0"/>
          <w:color w:val="243A36"/>
          <w:sz w:val="19"/>
        </w:rPr>
        <w:t>Este documento es publicado por Nuevo Estándar Biotropical—NEBIOT S.A.S. Henry Arellano-Peña es el autor metodológico de NEB001 y NEB002. Los derechos sobre los materiales protegidos de NEBIOT permanecen en sus respectivos titulares. El uso comercial, la reproducción, la adaptación, la redistribución y el sublicenciamiento de material protegido están sujetos a la licencia aplicable o al permiso escrito específico del titular facultado para autorizarlo; los permisos de uso dentro del programa NEBIOT deberán registrarse en FRM-07 conforme a S-21. El acceso a este documento no otorga por sí mismo una licencia comercial, no transfiere titularidad, no autoriza el sublicenciamiento, no confiere admisión al programa ni autoriza la certificación o emisión de unidades ambientales. Las publicaciones de respaldo y los datos, programas informáticos e imágenes de terceros conservan sus respectivas licencias y obligaciones de atribución; no se afectan los permisos lícitos existentes ni los usos permitidos por la legislación aplicable. Los revisores independientes autorizados deberán disponer del acceso necesario para inspección, recálculo e informe conforme a S-22, sujeto a los permisos aplicables y las salvaguardas de confidencialidad.</w:t>
      </w:r>
    </w:p>
    <w:p>
      <w:pPr>
        <w:pStyle w:val="Heading2"/>
        <w:keepNext/>
      </w:pPr>
      <w:r>
        <w:t>Instrucciones de diligenciamiento</w:t>
      </w:r>
    </w:p>
    <w:p>
      <w:pPr>
        <w:keepNext w:val="0"/>
        <w:spacing w:after="180" w:line="259" w:lineRule="auto"/>
      </w:pPr>
      <w:r>
        <w:rPr>
          <w:rFonts w:ascii="Arial" w:hAnsi="Arial"/>
          <w:b w:val="0"/>
          <w:i w:val="0"/>
          <w:color w:val="243A36"/>
          <w:sz w:val="19"/>
        </w:rPr>
        <w:t>Esta plantilla organiza la evidencia exigida para su etapa según el Estándar NEBIOT versión 0.8.2. No sustituye el estándar, sus métodos aplicables, el perfil aprobado ni los formularios controlados. Complete campos entre corchetes y amplíe tablas o áreas de texto. Para conceptos no aplicables, registre motivo y decisión del revisor; no los suprima silenciosamente. Identifique información desconocida como faltante, no cero. Distinga observaciones, supuestos, proyecciones, resultados verificados y NVEU autorizadas. Los requisitos se evalúan en la etapa correspondiente; campos de etapas futuras no implican cumplimiento previo.</w:t>
      </w:r>
    </w:p>
    <w:p>
      <w:pPr>
        <w:pStyle w:val="Heading2"/>
        <w:keepNext/>
      </w:pPr>
      <w:r>
        <w:t>Referencia y alcance</w:t>
      </w:r>
    </w:p>
    <w:p>
      <w:pPr>
        <w:keepNext w:val="0"/>
        <w:spacing w:after="200" w:line="259" w:lineRule="auto"/>
      </w:pPr>
      <w:r>
        <w:rPr>
          <w:rFonts w:ascii="Arial" w:hAnsi="Arial"/>
          <w:b w:val="0"/>
          <w:i w:val="0"/>
          <w:color w:val="243A36"/>
          <w:sz w:val="17"/>
        </w:rPr>
        <w:t>[1] NEBIOT. Estándar NEBIOT, versión controlada 0.8.2. NEB-DOC-000, edición integrada. Dependencias principales: NEB-CYC-001; NEB-STD-001 y Anexo A; NEB-MTH-001/002; NEB-UNT-001; NEB-PRO-001; NEB-MIG-001; NEB-AUD-001 y NEB-FRM-001. Las referencias a cláusulas, ecuaciones, AP y FRM remiten a esa versión. Son dependencias normativas externas, no secciones faltantes de esta plantilla.</w:t>
      </w:r>
    </w:p>
    <w:p>
      <w:pPr>
        <w:keepNext w:val="0"/>
        <w:spacing w:after="140" w:line="259" w:lineRule="auto"/>
      </w:pPr>
      <w:r>
        <w:rPr>
          <w:rFonts w:ascii="Arial" w:hAnsi="Arial"/>
          <w:b w:val="0"/>
          <w:i w:val="0"/>
          <w:color w:val="243A36"/>
          <w:sz w:val="18"/>
        </w:rPr>
        <w:t>NIP conserva el nombre Nota de Idea de proyecto. PD identifica la Informe de resultados ex post.</w:t>
      </w:r>
    </w:p>
    <w:p>
      <w:pPr>
        <w:keepNext w:val="0"/>
        <w:spacing w:after="0" w:line="259" w:lineRule="auto"/>
      </w:pPr>
      <w:r>
        <w:rPr>
          <w:rFonts w:ascii="Arial" w:hAnsi="Arial"/>
          <w:b w:val="0"/>
          <w:i w:val="0"/>
          <w:color w:val="243A36"/>
          <w:sz w:val="18"/>
        </w:rPr>
        <w:t>NEBIOT presta la evaluación técnica, diseño y monitoreo contratados. El proponente y ejecutor identificados conservan responsabilidades de ejecución según S-25; los intereses excepcionales NEBIOT siguen S-26.</w:t>
      </w:r>
    </w:p>
    <w:p>
      <w:r>
        <w:br w:type="page"/>
      </w:r>
    </w:p>
    <w:p>
      <w:pPr>
        <w:pStyle w:val="Heading1"/>
        <w:keepNext/>
      </w:pPr>
      <w:r>
        <w:t>Control documental y contenido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Registro</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Plantilla</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EX-POST / 1.2 / ES</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Estándar de referencia</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P-02</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Preparador / revisor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Distribución / restricciones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Fecha</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Cambio y autoridad</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Contenido</w:t>
      </w:r>
    </w:p>
    <w:p>
      <w:pPr>
        <w:spacing w:after="60"/>
      </w:pPr>
      <w:hyperlink w:anchor="sec_01">
        <w:r>
          <w:rPr>
            <w:color w:val="215F52"/>
          </w:rPr>
          <w:t>01  Período, corte de evidencia y estado de evaluación</w:t>
        </w:r>
      </w:hyperlink>
    </w:p>
    <w:p>
      <w:pPr>
        <w:spacing w:after="60"/>
      </w:pPr>
      <w:hyperlink w:anchor="sec_02">
        <w:r>
          <w:rPr>
            <w:color w:val="215F52"/>
          </w:rPr>
          <w:t>02  Ejecución del monitoreo y observaciones espaciales</w:t>
        </w:r>
      </w:hyperlink>
    </w:p>
    <w:p>
      <w:pPr>
        <w:spacing w:after="60"/>
      </w:pPr>
      <w:hyperlink w:anchor="sec_03">
        <w:r>
          <w:rPr>
            <w:color w:val="215F52"/>
          </w:rPr>
          <w:t>03  Contrafactual conservado para el intervalo monitoreado</w:t>
        </w:r>
      </w:hyperlink>
    </w:p>
    <w:p>
      <w:pPr>
        <w:spacing w:after="60"/>
      </w:pPr>
      <w:hyperlink w:anchor="sec_04">
        <w:r>
          <w:rPr>
            <w:color w:val="215F52"/>
          </w:rPr>
          <w:t>04  Cuenta real del proyecto y emisiones de implementación</w:t>
        </w:r>
      </w:hyperlink>
    </w:p>
    <w:p>
      <w:pPr>
        <w:spacing w:after="60"/>
      </w:pPr>
      <w:hyperlink w:anchor="sec_05">
        <w:r>
          <w:rPr>
            <w:color w:val="215F52"/>
          </w:rPr>
          <w:t>05  Actividad externa observada y fugas atribuibles</w:t>
        </w:r>
      </w:hyperlink>
    </w:p>
    <w:p>
      <w:pPr>
        <w:spacing w:after="60"/>
      </w:pPr>
      <w:hyperlink w:anchor="sec_06">
        <w:r>
          <w:rPr>
            <w:color w:val="215F52"/>
          </w:rPr>
          <w:t>06  Transferencias, liberación diferida y unidades físicas</w:t>
        </w:r>
      </w:hyperlink>
    </w:p>
    <w:p>
      <w:pPr>
        <w:spacing w:after="60"/>
      </w:pPr>
      <w:hyperlink w:anchor="sec_07">
        <w:r>
          <w:rPr>
            <w:color w:val="215F52"/>
          </w:rPr>
          <w:t>07  Cuenta con signo y cantidad conservadora</w:t>
        </w:r>
      </w:hyperlink>
    </w:p>
    <w:p>
      <w:pPr>
        <w:spacing w:after="60"/>
      </w:pPr>
      <w:hyperlink w:anchor="sec_08">
        <w:r>
          <w:rPr>
            <w:color w:val="215F52"/>
          </w:rPr>
          <w:t>08  Pasivos, reserva y solicitud condicional de NVEU</w:t>
        </w:r>
      </w:hyperlink>
    </w:p>
    <w:p>
      <w:pPr>
        <w:spacing w:after="60"/>
      </w:pPr>
      <w:hyperlink w:anchor="sec_09">
        <w:r>
          <w:rPr>
            <w:color w:val="215F52"/>
          </w:rPr>
          <w:t>09  Comparación ex ante a ex post</w:t>
        </w:r>
      </w:hyperlink>
    </w:p>
    <w:p>
      <w:pPr>
        <w:spacing w:after="60"/>
      </w:pPr>
      <w:hyperlink w:anchor="sec_10">
        <w:r>
          <w:rPr>
            <w:color w:val="215F52"/>
          </w:rPr>
          <w:t>10  Adicionalidad continua, salvaguardas y otros resultados</w:t>
        </w:r>
      </w:hyperlink>
    </w:p>
    <w:p>
      <w:pPr>
        <w:spacing w:after="60"/>
      </w:pPr>
      <w:hyperlink w:anchor="sec_11">
        <w:r>
          <w:rPr>
            <w:color w:val="215F52"/>
          </w:rPr>
          <w:t>11  Migración, declaraciones previas y continuidad de evidencia</w:t>
        </w:r>
      </w:hyperlink>
    </w:p>
    <w:p>
      <w:pPr>
        <w:spacing w:after="60"/>
      </w:pPr>
      <w:hyperlink w:anchor="sec_12">
        <w:r>
          <w:rPr>
            <w:color w:val="215F52"/>
          </w:rPr>
          <w:t>12  Índice de evidencia, revisión independiente y decisión</w:t>
        </w:r>
      </w:hyperlink>
    </w:p>
    <w:p>
      <w:pPr>
        <w:spacing w:after="80"/>
      </w:pPr>
      <w:hyperlink w:anchor="calc_register" w:history="1">
        <w:r>
          <w:rPr>
            <w:color w:val="215F52"/>
          </w:rPr>
          <w:t>CALC  Trazabilidad y notación del cálculo</w:t>
        </w:r>
      </w:hyperlink>
    </w:p>
    <w:p>
      <w:bookmarkStart w:id="3001" w:name="sec_01"/>
      <w:pPr>
        <w:pStyle w:val="Heading1"/>
        <w:keepNext/>
        <w:pageBreakBefore/>
      </w:pPr>
      <w:r>
        <w:t>01  Período, corte de evidencia y estado de evaluación</w:t>
      </w:r>
      <w:bookmarkEnd w:id="3001"/>
    </w:p>
    <w:p>
      <w:pPr>
        <w:spacing w:after="120"/>
      </w:pPr>
      <w:r>
        <w:rPr>
          <w:rFonts w:ascii="Lato" w:hAnsi="Lato"/>
          <w:b w:val="0"/>
          <w:color w:val="62716E"/>
          <w:sz w:val="16"/>
        </w:rPr>
        <w:t>[1] Referencia: P-01; P-02; CYC-06; S-18; U-01</w:t>
      </w:r>
    </w:p>
    <w:p>
      <w:pPr>
        <w:pStyle w:val="Heading2"/>
        <w:keepNext/>
      </w:pPr>
      <w:r>
        <w:t>Identidad exacta de la cuenta</w:t>
      </w:r>
    </w:p>
    <w:p>
      <w:pPr>
        <w:spacing w:after="80"/>
      </w:pPr>
      <w:r>
        <w:rPr>
          <w:rFonts w:ascii="Lato" w:hAnsi="Lato"/>
          <w:b w:val="0"/>
          <w:color w:val="62716E"/>
          <w:sz w:val="18"/>
        </w:rPr>
        <w:t>Identificar intervalo de monitoreo, versiones del proyecto y límites, corte de datos, informe anterior y métodos. Distinguir observaciones, conversiones modeladas, contrafactual conservado, cantidades reportadas, alcance verificado por OVV y resultados autorizados por separado. El título no establece verificación.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0-ES"/>
                <w:tag w:val="sec_01-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Registro de estado y período</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Registro / alcance</w:t>
            </w:r>
          </w:p>
        </w:tc>
        <w:tc>
          <w:tcPr>
            <w:tcW w:type="dxa" w:w="3250"/>
            <w:shd w:fill="215F52"/>
            <w:tcMar>
              <w:top w:w="90" w:type="dxa"/>
              <w:bottom w:w="90" w:type="dxa"/>
              <w:left w:w="100" w:type="dxa"/>
              <w:right w:w="100" w:type="dxa"/>
            </w:tcMar>
            <w:vAlign w:val="center"/>
          </w:tcPr>
          <w:p>
            <w:r>
              <w:rPr>
                <w:rFonts w:ascii="Lato" w:hAnsi="Lato"/>
                <w:b/>
                <w:color w:val="FFFFFF"/>
                <w:sz w:val="17"/>
              </w:rPr>
              <w:t>Inicio, fin y corte de evidencia</w:t>
            </w:r>
          </w:p>
        </w:tc>
        <w:tc>
          <w:tcPr>
            <w:tcW w:type="dxa" w:w="3250"/>
            <w:shd w:fill="215F52"/>
            <w:tcMar>
              <w:top w:w="90" w:type="dxa"/>
              <w:bottom w:w="90" w:type="dxa"/>
              <w:left w:w="100" w:type="dxa"/>
              <w:right w:w="100" w:type="dxa"/>
            </w:tcMar>
            <w:vAlign w:val="center"/>
          </w:tcPr>
          <w:p>
            <w:r>
              <w:rPr>
                <w:rFonts w:ascii="Lato" w:hAnsi="Lato"/>
                <w:b/>
                <w:color w:val="FFFFFF"/>
                <w:sz w:val="17"/>
              </w:rPr>
              <w:t>Estado presentado, evaluado o autorizado</w:t>
            </w:r>
          </w:p>
        </w:tc>
      </w:tr>
      <w:tr>
        <w:trPr>
          <w:trHeight w:val="510"/>
        </w:trPr>
        <w:tc>
          <w:tcPr>
            <w:tcW w:type="dxa" w:w="3250"/>
            <w:tcMar>
              <w:top w:w="90" w:type="dxa"/>
              <w:bottom w:w="90" w:type="dxa"/>
              <w:left w:w="100" w:type="dxa"/>
              <w:right w:w="100" w:type="dxa"/>
            </w:tcMar>
            <w:shd w:fill="F1F5F2"/>
          </w:tcPr>
          <w:p>
            <w:pPr>
              <w:spacing w:after="20"/>
            </w:pPr>
            <w:sdt>
              <w:sdtPr>
                <w:alias w:val="sec_01-1-ES-1-1"/>
                <w:tag w:val="sec_01-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1-ES-1-2"/>
                <w:tag w:val="sec_01-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1-ES-1-3"/>
                <w:tag w:val="sec_01-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1-1-ES-2-1"/>
                <w:tag w:val="sec_01-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1-1-ES-2-2"/>
                <w:tag w:val="sec_01-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1-1-ES-2-3"/>
                <w:tag w:val="sec_01-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1-1-ES-3-1"/>
                <w:tag w:val="sec_01-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1-ES-3-2"/>
                <w:tag w:val="sec_01-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1-ES-3-3"/>
                <w:tag w:val="sec_01-1-ES-3-3"/>
                <w:text/>
              </w:sdtPr>
              <w:sdtContent>
                <w:r>
                  <w:rPr>
                    <w:rFonts w:ascii="Lato" w:hAnsi="Lato"/>
                    <w:sz w:val="18"/>
                    <w:color w:val="62716E"/>
                  </w:rPr>
                  <w:t>[Completar]</w:t>
                </w:r>
              </w:sdtContent>
            </w:sdt>
          </w:p>
        </w:tc>
      </w:tr>
    </w:tbl>
    <w:p>
      <w:pPr>
        <w:spacing w:after="0"/>
      </w:pPr>
    </w:p>
    <w:p>
      <w:pPr>
        <w:pStyle w:val="Heading2"/>
        <w:keepNext/>
      </w:pPr>
      <w:r>
        <w:t>Continuidad de períodos</w:t>
      </w:r>
    </w:p>
    <w:p>
      <w:pPr>
        <w:spacing w:after="80"/>
      </w:pPr>
      <w:r>
        <w:rPr>
          <w:rFonts w:ascii="Lato" w:hAnsi="Lato"/>
          <w:b w:val="0"/>
          <w:color w:val="62716E"/>
          <w:sz w:val="18"/>
        </w:rPr>
        <w:t>Mostrar intervalos incluidos, excluidos y traslapes con reportes anteriores. Conservar resultados negativos y obligaciones pendientes. Un libro nuevo o una fecha de migración no reinician la edad del proyecto ni eliminan declaraciones anteriores.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2-ES"/>
                <w:tag w:val="sec_01-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2" w:name="sec_02"/>
      <w:pPr>
        <w:pStyle w:val="Heading1"/>
        <w:keepNext/>
        <w:pageBreakBefore/>
      </w:pPr>
      <w:r>
        <w:t>02  Ejecución del monitoreo y observaciones espaciales</w:t>
      </w:r>
      <w:bookmarkEnd w:id="3002"/>
    </w:p>
    <w:p>
      <w:pPr>
        <w:spacing w:after="120"/>
      </w:pPr>
      <w:r>
        <w:rPr>
          <w:rFonts w:ascii="Lato" w:hAnsi="Lato"/>
          <w:b w:val="0"/>
          <w:color w:val="62716E"/>
          <w:sz w:val="16"/>
        </w:rPr>
        <w:t>[1] Referencia: P-02; P-03; P-04; T-03; AO-09; MIG-14; FRM-08</w:t>
      </w:r>
    </w:p>
    <w:p>
      <w:pPr>
        <w:pStyle w:val="Heading2"/>
        <w:keepNext/>
      </w:pPr>
      <w:r>
        <w:t>Registro de observaciones</w:t>
      </w:r>
    </w:p>
    <w:p>
      <w:pPr>
        <w:keepNext/>
        <w:spacing w:before="40" w:after="60"/>
      </w:pPr>
      <w:r>
        <w:rPr>
          <w:rFonts w:ascii="Lato" w:hAnsi="Lato"/>
          <w:color w:val="315B50"/>
          <w:sz w:val="18"/>
        </w:rPr>
        <w:t>EXPOST-T04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Variable / lugar / fecha</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Método, valor, unidad e ID de fuente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Calidad, datos faltantes e incertidumbre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0-ES-1-1"/>
                <w:tag w:val="sec_02-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1-2"/>
                <w:tag w:val="sec_02-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1-3"/>
                <w:tag w:val="sec_02-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0-ES-2-1"/>
                <w:tag w:val="sec_02-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0-ES-2-2"/>
                <w:tag w:val="sec_02-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0-ES-2-3"/>
                <w:tag w:val="sec_02-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0-ES-3-1"/>
                <w:tag w:val="sec_02-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3-2"/>
                <w:tag w:val="sec_02-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3-3"/>
                <w:tag w:val="sec_02-0-ES-3-3"/>
                <w:text/>
              </w:sdtPr>
              <w:sdtContent>
                <w:r>
                  <w:rPr>
                    <w:rFonts w:ascii="Lato" w:hAnsi="Lato"/>
                    <w:sz w:val="18"/>
                    <w:color w:val="62716E"/>
                  </w:rPr>
                  <w:t>[Completar]</w:t>
                </w:r>
              </w:sdtContent>
            </w:sdt>
          </w:p>
        </w:tc>
      </w:tr>
    </w:tbl>
    <w:p>
      <w:pPr>
        <w:spacing w:after="0"/>
      </w:pPr>
    </w:p>
    <w:p>
      <w:pPr>
        <w:pStyle w:val="Heading2"/>
        <w:keepNext/>
      </w:pPr>
      <w:r>
        <w:t>Cambios y comparabilidad</w:t>
      </w:r>
    </w:p>
    <w:p>
      <w:pPr>
        <w:spacing w:after="80"/>
      </w:pPr>
      <w:r>
        <w:rPr>
          <w:rFonts w:ascii="Lato" w:hAnsi="Lato"/>
          <w:b w:val="0"/>
          <w:color w:val="62716E"/>
          <w:sz w:val="18"/>
        </w:rPr>
        <w:t>Documentar fechas de imágenes, clases, estimación de área ajustada por error o alternativa aprobada, transiciones y controles de campo o referencia. Las diferencias netas de área por clase no identifican por sí solas deforestación, degradación o recuperación brutas. Separar distribución de cambios plurianuales de observaciones en sus fechas reales.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2-1-ES"/>
                <w:tag w:val="sec_02-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Desviaciones del plan de monitoreo</w:t>
      </w:r>
    </w:p>
    <w:p>
      <w:pPr>
        <w:keepNext/>
        <w:spacing w:before="40" w:after="60"/>
      </w:pPr>
      <w:r>
        <w:rPr>
          <w:rFonts w:ascii="Lato" w:hAnsi="Lato"/>
          <w:color w:val="315B50"/>
          <w:sz w:val="18"/>
        </w:rPr>
        <w:t>EXPOST-T05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Procedimiento previsto</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Ejecución real y motivo</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Efecto / reparación / aprobación</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2-ES-1-1"/>
                <w:tag w:val="sec_02-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1-2"/>
                <w:tag w:val="sec_02-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1-3"/>
                <w:tag w:val="sec_02-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2-ES-2-1"/>
                <w:tag w:val="sec_02-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2-ES-2-2"/>
                <w:tag w:val="sec_02-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2-ES-2-3"/>
                <w:tag w:val="sec_02-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2-ES-3-1"/>
                <w:tag w:val="sec_02-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3-2"/>
                <w:tag w:val="sec_02-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3-3"/>
                <w:tag w:val="sec_02-2-ES-3-3"/>
                <w:text/>
              </w:sdtPr>
              <w:sdtContent>
                <w:r>
                  <w:rPr>
                    <w:rFonts w:ascii="Lato" w:hAnsi="Lato"/>
                    <w:sz w:val="18"/>
                    <w:color w:val="62716E"/>
                  </w:rPr>
                  <w:t>[Completar]</w:t>
                </w:r>
              </w:sdtContent>
            </w:sdt>
          </w:p>
        </w:tc>
      </w:tr>
    </w:tbl>
    <w:p>
      <w:pPr>
        <w:spacing w:after="0"/>
      </w:pPr>
    </w:p>
    <w:p>
      <w:bookmarkStart w:id="3003" w:name="sec_03"/>
      <w:pPr>
        <w:pStyle w:val="Heading1"/>
        <w:keepNext/>
        <w:pageBreakBefore/>
      </w:pPr>
      <w:r>
        <w:t>03  Contrafactual conservado para el intervalo monitoreado</w:t>
      </w:r>
      <w:bookmarkEnd w:id="3003"/>
    </w:p>
    <w:p>
      <w:pPr>
        <w:spacing w:after="120"/>
      </w:pPr>
      <w:r>
        <w:rPr>
          <w:rFonts w:ascii="Lato" w:hAnsi="Lato"/>
          <w:b w:val="0"/>
          <w:color w:val="62716E"/>
          <w:sz w:val="16"/>
        </w:rPr>
        <w:t>[1] Referencia: S-07; S-18; P-13; F-B01; F-B02; MIG-05</w:t>
      </w:r>
    </w:p>
    <w:p>
      <w:pPr>
        <w:pStyle w:val="Heading2"/>
        <w:keepNext/>
      </w:pPr>
      <w:r>
        <w:t>La línea base no es observación</w:t>
      </w:r>
    </w:p>
    <w:p>
      <w:pPr>
        <w:spacing w:after="80"/>
      </w:pPr>
      <w:r>
        <w:rPr>
          <w:rFonts w:ascii="Lato" w:hAnsi="Lato"/>
          <w:b w:val="0"/>
          <w:color w:val="62716E"/>
          <w:sz w:val="18"/>
        </w:rPr>
        <w:t>Indicar línea base aprobada para intervalo y alcance comparables. Identificar versiones originales y reexpresadas, límites de elegibilidad y decisiones de reevaluación. Los datos observados del proyecto no convierten emisiones de línea base en emisiones medidas.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0-ES"/>
                <w:tag w:val="sec_03-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Componentes de línea base por período</w:t>
      </w:r>
    </w:p>
    <w:p>
      <w:pPr>
        <w:keepNext/>
        <w:spacing w:before="40" w:after="60"/>
      </w:pPr>
      <w:r>
        <w:rPr>
          <w:rFonts w:ascii="Lato" w:hAnsi="Lato"/>
          <w:color w:val="315B50"/>
          <w:sz w:val="18"/>
        </w:rPr>
        <w:t>EXPOST-T06 / Notación del cálculo</w:t>
      </w:r>
    </w:p>
    <w:p>
      <w:pPr>
        <w:keepNext/>
        <w:spacing w:before="40" w:after="60"/>
      </w:pPr>
      <m:oMath>
        <m:sSub>
          <m:e>
            <m:r>
              <w:rPr>
                <w:sz w:val="18"/>
              </w:rPr>
              <m:t>N</m:t>
            </m:r>
          </m:e>
          <m:sub>
            <m:r>
              <w:rPr>
                <w:sz w:val="18"/>
              </w:rPr>
              <m:rPr>
                <m:sty m:val="p"/>
              </m:rPr>
              <m:t>B</m:t>
            </m:r>
            <m:r>
              <w:rPr>
                <w:sz w:val="18"/>
              </w:rPr>
              <m:rPr>
                <m:sty m:val="p"/>
              </m:rPr>
              <m:t>L</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rPr>
                    <m:sty m:val="p"/>
                  </m:rPr>
                  <m:t>B</m:t>
                </m:r>
                <m:r>
                  <w:rPr>
                    <w:sz w:val="18"/>
                  </w:rPr>
                  <m:rPr>
                    <m:sty m:val="p"/>
                  </m:rPr>
                  <m:t>L</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rPr>
                    <m:sty m:val="p"/>
                  </m:rPr>
                  <m:t>B</m:t>
                </m:r>
                <m:r>
                  <w:rPr>
                    <w:sz w:val="18"/>
                  </w:rPr>
                  <m:rPr>
                    <m:sty m:val="p"/>
                  </m:rPr>
                  <m:t>L</m:t>
                </m:r>
                <m:r>
                  <w:rPr>
                    <w:sz w:val="18"/>
                  </w:rPr>
                  <m:rPr>
                    <m:sty m:val="p"/>
                  </m:rPr>
                  <m:t>,</m:t>
                </m:r>
                <m:r>
                  <w:rPr>
                    <w:sz w:val="18"/>
                  </w:rPr>
                  <m:t>t</m:t>
                </m:r>
              </m:sub>
            </m:sSub>
          </m:e>
        </m:nary>
      </m:oMath>
    </w:p>
    <w:p>
      <w:pPr>
        <w:keepNext/>
        <w:spacing w:before="40" w:after="60"/>
      </w:pPr>
      <w:r>
        <w:rPr>
          <w:rFonts w:ascii="Lato" w:hAnsi="Lato"/>
          <w:color w:val="315B50"/>
          <w:sz w:val="16"/>
        </w:rPr>
        <w:t>Las entradas de línea base pertenecen al contrafactual aprobado y período comparable. No ingresar como N_BL un subtotal que ya descuenta emisiones del proyecto para restarlas otra vez. Definir impulsor, reservorio y gas y conservar expresión de celda original.</w:t>
      </w:r>
    </w:p>
    <w:p>
      <w:pPr>
        <w:keepNext/>
        <w:spacing w:before="40" w:after="60"/>
      </w:pPr>
      <w:r>
        <w:rPr>
          <w:rFonts w:ascii="Lato" w:hAnsi="Lato"/>
          <w:color w:val="315B50"/>
          <w:sz w:val="14"/>
        </w:rPr>
        <w:t>Base: M04.4; M04.5; P-13 | Libro: Components!D=BL; ExAnte!F; ExPost!F</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Impulsor / estrato / reservorio</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i</m:t>
              </m:r>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Cantidad por período y evidencia de cálculo</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rPr>
                      <m:sty m:val="p"/>
                    </m:rPr>
                    <m:t>B</m:t>
                  </m:r>
                  <m:r>
                    <w:rPr>
                      <w:sz w:val="16"/>
                      <w:color w:val="173E34"/>
                    </w:rPr>
                    <m:rPr>
                      <m:sty m:val="p"/>
                    </m:rPr>
                    <m:t>L</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Conservado o modificado / aprobación</w:t>
            </w:r>
          </w:p>
          <w:p>
            <w:pPr>
              <w:spacing w:before="40" w:after="40"/>
            </w:pPr>
            <m:oMath>
              <m:sSub>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3-1-ES-1-1"/>
                <w:tag w:val="sec_03-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1-ES-1-2"/>
                <w:tag w:val="sec_03-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1-ES-1-3"/>
                <w:tag w:val="sec_03-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3-1-ES-2-1"/>
                <w:tag w:val="sec_03-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3-1-ES-2-2"/>
                <w:tag w:val="sec_03-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3-1-ES-2-3"/>
                <w:tag w:val="sec_03-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3-1-ES-3-1"/>
                <w:tag w:val="sec_03-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1-ES-3-2"/>
                <w:tag w:val="sec_03-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1-ES-3-3"/>
                <w:tag w:val="sec_03-1-ES-3-3"/>
                <w:text/>
              </w:sdtPr>
              <w:sdtContent>
                <w:r>
                  <w:rPr>
                    <w:rFonts w:ascii="Lato" w:hAnsi="Lato"/>
                    <w:sz w:val="18"/>
                    <w:color w:val="62716E"/>
                  </w:rPr>
                  <w:t>[Completar]</w:t>
                </w:r>
              </w:sdtContent>
            </w:sdt>
          </w:p>
        </w:tc>
      </w:tr>
    </w:tbl>
    <w:p>
      <w:pPr>
        <w:spacing w:after="0"/>
      </w:pPr>
    </w:p>
    <w:p>
      <w:pPr>
        <w:pStyle w:val="Heading2"/>
        <w:keepNext/>
      </w:pPr>
      <w:r>
        <w:t>Efectos de cambios</w:t>
      </w:r>
    </w:p>
    <w:p>
      <w:pPr>
        <w:spacing w:after="80"/>
      </w:pPr>
      <w:r>
        <w:rPr>
          <w:rFonts w:ascii="Lato" w:hAnsi="Lato"/>
          <w:b w:val="0"/>
          <w:color w:val="62716E"/>
          <w:sz w:val="18"/>
        </w:rPr>
        <w:t>Explicar efectos coherentes sobre línea base, proyecto y fugas. Mostrar comparación original antes de la corregida. No elevar selectivamente solo la línea base al cambiar factor de carbono o mapa.</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2-ES"/>
                <w:tag w:val="sec_03-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4" w:name="sec_04"/>
      <w:pPr>
        <w:pStyle w:val="Heading1"/>
        <w:keepNext/>
        <w:pageBreakBefore/>
      </w:pPr>
      <w:r>
        <w:t>04  Cuenta real del proyecto y emisiones de implementación</w:t>
      </w:r>
      <w:bookmarkEnd w:id="3004"/>
    </w:p>
    <w:p>
      <w:pPr>
        <w:spacing w:after="120"/>
      </w:pPr>
      <w:r>
        <w:rPr>
          <w:rFonts w:ascii="Lato" w:hAnsi="Lato"/>
          <w:b w:val="0"/>
          <w:color w:val="62716E"/>
          <w:sz w:val="16"/>
        </w:rPr>
        <w:t>[1] Referencia: P-02; P-04; F-P02; F-C01; F-C02; T-08; S-25</w:t>
      </w:r>
    </w:p>
    <w:p>
      <w:pPr>
        <w:pStyle w:val="Heading2"/>
        <w:keepNext/>
      </w:pPr>
      <w:r>
        <w:t>Emisiones y remociones del proyecto</w:t>
      </w:r>
    </w:p>
    <w:p>
      <w:pPr>
        <w:keepNext/>
        <w:spacing w:before="40" w:after="60"/>
      </w:pPr>
      <w:r>
        <w:rPr>
          <w:rFonts w:ascii="Lato" w:hAnsi="Lato"/>
          <w:color w:val="315B50"/>
          <w:sz w:val="18"/>
        </w:rPr>
        <w:t>EXPOST-T07 / Notación del cálculo</w:t>
      </w:r>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sSub>
          <m:e>
            <m:r>
              <w:rPr>
                <w:sz w:val="18"/>
              </w:rPr>
              <m:t>E</m:t>
            </m:r>
          </m:e>
          <m:sub>
            <m:r>
              <w:rPr>
                <w:sz w:val="18"/>
              </w:rPr>
              <m:rPr>
                <m:sty m:val="p"/>
              </m:rPr>
              <m:t>C</m:t>
            </m:r>
            <m:sSub>
              <m:e>
                <m:r>
                  <w:rPr>
                    <w:sz w:val="18"/>
                  </w:rPr>
                  <m:rPr>
                    <m:sty m:val="p"/>
                  </m:rPr>
                  <m:t>O</m:t>
                </m:r>
              </m:e>
              <m:sub>
                <m:r>
                  <w:rPr>
                    <w:sz w:val="18"/>
                  </w:rPr>
                  <m:rPr>
                    <m:sty m:val="p"/>
                  </m:rPr>
                  <m:t>2</m:t>
                </m:r>
              </m:sub>
            </m:sSub>
            <m:r>
              <w:rPr>
                <w:sz w:val="18"/>
              </w:rPr>
              <m:rPr>
                <m:sty m:val="p"/>
              </m:rPr>
              <m:t>,</m:t>
            </m:r>
            <m:r>
              <w:rPr>
                <w:sz w:val="18"/>
              </w:rPr>
              <m:t>s</m:t>
            </m:r>
            <m:r>
              <w:rPr>
                <w:sz w:val="18"/>
              </w:rPr>
              <m:rPr>
                <m:sty m:val="p"/>
              </m:rPr>
              <m:t>,</m:t>
            </m:r>
            <m:r>
              <w:rPr>
                <w:sz w:val="18"/>
              </w:rPr>
              <m:t>t</m:t>
            </m:r>
          </m:sub>
        </m:sSub>
        <m:r>
          <w:rPr>
            <w:sz w:val="18"/>
          </w:rPr>
          <m:rPr>
            <m:sty m:val="p"/>
          </m:rPr>
          <m:t>−</m:t>
        </m:r>
        <m:sSub>
          <m:e>
            <m:r>
              <w:rPr>
                <w:sz w:val="18"/>
              </w:rPr>
              <m:t>R</m:t>
            </m:r>
          </m:e>
          <m:sub>
            <m:r>
              <w:rPr>
                <w:sz w:val="18"/>
              </w:rPr>
              <m:rPr>
                <m:sty m:val="p"/>
              </m:rPr>
              <m:t>C</m:t>
            </m:r>
            <m:sSub>
              <m:e>
                <m:r>
                  <w:rPr>
                    <w:sz w:val="18"/>
                  </w:rPr>
                  <m:rPr>
                    <m:sty m:val="p"/>
                  </m:rPr>
                  <m:t>O</m:t>
                </m:r>
              </m:e>
              <m:sub>
                <m:r>
                  <w:rPr>
                    <w:sz w:val="18"/>
                  </w:rPr>
                  <m:rPr>
                    <m:sty m:val="p"/>
                  </m:rPr>
                  <m:t>2</m:t>
                </m:r>
              </m:sub>
            </m:sSub>
            <m:r>
              <w:rPr>
                <w:sz w:val="18"/>
              </w:rPr>
              <m:rPr>
                <m:sty m:val="p"/>
              </m:rPr>
              <m:t>,</m:t>
            </m:r>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t>g</m:t>
            </m:r>
            <m:r>
              <w:rPr>
                <w:sz w:val="18"/>
              </w:rPr>
              <m:rPr>
                <m:sty m:val="p"/>
              </m:rPr>
              <m:t>≠</m:t>
            </m:r>
            <m:r>
              <w:rPr>
                <w:sz w:val="18"/>
              </w:rPr>
              <m:rPr>
                <m:sty m:val="p"/>
              </m:rPr>
              <m:t>C</m:t>
            </m:r>
            <m:sSub>
              <m:e>
                <m:r>
                  <w:rPr>
                    <w:sz w:val="18"/>
                  </w:rPr>
                  <m:rPr>
                    <m:sty m:val="p"/>
                  </m:rPr>
                  <m:t>O</m:t>
                </m:r>
              </m:e>
              <m:sub>
                <m:r>
                  <w:rPr>
                    <w:sz w:val="18"/>
                  </w:rPr>
                  <m:rPr>
                    <m:sty m:val="p"/>
                  </m:rPr>
                  <m:t>2</m:t>
                </m:r>
              </m:sub>
            </m:sSub>
          </m:sub>
          <m:sup>
            <m:r>
              <w:rPr>
                <w:sz w:val="18"/>
              </w:rPr>
              <m:t>​</m:t>
            </m:r>
          </m:sup>
          <m:e>
            <m:sSub>
              <m:e>
                <m:r>
                  <w:rPr>
                    <w:sz w:val="18"/>
                  </w:rPr>
                  <m:rPr>
                    <m:sty m:val="p"/>
                  </m:rPr>
                  <m:t>G</m:t>
                </m:r>
                <m:r>
                  <w:rPr>
                    <w:sz w:val="18"/>
                  </w:rPr>
                  <m:rPr>
                    <m:sty m:val="p"/>
                  </m:rPr>
                  <m:t>W</m:t>
                </m:r>
                <m:r>
                  <w:rPr>
                    <w:sz w:val="18"/>
                  </w:rPr>
                  <m:rPr>
                    <m:sty m:val="p"/>
                  </m:rPr>
                  <m:t>P</m:t>
                </m:r>
              </m:e>
              <m:sub>
                <m:r>
                  <w:rPr>
                    <w:sz w:val="18"/>
                  </w:rPr>
                  <m:t>g</m:t>
                </m:r>
              </m:sub>
            </m:sSub>
          </m:e>
        </m:nary>
        <m:sSub>
          <m:e>
            <m:r>
              <w:rPr>
                <w:sz w:val="18"/>
              </w:rPr>
              <m:t>E</m:t>
            </m:r>
          </m:e>
          <m:sub>
            <m:r>
              <w:rPr>
                <w:sz w:val="18"/>
              </w:rPr>
              <m:t>g</m:t>
            </m:r>
            <m:r>
              <w:rPr>
                <w:sz w:val="18"/>
              </w:rPr>
              <m:rPr>
                <m:sty m:val="p"/>
              </m:rPr>
              <m:t>,</m:t>
            </m:r>
            <m:r>
              <w:rPr>
                <w:sz w:val="18"/>
              </w:rPr>
              <m:t>s</m:t>
            </m:r>
            <m:r>
              <w:rPr>
                <w:sz w:val="18"/>
              </w:rPr>
              <m:rPr>
                <m:sty m:val="p"/>
              </m:rPr>
              <m:t>,</m:t>
            </m:r>
            <m:r>
              <w:rPr>
                <w:sz w:val="18"/>
              </w:rPr>
              <m:t>t</m:t>
            </m:r>
          </m:sub>
        </m:sSub>
      </m:oMath>
    </w:p>
    <w:p>
      <w:pPr>
        <w:keepNext/>
        <w:spacing w:before="40" w:after="60"/>
      </w:pPr>
      <w:r>
        <w:rPr>
          <w:rFonts w:ascii="Lato" w:hAnsi="Lato"/>
          <w:color w:val="315B50"/>
          <w:sz w:val="16"/>
        </w:rPr>
        <w:t>s es BL o PJ; E son emisiones y R remociones de CO2. Registrar masas por gas, fuente y horizonte de caracterización adoptados. No caracterizar de nuevo CO2e ya caracterizado. El libro importa estos cálculos de componentes calificados.</w:t>
      </w:r>
    </w:p>
    <w:p>
      <w:pPr>
        <w:keepNext/>
        <w:spacing w:before="40" w:after="60"/>
      </w:pPr>
      <w:r>
        <w:rPr>
          <w:rFonts w:ascii="Lato" w:hAnsi="Lato"/>
          <w:color w:val="315B50"/>
          <w:sz w:val="14"/>
        </w:rPr>
        <w:t>Base: M04.4; AP-07 | Libro: Components!F:L; Profile!B17</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Actividad / reservorio / gas</w:t>
            </w:r>
          </w:p>
          <w:p>
            <w:pPr>
              <w:spacing w:before="40" w:after="40"/>
            </w:pPr>
            <m:oMath>
              <m:r>
                <w:rPr>
                  <w:sz w:val="16"/>
                  <w:color w:val="173E34"/>
                </w:rPr>
                <m:t>s</m:t>
              </m:r>
              <m:r>
                <w:rPr>
                  <w:sz w:val="16"/>
                  <w:color w:val="173E34"/>
                </w:rPr>
                <m:rPr>
                  <m:sty m:val="p"/>
                </m:rPr>
                <m:t>,</m:t>
              </m:r>
              <m:r>
                <w:rPr>
                  <w:sz w:val="16"/>
                  <w:color w:val="173E34"/>
                </w:rPr>
                <m:t> </m:t>
              </m:r>
              <m:r>
                <w:rPr>
                  <w:sz w:val="16"/>
                  <w:color w:val="173E34"/>
                </w:rPr>
                <m:t>g</m:t>
              </m:r>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Entrada observada y conversión modelada</w:t>
            </w:r>
          </w:p>
          <w:p>
            <w:pPr>
              <w:spacing w:before="40" w:after="40"/>
            </w:pPr>
            <m:oMath>
              <m:sSub>
                <m:e>
                  <m:r>
                    <w:rPr>
                      <w:sz w:val="16"/>
                      <w:color w:val="173E34"/>
                    </w:rPr>
                    <m:t>E</m:t>
                  </m:r>
                </m:e>
                <m:sub>
                  <m:r>
                    <w:rPr>
                      <w:sz w:val="16"/>
                      <w:color w:val="173E34"/>
                    </w:rPr>
                    <m:t>g</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R</m:t>
                  </m:r>
                </m:e>
                <m:sub>
                  <m:r>
                    <w:rPr>
                      <w:sz w:val="16"/>
                      <w:color w:val="173E34"/>
                    </w:rPr>
                    <m:rPr>
                      <m:sty m:val="p"/>
                    </m:rPr>
                    <m:t>C</m:t>
                  </m:r>
                  <m:sSub>
                    <m:e>
                      <m:r>
                        <w:rPr>
                          <w:sz w:val="16"/>
                          <w:color w:val="173E34"/>
                        </w:rPr>
                        <m:rPr>
                          <m:sty m:val="p"/>
                        </m:rPr>
                        <m:t>O</m:t>
                      </m:r>
                    </m:e>
                    <m:sub>
                      <m:r>
                        <w:rPr>
                          <w:sz w:val="16"/>
                          <w:color w:val="173E34"/>
                        </w:rPr>
                        <m:rPr>
                          <m:sty m:val="p"/>
                        </m:rPr>
                        <m:t>2</m:t>
                      </m:r>
                    </m:sub>
                  </m:sSub>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Cantidad con signo / evidencia</w:t>
            </w:r>
          </w:p>
          <w:p>
            <w:pPr>
              <w:spacing w:before="40" w:after="40"/>
            </w:pPr>
            <m:oMath>
              <m:sSub>
                <m:e>
                  <m:r>
                    <w:rPr>
                      <w:sz w:val="16"/>
                      <w:color w:val="173E34"/>
                    </w:rPr>
                    <m:t>N</m:t>
                  </m:r>
                </m:e>
                <m:sub>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rPr>
                      <m:sty m:val="p"/>
                    </m:rPr>
                    <m:t>G</m:t>
                  </m:r>
                  <m:r>
                    <w:rPr>
                      <w:sz w:val="16"/>
                      <w:color w:val="173E34"/>
                    </w:rPr>
                    <m:rPr>
                      <m:sty m:val="p"/>
                    </m:rPr>
                    <m:t>W</m:t>
                  </m:r>
                  <m:r>
                    <w:rPr>
                      <w:sz w:val="16"/>
                      <w:color w:val="173E34"/>
                    </w:rPr>
                    <m:rPr>
                      <m:sty m:val="p"/>
                    </m:rPr>
                    <m:t>P</m:t>
                  </m:r>
                </m:e>
                <m:sub>
                  <m:r>
                    <w:rPr>
                      <w:sz w:val="16"/>
                      <w:color w:val="173E34"/>
                    </w:rPr>
                    <m:t>g</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4-0-ES-1-1"/>
                <w:tag w:val="sec_04-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1-2"/>
                <w:tag w:val="sec_04-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1-3"/>
                <w:tag w:val="sec_04-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0-ES-2-1"/>
                <w:tag w:val="sec_04-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0-ES-2-2"/>
                <w:tag w:val="sec_04-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0-ES-2-3"/>
                <w:tag w:val="sec_04-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0-ES-3-1"/>
                <w:tag w:val="sec_04-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3-2"/>
                <w:tag w:val="sec_04-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3-3"/>
                <w:tag w:val="sec_04-0-ES-3-3"/>
                <w:text/>
              </w:sdtPr>
              <w:sdtContent>
                <w:r>
                  <w:rPr>
                    <w:rFonts w:ascii="Lato" w:hAnsi="Lato"/>
                    <w:sz w:val="18"/>
                    <w:color w:val="62716E"/>
                  </w:rPr>
                  <w:t>[Completar]</w:t>
                </w:r>
              </w:sdtContent>
            </w:sdt>
          </w:p>
        </w:tc>
      </w:tr>
    </w:tbl>
    <w:p>
      <w:pPr>
        <w:spacing w:after="0"/>
      </w:pPr>
    </w:p>
    <w:p>
      <w:pPr>
        <w:pStyle w:val="Heading2"/>
        <w:keepNext/>
      </w:pPr>
      <w:r>
        <w:t>Ceros sustentados y exclusiones</w:t>
      </w:r>
    </w:p>
    <w:p>
      <w:pPr>
        <w:spacing w:after="80"/>
      </w:pPr>
      <w:r>
        <w:rPr>
          <w:rFonts w:ascii="Lato" w:hAnsi="Lato"/>
          <w:b w:val="0"/>
          <w:color w:val="62716E"/>
          <w:sz w:val="18"/>
        </w:rPr>
        <w:t>Para cada fuente nula o excluida, presentar cobertura, capacidad de detección, observaciones y exclusión aplicable o tratamiento conservador. Una fuente vacía, un factor multiplicado por cero o la falta de resultado de modelo no demuestran por sí solos emisiones nulas.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4-1-ES"/>
                <w:tag w:val="sec_04-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Evidencia de ejecución</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Intervención / ejecutor</w:t>
            </w:r>
          </w:p>
        </w:tc>
        <w:tc>
          <w:tcPr>
            <w:tcW w:type="dxa" w:w="3250"/>
            <w:shd w:fill="215F52"/>
            <w:tcMar>
              <w:top w:w="90" w:type="dxa"/>
              <w:bottom w:w="90" w:type="dxa"/>
              <w:left w:w="100" w:type="dxa"/>
              <w:right w:w="100" w:type="dxa"/>
            </w:tcMar>
            <w:vAlign w:val="center"/>
          </w:tcPr>
          <w:p>
            <w:r>
              <w:rPr>
                <w:rFonts w:ascii="Lato" w:hAnsi="Lato"/>
                <w:b/>
                <w:color w:val="FFFFFF"/>
                <w:sz w:val="17"/>
              </w:rPr>
              <w:t>Fecha, lugar y evidencia</w:t>
            </w:r>
          </w:p>
        </w:tc>
        <w:tc>
          <w:tcPr>
            <w:tcW w:type="dxa" w:w="3250"/>
            <w:shd w:fill="215F52"/>
            <w:tcMar>
              <w:top w:w="90" w:type="dxa"/>
              <w:bottom w:w="90" w:type="dxa"/>
              <w:left w:w="100" w:type="dxa"/>
              <w:right w:w="100" w:type="dxa"/>
            </w:tcMar>
            <w:vAlign w:val="center"/>
          </w:tcPr>
          <w:p>
            <w:r>
              <w:rPr>
                <w:rFonts w:ascii="Lato" w:hAnsi="Lato"/>
                <w:b/>
                <w:color w:val="FFFFFF"/>
                <w:sz w:val="17"/>
              </w:rPr>
              <w:t>Respuesta prevista / observada</w:t>
            </w:r>
          </w:p>
        </w:tc>
      </w:tr>
      <w:tr>
        <w:trPr>
          <w:trHeight w:val="510"/>
        </w:trPr>
        <w:tc>
          <w:tcPr>
            <w:tcW w:type="dxa" w:w="3250"/>
            <w:tcMar>
              <w:top w:w="90" w:type="dxa"/>
              <w:bottom w:w="90" w:type="dxa"/>
              <w:left w:w="100" w:type="dxa"/>
              <w:right w:w="100" w:type="dxa"/>
            </w:tcMar>
            <w:shd w:fill="F1F5F2"/>
          </w:tcPr>
          <w:p>
            <w:pPr>
              <w:spacing w:after="20"/>
            </w:pPr>
            <w:sdt>
              <w:sdtPr>
                <w:alias w:val="sec_04-2-ES-1-1"/>
                <w:tag w:val="sec_04-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2-ES-1-2"/>
                <w:tag w:val="sec_04-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2-ES-1-3"/>
                <w:tag w:val="sec_04-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2-ES-2-1"/>
                <w:tag w:val="sec_04-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2-ES-2-2"/>
                <w:tag w:val="sec_04-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2-ES-2-3"/>
                <w:tag w:val="sec_04-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2-ES-3-1"/>
                <w:tag w:val="sec_04-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2-ES-3-2"/>
                <w:tag w:val="sec_04-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2-ES-3-3"/>
                <w:tag w:val="sec_04-2-ES-3-3"/>
                <w:text/>
              </w:sdtPr>
              <w:sdtContent>
                <w:r>
                  <w:rPr>
                    <w:rFonts w:ascii="Lato" w:hAnsi="Lato"/>
                    <w:sz w:val="18"/>
                    <w:color w:val="62716E"/>
                  </w:rPr>
                  <w:t>[Completar]</w:t>
                </w:r>
              </w:sdtContent>
            </w:sdt>
          </w:p>
        </w:tc>
      </w:tr>
    </w:tbl>
    <w:p>
      <w:pPr>
        <w:spacing w:after="0"/>
      </w:pPr>
    </w:p>
    <w:p>
      <w:bookmarkStart w:id="3005" w:name="sec_05"/>
      <w:pPr>
        <w:pStyle w:val="Heading1"/>
        <w:keepNext/>
        <w:pageBreakBefore/>
      </w:pPr>
      <w:r>
        <w:t>05  Actividad externa observada y fugas atribuibles</w:t>
      </w:r>
      <w:bookmarkEnd w:id="3005"/>
    </w:p>
    <w:p>
      <w:pPr>
        <w:spacing w:after="120"/>
      </w:pPr>
      <w:r>
        <w:rPr>
          <w:rFonts w:ascii="Lato" w:hAnsi="Lato"/>
          <w:b w:val="0"/>
          <w:color w:val="62716E"/>
          <w:sz w:val="16"/>
        </w:rPr>
        <w:t>[1] Referencia: S-09; F-L01; P-04; T-08; T-16</w:t>
      </w:r>
    </w:p>
    <w:p>
      <w:pPr>
        <w:pStyle w:val="Heading2"/>
        <w:keepNext/>
      </w:pPr>
      <w:r>
        <w:t>Conciliación de fugas</w:t>
      </w:r>
    </w:p>
    <w:p>
      <w:pPr>
        <w:keepNext/>
        <w:spacing w:before="40" w:after="60"/>
      </w:pPr>
      <w:r>
        <w:rPr>
          <w:rFonts w:ascii="Lato" w:hAnsi="Lato"/>
          <w:color w:val="315B50"/>
          <w:sz w:val="18"/>
        </w:rPr>
        <w:t>EXPOST-T09 / Notación del cálculo</w:t>
      </w:r>
    </w:p>
    <w:p>
      <w:pPr>
        <w:keepNext/>
        <w:spacing w:before="40" w:after="60"/>
      </w:pPr>
      <m:oMath>
        <m:sSub>
          <m:e>
            <m:acc>
              <m:accPr>
                <m:chr m:val="̂"/>
              </m:accPr>
              <m:e>
                <m:r>
                  <w:rPr>
                    <w:sz w:val="18"/>
                  </w:rPr>
                  <m:t>L</m:t>
                </m:r>
              </m:e>
            </m:acc>
          </m:e>
          <m:sub>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m:t>
            </m:r>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o</m:t>
            </m:r>
            <m:r>
              <w:rPr>
                <w:sz w:val="18"/>
              </w:rPr>
              <m:rPr>
                <m:sty m:val="p"/>
              </m:rPr>
              <m:t>u</m:t>
            </m:r>
            <m:r>
              <w:rPr>
                <w:sz w:val="18"/>
              </w:rPr>
              <m:rPr>
                <m:sty m:val="p"/>
              </m:rPr>
              <m:t>t</m:t>
            </m:r>
            <m:r>
              <w:rPr>
                <w:sz w:val="18"/>
              </w:rPr>
              <m:rPr>
                <m:sty m:val="p"/>
              </m:rPr>
              <m:t>,</m:t>
            </m:r>
            <m:r>
              <w:rPr>
                <w:sz w:val="18"/>
              </w:rPr>
              <m:t>t</m:t>
            </m:r>
          </m:sub>
        </m:sSub>
      </m:oMath>
    </w:p>
    <w:p>
      <w:pPr>
        <w:keepNext/>
        <w:spacing w:before="40" w:after="60"/>
      </w:pPr>
      <w:r>
        <w:rPr>
          <w:rFonts w:ascii="Lato" w:hAnsi="Lato"/>
          <w:color w:val="315B50"/>
          <w:sz w:val="16"/>
        </w:rPr>
        <w:t>Las cuentas comparten geografía, actividades, gases e intervalos. Toda razón fuente conserva numerador/denominador explícitos, no porcentaje supuesto. Un diagnóstico con signo no autoriza automáticamente beneficio extra; rige el perfil de atribución aplicable.</w:t>
      </w:r>
    </w:p>
    <w:p>
      <w:pPr>
        <w:keepNext/>
        <w:spacing w:before="40" w:after="60"/>
      </w:pPr>
      <w:r>
        <w:rPr>
          <w:rFonts w:ascii="Lato" w:hAnsi="Lato"/>
          <w:color w:val="315B50"/>
          <w:sz w:val="14"/>
        </w:rPr>
        <w:t>Base: F-L01; T-08 | Libro: Components!D=LK; ExAnte!H; ExPost!H</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Área receptora / mecanismo</w:t>
            </w:r>
          </w:p>
          <w:p>
            <w:pPr>
              <w:spacing w:before="40" w:after="40"/>
            </w:pPr>
            <m:oMath>
              <m:r>
                <w:rPr>
                  <w:sz w:val="16"/>
                  <w:color w:val="173E34"/>
                </w:rPr>
                <m:t>t</m:t>
              </m:r>
              <m:r>
                <w:rPr>
                  <w:sz w:val="16"/>
                  <w:color w:val="173E34"/>
                </w:rPr>
                <m:rPr>
                  <m:sty m:val="p"/>
                </m:rPr>
                <m:t>,</m:t>
              </m:r>
              <m:r>
                <w:rPr>
                  <w:sz w:val="16"/>
                  <w:color w:val="173E34"/>
                </w:rPr>
                <m:t> </m:t>
              </m:r>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oMath>
          </w:p>
        </w:tc>
        <w:tc>
          <w:tcPr>
            <w:tcW w:type="dxa" w:w="3250"/>
            <w:tcMar>
              <w:top w:w="90" w:type="dxa"/>
              <w:bottom w:w="90" w:type="dxa"/>
              <w:left w:w="100" w:type="dxa"/>
              <w:right w:w="100" w:type="dxa"/>
            </w:tcMar>
            <w:vAlign w:val="center"/>
            <w:shd w:fill="E6F0EB"/>
          </w:tcPr>
          <w:p>
            <w:r>
              <w:rPr>
                <w:rFonts w:ascii="Lato" w:hAnsi="Lato"/>
                <w:b/>
                <w:color w:val="173E34"/>
                <w:sz w:val="17"/>
              </w:rPr>
              <w:t>Actividad observada y sin proyecto</w:t>
            </w:r>
          </w:p>
          <w:p>
            <w:pPr>
              <w:spacing w:before="40" w:after="40"/>
            </w:pPr>
            <m:oMath>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u</m:t>
                  </m:r>
                  <m:r>
                    <w:rPr>
                      <w:sz w:val="16"/>
                      <w:color w:val="173E34"/>
                    </w:rPr>
                    <m:rPr>
                      <m:sty m:val="p"/>
                    </m:rPr>
                    <m:t>t</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Diferencia atribuible / modelo / evidencia</w:t>
            </w:r>
          </w:p>
          <w:p>
            <w:pPr>
              <w:spacing w:before="40" w:after="40"/>
            </w:pPr>
            <m:oMath>
              <m:sSub>
                <m:e>
                  <m:acc>
                    <m:accPr>
                      <m:chr m:val="̂"/>
                    </m:accPr>
                    <m:e>
                      <m:r>
                        <w:rPr>
                          <w:sz w:val="16"/>
                          <w:color w:val="173E34"/>
                        </w:rPr>
                        <m:t>L</m:t>
                      </m:r>
                    </m:e>
                  </m:acc>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0-ES-1-1"/>
                <w:tag w:val="sec_05-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1-2"/>
                <w:tag w:val="sec_05-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1-3"/>
                <w:tag w:val="sec_05-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0-ES-2-1"/>
                <w:tag w:val="sec_05-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0-ES-2-2"/>
                <w:tag w:val="sec_05-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0-ES-2-3"/>
                <w:tag w:val="sec_05-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0-ES-3-1"/>
                <w:tag w:val="sec_05-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3-2"/>
                <w:tag w:val="sec_05-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3-3"/>
                <w:tag w:val="sec_05-0-ES-3-3"/>
                <w:text/>
              </w:sdtPr>
              <w:sdtContent>
                <w:r>
                  <w:rPr>
                    <w:rFonts w:ascii="Lato" w:hAnsi="Lato"/>
                    <w:sz w:val="18"/>
                    <w:color w:val="62716E"/>
                  </w:rPr>
                  <w:t>[Completar]</w:t>
                </w:r>
              </w:sdtContent>
            </w:sdt>
          </w:p>
        </w:tc>
      </w:tr>
    </w:tbl>
    <w:p>
      <w:pPr>
        <w:spacing w:after="0"/>
      </w:pPr>
    </w:p>
    <w:p>
      <w:pPr>
        <w:pStyle w:val="Heading2"/>
        <w:keepNext/>
      </w:pPr>
      <w:r>
        <w:t>Exclusiones y ajustes coherentes</w:t>
      </w:r>
    </w:p>
    <w:p>
      <w:pPr>
        <w:spacing w:after="80"/>
      </w:pPr>
      <w:r>
        <w:rPr>
          <w:rFonts w:ascii="Lato" w:hAnsi="Lato"/>
          <w:b w:val="0"/>
          <w:color w:val="62716E"/>
          <w:sz w:val="18"/>
        </w:rPr>
        <w:t>Distinguir pérdidas externas generales del desplazamiento inducido por el proyecto. Conciliar ajustes de encuestas o modelos y componentes previamente contados. Explicar cambios frente a la proyección y toda anulación de un componente antes positivo.</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5-1-ES"/>
                <w:tag w:val="sec_05-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Incertidumbre remanente</w:t>
      </w:r>
    </w:p>
    <w:p>
      <w:pPr>
        <w:keepNext/>
        <w:spacing w:before="40" w:after="60"/>
      </w:pPr>
      <w:r>
        <w:rPr>
          <w:rFonts w:ascii="Lato" w:hAnsi="Lato"/>
          <w:color w:val="315B50"/>
          <w:sz w:val="18"/>
        </w:rPr>
        <w:t>EXPOST-T10 / Notación del cálculo</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y L en esta identidad de varianza denotan estimadores de línea base, proyecto y fugas, no reserva B_t. Incertidumbres estándar en t CO2e; varianzas y covarianzas en unidades al cuadrado. Conservar dependencia compartida y matriz válida.</w:t>
      </w:r>
    </w:p>
    <w:p>
      <w:pPr>
        <w:keepNext/>
        <w:spacing w:before="40" w:after="60"/>
      </w:pPr>
      <w:r>
        <w:rPr>
          <w:rFonts w:ascii="Lato" w:hAnsi="Lato"/>
          <w:color w:val="315B50"/>
          <w:sz w:val="14"/>
        </w:rPr>
        <w:t>Base: F-U01; M05.1; M05.2 | Libro: Cálculo calificado de incertidumbre; ExAnte!J:L; ExPost!J:L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Fuente / limitación</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250"/>
            <w:tcMar>
              <w:top w:w="90" w:type="dxa"/>
              <w:bottom w:w="90" w:type="dxa"/>
              <w:left w:w="100" w:type="dxa"/>
              <w:right w:w="100" w:type="dxa"/>
            </w:tcMar>
            <w:vAlign w:val="center"/>
            <w:shd w:fill="E6F0EB"/>
          </w:tcPr>
          <w:p>
            <w:r>
              <w:rPr>
                <w:rFonts w:ascii="Lato" w:hAnsi="Lato"/>
                <w:b/>
                <w:color w:val="173E34"/>
                <w:sz w:val="17"/>
              </w:rPr>
              <w:t>Límite o incertidumbre cuantificada</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250"/>
            <w:tcMar>
              <w:top w:w="90" w:type="dxa"/>
              <w:bottom w:w="90" w:type="dxa"/>
              <w:left w:w="100" w:type="dxa"/>
              <w:right w:w="100" w:type="dxa"/>
            </w:tcMar>
            <w:vAlign w:val="center"/>
            <w:shd w:fill="E6F0EB"/>
          </w:tcPr>
          <w:p>
            <w:r>
              <w:rPr>
                <w:rFonts w:ascii="Lato" w:hAnsi="Lato"/>
                <w:b/>
                <w:color w:val="173E34"/>
                <w:sz w:val="17"/>
              </w:rPr>
              <w:t>Efecto neto / seguimiento</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5-2-ES-1-1"/>
                <w:tag w:val="sec_05-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2-ES-1-2"/>
                <w:tag w:val="sec_05-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2-ES-1-3"/>
                <w:tag w:val="sec_05-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2-ES-2-1"/>
                <w:tag w:val="sec_05-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2-ES-2-2"/>
                <w:tag w:val="sec_05-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2-ES-2-3"/>
                <w:tag w:val="sec_05-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2-ES-3-1"/>
                <w:tag w:val="sec_05-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2-ES-3-2"/>
                <w:tag w:val="sec_05-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2-ES-3-3"/>
                <w:tag w:val="sec_05-2-ES-3-3"/>
                <w:text/>
              </w:sdtPr>
              <w:sdtContent>
                <w:r>
                  <w:rPr>
                    <w:rFonts w:ascii="Lato" w:hAnsi="Lato"/>
                    <w:sz w:val="18"/>
                    <w:color w:val="62716E"/>
                  </w:rPr>
                  <w:t>[Completar]</w:t>
                </w:r>
              </w:sdtContent>
            </w:sdt>
          </w:p>
        </w:tc>
      </w:tr>
    </w:tbl>
    <w:p>
      <w:pPr>
        <w:spacing w:after="0"/>
      </w:pPr>
    </w:p>
    <w:p>
      <w:bookmarkStart w:id="3006" w:name="sec_06"/>
      <w:pPr>
        <w:pStyle w:val="Heading1"/>
        <w:keepNext/>
        <w:pageBreakBefore/>
      </w:pPr>
      <w:r>
        <w:t>06  Transferencias, liberación diferida y unidades físicas</w:t>
      </w:r>
      <w:bookmarkEnd w:id="3006"/>
    </w:p>
    <w:p>
      <w:pPr>
        <w:spacing w:after="120"/>
      </w:pPr>
      <w:r>
        <w:rPr>
          <w:rFonts w:ascii="Lato" w:hAnsi="Lato"/>
          <w:b w:val="0"/>
          <w:color w:val="62716E"/>
          <w:sz w:val="16"/>
        </w:rPr>
        <w:t>[1] Referencia: M04.1; M04.2; M04.4; F-C03a; F-C03b; F-C05a; F-C05b; F-C05c</w:t>
      </w:r>
    </w:p>
    <w:p>
      <w:pPr>
        <w:pStyle w:val="Heading2"/>
        <w:keepNext/>
      </w:pPr>
      <w:r>
        <w:t>Continuidad de cohortes y reservorios</w:t>
      </w:r>
    </w:p>
    <w:p>
      <w:pPr>
        <w:keepNext/>
        <w:spacing w:before="40" w:after="60"/>
      </w:pPr>
      <w:r>
        <w:rPr>
          <w:rFonts w:ascii="Lato" w:hAnsi="Lato"/>
          <w:color w:val="315B50"/>
          <w:sz w:val="18"/>
        </w:rPr>
        <w:t>EXPOST-T11 / Notación del cálculo</w:t>
      </w:r>
    </w:p>
    <w:p>
      <w:pPr>
        <w:keepNext/>
        <w:spacing w:before="40" w:after="60"/>
      </w:pPr>
      <m:oMath>
        <m:sSubSup>
          <m:e>
            <m:r>
              <w:rPr>
                <w:sz w:val="18"/>
              </w:rPr>
              <m:t>E</m:t>
            </m:r>
          </m:e>
          <m:sub>
            <m:r>
              <w:rPr>
                <w:sz w:val="18"/>
              </w:rPr>
              <m:t>i</m:t>
            </m:r>
            <m:r>
              <w:rPr>
                <w:sz w:val="18"/>
              </w:rPr>
              <m:rPr>
                <m:sty m:val="p"/>
              </m:rPr>
              <m:t>,</m:t>
            </m:r>
            <m:r>
              <w:rPr>
                <w:sz w:val="18"/>
              </w:rPr>
              <m:t>t</m:t>
            </m:r>
          </m:sub>
          <m:sup>
            <m:r>
              <w:rPr>
                <w:sz w:val="18"/>
              </w:rPr>
              <m:rPr>
                <m:sty m:val="p"/>
              </m:rPr>
              <m:t>C</m:t>
            </m:r>
            <m:sSub>
              <m:e>
                <m:r>
                  <w:rPr>
                    <w:sz w:val="18"/>
                  </w:rPr>
                  <m:rPr>
                    <m:sty m:val="p"/>
                  </m:rPr>
                  <m:t>O</m:t>
                </m:r>
              </m:e>
              <m:sub>
                <m:r>
                  <w:rPr>
                    <w:sz w:val="18"/>
                  </w:rPr>
                  <m:rPr>
                    <m:sty m:val="p"/>
                  </m:rPr>
                  <m:t>2</m:t>
                </m:r>
              </m:sub>
            </m:sSub>
          </m:sup>
        </m:sSubSup>
        <m:r>
          <w:rPr>
            <w:sz w:val="18"/>
          </w:rPr>
          <m:rPr>
            <m:sty m:val="p"/>
          </m:rPr>
          <m:t>=</m:t>
        </m:r>
        <m:f>
          <m:fPr>
            <m:type m:val="bar"/>
          </m:fPr>
          <m:num>
            <m:r>
              <w:rPr>
                <w:sz w:val="18"/>
              </w:rPr>
              <m:t>44</m:t>
            </m:r>
          </m:num>
          <m:den>
            <m:r>
              <w:rPr>
                <w:sz w:val="18"/>
              </w:rPr>
              <m:t>12</m:t>
            </m:r>
          </m:den>
        </m:f>
        <m:nary>
          <m:naryPr>
            <m:chr m:val="∑"/>
            <m:limLoc m:val="undOvr"/>
            <m:subHide m:val="off"/>
            <m:supHide m:val="on"/>
          </m:naryPr>
          <m:sub>
            <m:r>
              <w:rPr>
                <w:sz w:val="18"/>
              </w:rPr>
              <m:t>τ</m:t>
            </m:r>
            <m:r>
              <w:rPr>
                <w:sz w:val="18"/>
              </w:rPr>
              <m:rPr>
                <m:sty m:val="p"/>
              </m:rPr>
              <m:t>≤</m:t>
            </m:r>
            <m:r>
              <w:rPr>
                <w:sz w:val="18"/>
              </w:rPr>
              <m:t>t</m:t>
            </m:r>
          </m:sub>
          <m:sup>
            <m:r>
              <w:rPr>
                <w:sz w:val="18"/>
              </w:rPr>
              <m:t>​</m:t>
            </m:r>
          </m:sup>
          <m:e>
            <m:nary>
              <m:naryPr>
                <m:chr m:val="∑"/>
                <m:limLoc m:val="undOvr"/>
                <m:subHide m:val="off"/>
                <m:supHide m:val="on"/>
              </m:naryPr>
              <m:sub>
                <m:r>
                  <w:rPr>
                    <w:sz w:val="18"/>
                  </w:rPr>
                  <m:t>o</m:t>
                </m:r>
              </m:sub>
              <m:sup>
                <m:r>
                  <w:rPr>
                    <w:sz w:val="18"/>
                  </w:rPr>
                  <m:t>​</m:t>
                </m:r>
              </m:sup>
              <m:e>
                <m:sSub>
                  <m:e>
                    <m:r>
                      <w:rPr>
                        <w:sz w:val="18"/>
                      </w:rPr>
                      <m:t>A</m:t>
                    </m:r>
                  </m:e>
                  <m:sub>
                    <m:r>
                      <w:rPr>
                        <w:sz w:val="18"/>
                      </w:rPr>
                      <m:t>i</m:t>
                    </m:r>
                    <m:r>
                      <w:rPr>
                        <w:sz w:val="18"/>
                      </w:rPr>
                      <m:rPr>
                        <m:sty m:val="p"/>
                      </m:rPr>
                      <m:t>,</m:t>
                    </m:r>
                    <m:r>
                      <w:rPr>
                        <w:sz w:val="18"/>
                      </w:rPr>
                      <m:t>τ</m:t>
                    </m:r>
                  </m:sub>
                </m:sSub>
              </m:e>
            </m:nary>
          </m:e>
        </m:nary>
        <m:sSub>
          <m:e>
            <m:r>
              <w:rPr>
                <w:sz w:val="18"/>
              </w:rPr>
              <m:rPr>
                <m:sty m:val="p"/>
              </m:rPr>
              <m:t>ℓ</m:t>
            </m:r>
          </m:e>
          <m:sub>
            <m:r>
              <w:rPr>
                <w:sz w:val="18"/>
              </w:rPr>
              <m:t>i</m:t>
            </m:r>
            <m:r>
              <w:rPr>
                <w:sz w:val="18"/>
              </w:rPr>
              <m:t>o</m:t>
            </m:r>
            <m:r>
              <w:rPr>
                <w:sz w:val="18"/>
              </w:rPr>
              <m:rPr>
                <m:sty m:val="p"/>
              </m:rPr>
              <m:t>,</m:t>
            </m:r>
            <m:r>
              <w:rPr>
                <w:sz w:val="18"/>
              </w:rPr>
              <m:t>τ</m:t>
            </m:r>
          </m:sub>
        </m:sSub>
        <m:sSub>
          <m:e>
            <m:r>
              <w:rPr>
                <w:sz w:val="18"/>
              </w:rPr>
              <m:t>k</m:t>
            </m:r>
          </m:e>
          <m:sub>
            <m:r>
              <w:rPr>
                <w:sz w:val="18"/>
              </w:rPr>
              <m:t>i</m:t>
            </m:r>
            <m:r>
              <w:rPr>
                <w:sz w:val="18"/>
              </w:rPr>
              <m:t>o</m:t>
            </m:r>
            <m:r>
              <w:rPr>
                <w:sz w:val="18"/>
              </w:rPr>
              <m:rPr>
                <m:sty m:val="p"/>
              </m:rPr>
              <m:t>,</m:t>
            </m:r>
            <m:r>
              <w:rPr>
                <w:sz w:val="18"/>
              </w:rPr>
              <m:t>τ</m:t>
            </m:r>
          </m:sub>
        </m:sSub>
        <m:d>
          <m:dPr>
            <m:begChr m:val="("/>
            <m:endChr m:val=")"/>
            <m:sepChr m:val=""/>
            <m:grow/>
          </m:dPr>
          <m:e>
            <m:r>
              <w:rPr>
                <w:sz w:val="18"/>
              </w:rPr>
              <m:t>t</m:t>
            </m:r>
          </m:e>
        </m:d>
      </m:oMath>
    </w:p>
    <w:p>
      <w:pPr>
        <w:keepNext/>
        <w:spacing w:before="40" w:after="60"/>
      </w:pPr>
      <w:r>
        <w:rPr>
          <w:rFonts w:ascii="Lato" w:hAnsi="Lato"/>
          <w:color w:val="315B50"/>
          <w:sz w:val="16"/>
        </w:rPr>
        <w:t>A es ha recién afectadas, ell es Mg C/ha asignados y k es fracción liberada como CO2 durante t. La suma de fracciones no excede su asignación definida. Cohortes y reservorios son disjuntos; conservar material remanente y cohortes anteriores. Usar intervalos exactos.</w:t>
      </w:r>
    </w:p>
    <w:p>
      <w:pPr>
        <w:keepNext/>
        <w:spacing w:before="40" w:after="60"/>
      </w:pPr>
      <w:r>
        <w:rPr>
          <w:rFonts w:ascii="Lato" w:hAnsi="Lato"/>
          <w:color w:val="315B50"/>
          <w:sz w:val="14"/>
        </w:rPr>
        <w:t>Base: M04.2; F-C03a; F-C03b; F-C04 | Libro: Cronograma previo de cohortes;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Reservorio / evento / intervalo original</w:t>
            </w:r>
          </w:p>
          <w:p>
            <w:pPr>
              <w:spacing w:before="40" w:after="40"/>
            </w:pPr>
            <m:oMath>
              <m:r>
                <w:rPr>
                  <w:sz w:val="16"/>
                  <w:color w:val="173E34"/>
                </w:rPr>
                <m:t>i</m:t>
              </m:r>
              <m:r>
                <w:rPr>
                  <w:sz w:val="16"/>
                  <w:color w:val="173E34"/>
                </w:rPr>
                <m:rPr>
                  <m:sty m:val="p"/>
                </m:rPr>
                <m:t>,</m:t>
              </m:r>
              <m:r>
                <w:rPr>
                  <w:sz w:val="16"/>
                  <w:color w:val="173E34"/>
                </w:rPr>
                <m:t> </m:t>
              </m:r>
              <m:r>
                <w:rPr>
                  <w:sz w:val="16"/>
                  <w:color w:val="173E34"/>
                </w:rPr>
                <m:t>o</m:t>
              </m:r>
              <m:r>
                <w:rPr>
                  <w:sz w:val="16"/>
                  <w:color w:val="173E34"/>
                </w:rPr>
                <m:rPr>
                  <m:sty m:val="p"/>
                </m:rPr>
                <m:t>,</m:t>
              </m:r>
              <m:r>
                <w:rPr>
                  <w:sz w:val="16"/>
                  <w:color w:val="173E34"/>
                </w:rPr>
                <m:t> </m:t>
              </m:r>
              <m:r>
                <w:rPr>
                  <w:sz w:val="16"/>
                  <w:color w:val="173E34"/>
                </w:rPr>
                <m:t>τ</m:t>
              </m:r>
            </m:oMath>
          </w:p>
        </w:tc>
        <w:tc>
          <w:tcPr>
            <w:tcW w:type="dxa" w:w="3250"/>
            <w:tcMar>
              <w:top w:w="90" w:type="dxa"/>
              <w:bottom w:w="90" w:type="dxa"/>
              <w:left w:w="100" w:type="dxa"/>
              <w:right w:w="100" w:type="dxa"/>
            </w:tcMar>
            <w:vAlign w:val="center"/>
            <w:shd w:fill="E6F0EB"/>
          </w:tcPr>
          <w:p>
            <w:r>
              <w:rPr>
                <w:rFonts w:ascii="Lato" w:hAnsi="Lato"/>
                <w:b/>
                <w:color w:val="173E34"/>
                <w:sz w:val="17"/>
              </w:rPr>
              <w:t>Existencia inicial, liberación y saldo retenido</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τ</m:t>
                  </m:r>
                </m:sub>
              </m:sSub>
              <m:r>
                <w:rPr>
                  <w:sz w:val="16"/>
                  <w:color w:val="173E34"/>
                </w:rPr>
                <m:rPr>
                  <m:sty m:val="p"/>
                </m:rPr>
                <m:t>,</m:t>
              </m:r>
              <m:r>
                <w:rPr>
                  <w:sz w:val="16"/>
                  <w:color w:val="173E34"/>
                </w:rPr>
                <m:t> </m:t>
              </m:r>
              <m:sSub>
                <m:e>
                  <m:r>
                    <w:rPr>
                      <w:sz w:val="16"/>
                      <w:color w:val="173E34"/>
                    </w:rPr>
                    <m:rPr>
                      <m:sty m:val="p"/>
                    </m:rPr>
                    <m:t>ℓ</m:t>
                  </m:r>
                </m:e>
                <m:sub>
                  <m:r>
                    <w:rPr>
                      <w:sz w:val="16"/>
                      <w:color w:val="173E34"/>
                    </w:rPr>
                    <m:t>i</m:t>
                  </m:r>
                  <m:r>
                    <w:rPr>
                      <w:sz w:val="16"/>
                      <w:color w:val="173E34"/>
                    </w:rPr>
                    <m:t>o</m:t>
                  </m:r>
                  <m:r>
                    <w:rPr>
                      <w:sz w:val="16"/>
                      <w:color w:val="173E34"/>
                    </w:rPr>
                    <m:rPr>
                      <m:sty m:val="p"/>
                    </m:rPr>
                    <m:t>,</m:t>
                  </m:r>
                  <m:r>
                    <w:rPr>
                      <w:sz w:val="16"/>
                      <w:color w:val="173E34"/>
                    </w:rPr>
                    <m:t>τ</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Control de duplicación / evidencia</w:t>
            </w:r>
          </w:p>
          <w:p>
            <w:pPr>
              <w:spacing w:before="40" w:after="40"/>
            </w:pPr>
            <m:oMath>
              <m:sSub>
                <m:e>
                  <m:r>
                    <w:rPr>
                      <w:sz w:val="16"/>
                      <w:color w:val="173E34"/>
                    </w:rPr>
                    <m:t>k</m:t>
                  </m:r>
                </m:e>
                <m:sub>
                  <m:r>
                    <w:rPr>
                      <w:sz w:val="16"/>
                      <w:color w:val="173E34"/>
                    </w:rPr>
                    <m:t>i</m:t>
                  </m:r>
                  <m:r>
                    <w:rPr>
                      <w:sz w:val="16"/>
                      <w:color w:val="173E34"/>
                    </w:rPr>
                    <m:t>o</m:t>
                  </m:r>
                  <m:r>
                    <w:rPr>
                      <w:sz w:val="16"/>
                      <w:color w:val="173E34"/>
                    </w:rPr>
                    <m:rPr>
                      <m:sty m:val="p"/>
                    </m:rPr>
                    <m:t>,</m:t>
                  </m:r>
                  <m:r>
                    <w:rPr>
                      <w:sz w:val="16"/>
                      <w:color w:val="173E34"/>
                    </w:rPr>
                    <m:t>τ</m:t>
                  </m:r>
                </m:sub>
              </m:sSub>
              <m:d>
                <m:dPr>
                  <m:begChr m:val="("/>
                  <m:endChr m:val=")"/>
                  <m:sepChr m:val=""/>
                  <m:grow/>
                </m:dPr>
                <m:e>
                  <m:r>
                    <w:rPr>
                      <w:sz w:val="16"/>
                      <w:color w:val="173E34"/>
                    </w:rPr>
                    <m:t>t</m:t>
                  </m:r>
                </m:e>
              </m:d>
              <m:r>
                <w:rPr>
                  <w:sz w:val="16"/>
                  <w:color w:val="173E34"/>
                </w:rPr>
                <m:rPr>
                  <m:sty m:val="p"/>
                </m:rPr>
                <m:t>,</m:t>
              </m:r>
              <m:r>
                <w:rPr>
                  <w:sz w:val="16"/>
                  <w:color w:val="173E34"/>
                </w:rPr>
                <m:t> </m:t>
              </m:r>
              <m:sSubSup>
                <m:e>
                  <m:r>
                    <w:rPr>
                      <w:sz w:val="16"/>
                      <w:color w:val="173E34"/>
                    </w:rPr>
                    <m:t>E</m:t>
                  </m:r>
                </m:e>
                <m:sub>
                  <m:r>
                    <w:rPr>
                      <w:sz w:val="16"/>
                      <w:color w:val="173E34"/>
                    </w:rPr>
                    <m:t>i</m:t>
                  </m:r>
                  <m:r>
                    <w:rPr>
                      <w:sz w:val="16"/>
                      <w:color w:val="173E34"/>
                    </w:rPr>
                    <m:rPr>
                      <m:sty m:val="p"/>
                    </m:rPr>
                    <m:t>,</m:t>
                  </m:r>
                  <m:r>
                    <w:rPr>
                      <w:sz w:val="16"/>
                      <w:color w:val="173E34"/>
                    </w:rPr>
                    <m:t>t</m:t>
                  </m:r>
                </m:sub>
                <m:sup>
                  <m:r>
                    <w:rPr>
                      <w:sz w:val="16"/>
                      <w:color w:val="173E34"/>
                    </w:rPr>
                    <m:rPr>
                      <m:sty m:val="p"/>
                    </m:rPr>
                    <m:t>C</m:t>
                  </m:r>
                  <m:sSub>
                    <m:e>
                      <m:r>
                        <w:rPr>
                          <w:sz w:val="16"/>
                          <w:color w:val="173E34"/>
                        </w:rPr>
                        <m:rPr>
                          <m:sty m:val="p"/>
                        </m:rPr>
                        <m:t>O</m:t>
                      </m:r>
                    </m:e>
                    <m:sub>
                      <m:r>
                        <w:rPr>
                          <w:sz w:val="16"/>
                          <w:color w:val="173E34"/>
                        </w:rPr>
                        <m:rPr>
                          <m:sty m:val="p"/>
                        </m:rPr>
                        <m:t>2</m:t>
                      </m:r>
                    </m:sub>
                  </m:sSub>
                </m:sup>
              </m:sSubSup>
            </m:oMath>
          </w:p>
        </w:tc>
      </w:tr>
      <w:tr>
        <w:trPr>
          <w:trHeight w:val="510"/>
        </w:trPr>
        <w:tc>
          <w:tcPr>
            <w:tcW w:type="dxa" w:w="3250"/>
            <w:tcMar>
              <w:top w:w="90" w:type="dxa"/>
              <w:bottom w:w="90" w:type="dxa"/>
              <w:left w:w="100" w:type="dxa"/>
              <w:right w:w="100" w:type="dxa"/>
            </w:tcMar>
            <w:shd w:fill="F1F5F2"/>
          </w:tcPr>
          <w:p>
            <w:pPr>
              <w:spacing w:after="20"/>
            </w:pPr>
            <w:sdt>
              <w:sdtPr>
                <w:alias w:val="sec_06-0-ES-1-1"/>
                <w:tag w:val="sec_06-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1-2"/>
                <w:tag w:val="sec_06-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1-3"/>
                <w:tag w:val="sec_06-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6-0-ES-2-1"/>
                <w:tag w:val="sec_06-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6-0-ES-2-2"/>
                <w:tag w:val="sec_06-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6-0-ES-2-3"/>
                <w:tag w:val="sec_06-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6-0-ES-3-1"/>
                <w:tag w:val="sec_06-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3-2"/>
                <w:tag w:val="sec_06-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3-3"/>
                <w:tag w:val="sec_06-0-ES-3-3"/>
                <w:text/>
              </w:sdtPr>
              <w:sdtContent>
                <w:r>
                  <w:rPr>
                    <w:rFonts w:ascii="Lato" w:hAnsi="Lato"/>
                    <w:sz w:val="18"/>
                    <w:color w:val="62716E"/>
                  </w:rPr>
                  <w:t>[Completar]</w:t>
                </w:r>
              </w:sdtContent>
            </w:sdt>
          </w:p>
        </w:tc>
      </w:tr>
    </w:tbl>
    <w:p>
      <w:pPr>
        <w:spacing w:after="0"/>
      </w:pPr>
    </w:p>
    <w:p>
      <w:pPr>
        <w:pStyle w:val="Heading2"/>
        <w:keepNext/>
      </w:pPr>
      <w:r>
        <w:t>Conversiones y soporte temporal</w:t>
      </w:r>
    </w:p>
    <w:p>
      <w:pPr>
        <w:spacing w:after="80"/>
      </w:pPr>
      <w:r>
        <w:rPr>
          <w:rFonts w:ascii="Lato" w:hAnsi="Lato"/>
          <w:b w:val="0"/>
          <w:color w:val="62716E"/>
          <w:sz w:val="18"/>
        </w:rPr>
        <w:t>Indicar si cada factor representa biomasa, carbono, CO2 o CO2e; conservar referencia de PCG por gas. Revisar separadamente kg a toneladas y C a CO2. Conservar liberaciones diferidas de eventos previos incluso después de migrar. Usar una vía coherente de cambio de existencias o liberación por evento para la misma pérdida.</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6-1-ES"/>
                <w:tag w:val="sec_06-1-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7" w:name="sec_07"/>
      <w:pPr>
        <w:pStyle w:val="Heading1"/>
        <w:keepNext/>
        <w:pageBreakBefore/>
      </w:pPr>
      <w:r>
        <w:t>07  Cuenta con signo y cantidad conservadora</w:t>
      </w:r>
      <w:bookmarkEnd w:id="3007"/>
    </w:p>
    <w:p>
      <w:pPr>
        <w:spacing w:after="120"/>
      </w:pPr>
      <w:r>
        <w:rPr>
          <w:rFonts w:ascii="Lato" w:hAnsi="Lato"/>
          <w:b w:val="0"/>
          <w:color w:val="62716E"/>
          <w:sz w:val="16"/>
        </w:rPr>
        <w:t>[1] Referencia: M04.5; M05; F-U01; F-A01; F-A02; F-R01; FRM-02</w:t>
      </w:r>
    </w:p>
    <w:p>
      <w:pPr>
        <w:pStyle w:val="Heading2"/>
        <w:keepNext/>
      </w:pPr>
      <w:r>
        <w:t>Resultado ambiental neto</w:t>
      </w:r>
    </w:p>
    <w:p>
      <w:pPr>
        <w:keepNext/>
        <w:spacing w:before="40" w:after="60"/>
      </w:pPr>
      <w:r>
        <w:rPr>
          <w:rFonts w:ascii="Lato" w:hAnsi="Lato"/>
          <w:color w:val="315B50"/>
          <w:sz w:val="18"/>
        </w:rPr>
        <w:t>EXPOST-T12 / Notación del cálculo</w:t>
      </w:r>
    </w:p>
    <w:p>
      <w:pPr>
        <w:keepNext/>
        <w:spacing w:before="40" w:after="60"/>
      </w:pPr>
      <m:oMath>
        <m:sSubSup>
          <m:e>
            <m:acc>
              <m:accPr>
                <m:chr m:val="̂"/>
              </m:accPr>
              <m:e>
                <m:r>
                  <w:rPr>
                    <w:sz w:val="18"/>
                  </w:rPr>
                  <m:t>Q</m:t>
                </m:r>
              </m:e>
            </m:acc>
          </m:e>
          <m:sub>
            <m:r>
              <w:rPr>
                <w:sz w:val="18"/>
              </w:rPr>
              <m:t>t</m:t>
            </m:r>
          </m:sub>
          <m:sup>
            <m:r>
              <w:rPr>
                <w:sz w:val="18"/>
              </w:rPr>
              <m:t>z</m:t>
            </m:r>
          </m:sup>
        </m:sSubSup>
        <m:r>
          <w:rPr>
            <w:sz w:val="18"/>
          </w:rPr>
          <m:rPr>
            <m:sty m:val="p"/>
          </m:rPr>
          <m:t>=</m:t>
        </m:r>
        <m:sSubSup>
          <m:e>
            <m:r>
              <w:rPr>
                <w:sz w:val="18"/>
              </w:rPr>
              <m:t>N</m:t>
            </m:r>
          </m:e>
          <m:sub>
            <m:r>
              <w:rPr>
                <w:sz w:val="18"/>
              </w:rPr>
              <m:rPr>
                <m:sty m:val="p"/>
              </m:rPr>
              <m:t>B</m:t>
            </m:r>
            <m:r>
              <w:rPr>
                <w:sz w:val="18"/>
              </w:rPr>
              <m:rPr>
                <m:sty m:val="p"/>
              </m:rPr>
              <m:t>L</m:t>
            </m:r>
            <m:r>
              <w:rPr>
                <w:sz w:val="18"/>
              </w:rPr>
              <m:rPr>
                <m:sty m:val="p"/>
              </m:rPr>
              <m:t>,</m:t>
            </m:r>
            <m:r>
              <w:rPr>
                <w:sz w:val="18"/>
              </w:rPr>
              <m:t>t</m:t>
            </m:r>
          </m:sub>
          <m:sup>
            <m:r>
              <w:rPr>
                <w:sz w:val="18"/>
              </w:rPr>
              <m:t>z</m:t>
            </m:r>
          </m:sup>
        </m:sSubSup>
        <m:r>
          <w:rPr>
            <w:sz w:val="18"/>
          </w:rPr>
          <m:rPr>
            <m:sty m:val="p"/>
          </m:rPr>
          <m:t>−</m:t>
        </m:r>
        <m:sSubSup>
          <m:e>
            <m:r>
              <w:rPr>
                <w:sz w:val="18"/>
              </w:rPr>
              <m:t>N</m:t>
            </m:r>
          </m:e>
          <m:sub>
            <m:r>
              <w:rPr>
                <w:sz w:val="18"/>
              </w:rPr>
              <m:rPr>
                <m:sty m:val="p"/>
              </m:rPr>
              <m:t>P</m:t>
            </m:r>
            <m:r>
              <w:rPr>
                <w:sz w:val="18"/>
              </w:rPr>
              <m:rPr>
                <m:sty m:val="p"/>
              </m:rPr>
              <m:t>J</m:t>
            </m:r>
            <m:r>
              <w:rPr>
                <w:sz w:val="18"/>
              </w:rPr>
              <m:rPr>
                <m:sty m:val="p"/>
              </m:rPr>
              <m:t>,</m:t>
            </m:r>
            <m:r>
              <w:rPr>
                <w:sz w:val="18"/>
              </w:rPr>
              <m:t>t</m:t>
            </m:r>
          </m:sub>
          <m:sup>
            <m:r>
              <w:rPr>
                <w:sz w:val="18"/>
              </w:rPr>
              <m:t>z</m:t>
            </m:r>
          </m:sup>
        </m:sSubSup>
        <m:r>
          <w:rPr>
            <w:sz w:val="18"/>
          </w:rPr>
          <m:rPr>
            <m:sty m:val="p"/>
          </m:rPr>
          <m:t>−</m:t>
        </m:r>
        <m:sSubSup>
          <m:e>
            <m:r>
              <w:rPr>
                <w:sz w:val="18"/>
              </w:rPr>
              <m:t>L</m:t>
            </m:r>
          </m:e>
          <m:sub>
            <m:r>
              <w:rPr>
                <w:sz w:val="18"/>
              </w:rPr>
              <m:t>t</m:t>
            </m:r>
          </m:sub>
          <m:sup>
            <m:r>
              <w:rPr>
                <w:sz w:val="18"/>
              </w:rPr>
              <m:t>z</m:t>
            </m:r>
          </m:sup>
        </m:sSubSup>
        <m:r>
          <w:rPr>
            <w:sz w:val="18"/>
          </w:rPr>
          <m:rPr>
            <m:sty m:val="p"/>
          </m:rPr>
          <m:t>,</m:t>
        </m:r>
        <m:r>
          <w:rPr>
            <w:sz w:val="18"/>
          </w:rPr>
          <m:t>  </m:t>
        </m:r>
        <m:r>
          <w:rPr>
            <w:sz w:val="18"/>
          </w:rPr>
          <m:t>z</m:t>
        </m:r>
        <m:r>
          <w:rPr>
            <w:sz w:val="18"/>
          </w:rPr>
          <m:rPr>
            <m:sty m:val="p"/>
          </m:rPr>
          <m:t>∈</m:t>
        </m:r>
        <m:r>
          <w:rPr>
            <w:sz w:val="18"/>
          </w:rPr>
          <m:rPr>
            <m:sty m:val="p"/>
          </m:rPr>
          <m:t>{</m:t>
        </m:r>
        <m:r>
          <w:rPr>
            <w:sz w:val="18"/>
          </w:rPr>
          <m:rPr>
            <m:sty m:val="p"/>
          </m:rPr>
          <m:t>E</m:t>
        </m:r>
        <m:r>
          <w:rPr>
            <w:sz w:val="18"/>
          </w:rPr>
          <m:rPr>
            <m:sty m:val="p"/>
          </m:rPr>
          <m:t>A</m:t>
        </m:r>
        <m:r>
          <w:rPr>
            <w:sz w:val="18"/>
          </w:rPr>
          <m:rPr>
            <m:sty m:val="p"/>
          </m:rPr>
          <m:t>,</m:t>
        </m:r>
        <m:r>
          <w:rPr>
            <w:sz w:val="18"/>
          </w:rPr>
          <m:rPr>
            <m:sty m:val="p"/>
          </m:rPr>
          <m:t>E</m:t>
        </m:r>
        <m:r>
          <w:rPr>
            <w:sz w:val="18"/>
          </w:rPr>
          <m:rPr>
            <m:sty m:val="p"/>
          </m:rPr>
          <m:t>P</m:t>
        </m:r>
        <m:r>
          <w:rPr>
            <w:sz w:val="18"/>
          </w:rPr>
          <m:rPr>
            <m:sty m:val="p"/>
          </m:rPr>
          <m:t>}</m:t>
        </m:r>
      </m:oMath>
    </w:p>
    <w:p>
      <w:pPr>
        <w:keepNext/>
        <w:spacing w:before="40" w:after="60"/>
      </w:pPr>
      <w:r>
        <w:rPr>
          <w:rFonts w:ascii="Lato" w:hAnsi="Lato"/>
          <w:color w:val="315B50"/>
          <w:sz w:val="16"/>
        </w:rPr>
        <w:t>EA denota pronóstico fechado; EP denota cuenta del período reportado, no verificación automática. Todos los términos son masas del período con signo y soporte comparable. La cantidad precede incertidumbre, obligaciones previas, reserva y denominación.</w:t>
      </w:r>
    </w:p>
    <w:p>
      <w:pPr>
        <w:keepNext/>
        <w:spacing w:before="40" w:after="60"/>
      </w:pPr>
      <w:r>
        <w:rPr>
          <w:rFonts w:ascii="Lato" w:hAnsi="Lato"/>
          <w:color w:val="315B50"/>
          <w:sz w:val="14"/>
        </w:rPr>
        <w:t>Base: M04.5; F-R01 | Libro: ExAnte!F:I; ExPost!F:I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Período / alcance</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Línea base / proyecto / fugas (t CO2e)</w:t>
            </w:r>
          </w:p>
          <w:p>
            <w:pPr>
              <w:spacing w:before="40" w:after="40"/>
            </w:pPr>
            <m:oMath>
              <m:sSubSup>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N</m:t>
                  </m:r>
                </m:e>
                <m:sub>
                  <m:r>
                    <w:rPr>
                      <w:sz w:val="16"/>
                      <w:color w:val="173E34"/>
                    </w:rPr>
                    <m:rPr>
                      <m:sty m:val="p"/>
                    </m:rPr>
                    <m:t>P</m:t>
                  </m:r>
                  <m:r>
                    <w:rPr>
                      <w:sz w:val="16"/>
                      <w:color w:val="173E34"/>
                    </w:rPr>
                    <m:rPr>
                      <m:sty m:val="p"/>
                    </m:rPr>
                    <m:t>J</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L</m:t>
                  </m:r>
                </m:e>
                <m:sub>
                  <m:r>
                    <w:rPr>
                      <w:sz w:val="16"/>
                      <w:color w:val="173E34"/>
                    </w:rPr>
                    <m:t>t</m:t>
                  </m:r>
                </m:sub>
                <m:sup>
                  <m:r>
                    <w:rPr>
                      <w:sz w:val="16"/>
                      <w:color w:val="173E34"/>
                    </w:rPr>
                    <m:t>z</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Resultado neto con signo / ubicación en libro</w:t>
            </w:r>
          </w:p>
          <w:p>
            <w:pPr>
              <w:spacing w:before="40" w:after="40"/>
            </w:pPr>
            <m:oMath>
              <m:sSubSup>
                <m:e>
                  <m:acc>
                    <m:accPr>
                      <m:chr m:val="̂"/>
                    </m:accPr>
                    <m:e>
                      <m:r>
                        <w:rPr>
                          <w:sz w:val="16"/>
                          <w:color w:val="173E34"/>
                        </w:rPr>
                        <m:t>Q</m:t>
                      </m:r>
                    </m:e>
                  </m:acc>
                </m:e>
                <m:sub>
                  <m:r>
                    <w:rPr>
                      <w:sz w:val="16"/>
                      <w:color w:val="173E34"/>
                    </w:rPr>
                    <m:t>t</m:t>
                  </m:r>
                </m:sub>
                <m:sup>
                  <m:r>
                    <w:rPr>
                      <w:sz w:val="16"/>
                      <w:color w:val="173E34"/>
                    </w:rPr>
                    <m:t>z</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7-0-ES-1-1"/>
                <w:tag w:val="sec_07-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0-ES-1-2"/>
                <w:tag w:val="sec_07-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0-ES-1-3"/>
                <w:tag w:val="sec_07-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0-ES-2-1"/>
                <w:tag w:val="sec_07-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0-ES-2-2"/>
                <w:tag w:val="sec_07-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0-ES-2-3"/>
                <w:tag w:val="sec_07-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0-ES-3-1"/>
                <w:tag w:val="sec_07-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0-ES-3-2"/>
                <w:tag w:val="sec_07-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0-ES-3-3"/>
                <w:tag w:val="sec_07-0-ES-3-3"/>
                <w:text/>
              </w:sdtPr>
              <w:sdtContent>
                <w:r>
                  <w:rPr>
                    <w:rFonts w:ascii="Lato" w:hAnsi="Lato"/>
                    <w:sz w:val="18"/>
                    <w:color w:val="62716E"/>
                  </w:rPr>
                  <w:t>[Completar]</w:t>
                </w:r>
              </w:sdtContent>
            </w:sdt>
          </w:p>
        </w:tc>
      </w:tr>
    </w:tbl>
    <w:p>
      <w:pPr>
        <w:spacing w:after="0"/>
      </w:pPr>
    </w:p>
    <w:p>
      <w:pPr>
        <w:pStyle w:val="Heading2"/>
        <w:keepNext/>
      </w:pPr>
      <w:r>
        <w:t>Conservadurismo y materialidad</w:t>
      </w:r>
    </w:p>
    <w:p>
      <w:pPr>
        <w:keepNext/>
        <w:spacing w:before="40" w:after="60"/>
      </w:pPr>
      <w:r>
        <w:rPr>
          <w:rFonts w:ascii="Lato" w:hAnsi="Lato"/>
          <w:color w:val="315B50"/>
          <w:sz w:val="18"/>
        </w:rPr>
        <w:t>EXPOST-T13 / Notación del cálculo</w:t>
      </w:r>
    </w:p>
    <w:p>
      <w:pPr>
        <w:keepNext/>
        <w:spacing w:before="40" w:after="60"/>
      </w:pPr>
      <m:oMath>
        <m:sSubSup>
          <m:e>
            <m:r>
              <w:rPr>
                <w:sz w:val="18"/>
              </w:rPr>
              <m:t>Q</m:t>
            </m:r>
          </m:e>
          <m:sub>
            <m:r>
              <w:rPr>
                <w:sz w:val="18"/>
              </w:rPr>
              <m:t>t</m:t>
            </m:r>
          </m:sub>
          <m:sup>
            <m:r>
              <w:rPr>
                <w:sz w:val="18"/>
              </w:rPr>
              <m:rPr>
                <m:sty m:val="p"/>
              </m:rPr>
              <m:t>l</m:t>
            </m:r>
            <m:r>
              <w:rPr>
                <w:sz w:val="18"/>
              </w:rPr>
              <m:rPr>
                <m:sty m:val="p"/>
              </m:rPr>
              <m:t>o</m:t>
            </m:r>
            <m:r>
              <w:rPr>
                <w:sz w:val="18"/>
              </w:rPr>
              <m:rPr>
                <m:sty m:val="p"/>
              </m:rPr>
              <m:t>w</m:t>
            </m:r>
          </m:sup>
        </m:sSubSup>
        <m:r>
          <w:rPr>
            <w:sz w:val="18"/>
          </w:rPr>
          <m:rPr>
            <m:sty m:val="p"/>
          </m:rPr>
          <m:t>=</m:t>
        </m:r>
        <m:sSub>
          <m:e>
            <m:acc>
              <m:accPr>
                <m:chr m:val="̂"/>
              </m:accPr>
              <m:e>
                <m:r>
                  <w:rPr>
                    <w:sz w:val="18"/>
                  </w:rPr>
                  <m:t>Q</m:t>
                </m:r>
              </m:e>
            </m:acc>
          </m:e>
          <m:sub>
            <m:r>
              <w:rPr>
                <w:sz w:val="18"/>
              </w:rPr>
              <m:t>t</m:t>
            </m:r>
          </m:sub>
        </m:sSub>
        <m:r>
          <w:rPr>
            <w:sz w:val="18"/>
          </w:rPr>
          <m:rPr>
            <m:sty m:val="p"/>
          </m:rPr>
          <m:t>−</m:t>
        </m:r>
        <m:sSub>
          <m:e>
            <m:r>
              <w:rPr>
                <w:sz w:val="18"/>
              </w:rPr>
              <m:t>k</m:t>
            </m:r>
          </m:e>
          <m:sub>
            <m:r>
              <w:rPr>
                <w:sz w:val="18"/>
              </w:rPr>
              <m:t>1</m:t>
            </m:r>
            <m:r>
              <w:rPr>
                <w:sz w:val="18"/>
              </w:rPr>
              <m:rPr>
                <m:sty m:val="p"/>
              </m:rPr>
              <m:t>−</m:t>
            </m:r>
            <m:r>
              <w:rPr>
                <w:sz w:val="18"/>
              </w:rPr>
              <m:t>α</m:t>
            </m:r>
          </m:sub>
        </m:sSub>
        <m:sSub>
          <m:e>
            <m:r>
              <w:rPr>
                <w:sz w:val="18"/>
              </w:rPr>
              <m:t>u</m:t>
            </m:r>
          </m:e>
          <m:sub>
            <m:sSub>
              <m:e>
                <m:r>
                  <w:rPr>
                    <w:sz w:val="18"/>
                  </w:rPr>
                  <m:t>Q</m:t>
                </m:r>
              </m:e>
              <m:sub>
                <m:r>
                  <w:rPr>
                    <w:sz w:val="18"/>
                  </w:rPr>
                  <m:t>t</m:t>
                </m:r>
              </m:sub>
            </m:sSub>
          </m:sub>
        </m:sSub>
      </m:oMath>
    </w:p>
    <w:p>
      <w:pPr>
        <w:keepNext/>
        <w:spacing w:before="40" w:after="60"/>
      </w:pPr>
      <m:oMath>
        <m:sSubSup>
          <m:e>
            <m:r>
              <w:rPr>
                <w:sz w:val="18"/>
              </w:rPr>
              <m:t>Q</m:t>
            </m:r>
          </m:e>
          <m:sub>
            <m:r>
              <w:rPr>
                <w:sz w:val="18"/>
              </w:rPr>
              <m:t>t</m:t>
            </m:r>
          </m:sub>
          <m:sup>
            <m:r>
              <w:rPr>
                <w:sz w:val="18"/>
              </w:rPr>
              <m:rPr>
                <m:sty m:val="p"/>
              </m:rPr>
              <m:t>l</m:t>
            </m:r>
            <m:r>
              <w:rPr>
                <w:sz w:val="18"/>
              </w:rPr>
              <m:rPr>
                <m:sty m:val="p"/>
              </m:rPr>
              <m:t>o</m:t>
            </m:r>
            <m:r>
              <w:rPr>
                <w:sz w:val="18"/>
              </w:rPr>
              <m:rPr>
                <m:sty m:val="p"/>
              </m:rPr>
              <m:t>w</m:t>
            </m:r>
          </m:sup>
        </m:sSubSup>
        <m:r>
          <w:rPr>
            <w:sz w:val="18"/>
          </w:rPr>
          <m:rPr>
            <m:sty m:val="p"/>
          </m:rPr>
          <m:t>=</m:t>
        </m:r>
        <m:sSub>
          <m:e>
            <m:acc>
              <m:accPr>
                <m:chr m:val="̂"/>
              </m:accPr>
              <m:e>
                <m:r>
                  <w:rPr>
                    <w:sz w:val="18"/>
                  </w:rPr>
                  <m:t>Q</m:t>
                </m:r>
              </m:e>
            </m:acc>
          </m:e>
          <m:sub>
            <m:r>
              <w:rPr>
                <w:sz w:val="18"/>
              </w:rPr>
              <m:t>t</m:t>
            </m:r>
          </m:sub>
        </m:sSub>
        <m:r>
          <w:rPr>
            <w:sz w:val="18"/>
          </w:rPr>
          <m:rPr>
            <m:sty m:val="p"/>
          </m:rPr>
          <m:t>−</m:t>
        </m:r>
        <m:sSub>
          <m:e>
            <m:r>
              <w:rPr>
                <w:sz w:val="18"/>
              </w:rPr>
              <m:t>δ</m:t>
            </m:r>
          </m:e>
          <m:sub>
            <m:r>
              <w:rPr>
                <w:sz w:val="18"/>
              </w:rPr>
              <m:t>t</m:t>
            </m:r>
          </m:sub>
        </m:sSub>
        <m:r>
          <w:rPr>
            <w:sz w:val="18"/>
          </w:rPr>
          <m:t> </m:t>
        </m:r>
        <m:d>
          <m:dPr>
            <m:begChr m:val="("/>
            <m:endChr m:val=")"/>
            <m:sepChr m:val=""/>
            <m:grow/>
          </m:dPr>
          <m:e>
            <m:r>
              <w:rPr>
                <w:sz w:val="18"/>
              </w:rPr>
              <m:rPr>
                <m:sty m:val="p"/>
              </m:rPr>
              <m:t>D</m:t>
            </m:r>
            <m:r>
              <w:rPr>
                <w:sz w:val="18"/>
              </w:rPr>
              <m:rPr>
                <m:sty m:val="p"/>
              </m:rPr>
              <m:t>E</m:t>
            </m:r>
            <m:r>
              <w:rPr>
                <w:sz w:val="18"/>
              </w:rPr>
              <m:rPr>
                <m:sty m:val="p"/>
              </m:rPr>
              <m:t>D</m:t>
            </m:r>
            <m:r>
              <w:rPr>
                <w:sz w:val="18"/>
              </w:rPr>
              <m:rPr>
                <m:sty m:val="p"/>
              </m:rPr>
              <m:t>U</m:t>
            </m:r>
            <m:r>
              <w:rPr>
                <w:sz w:val="18"/>
              </w:rPr>
              <m:rPr>
                <m:sty m:val="p"/>
              </m:rPr>
              <m:t>C</m:t>
            </m:r>
            <m:r>
              <w:rPr>
                <w:sz w:val="18"/>
              </w:rPr>
              <m:rPr>
                <m:sty m:val="p"/>
              </m:rPr>
              <m:t>T</m:t>
            </m:r>
            <m:r>
              <w:rPr>
                <w:sz w:val="18"/>
              </w:rPr>
              <m:rPr>
                <m:sty m:val="p"/>
              </m:rPr>
              <m:t>I</m:t>
            </m:r>
            <m:r>
              <w:rPr>
                <w:sz w:val="18"/>
              </w:rPr>
              <m:rPr>
                <m:sty m:val="p"/>
              </m:rPr>
              <m:t>O</m:t>
            </m:r>
            <m:r>
              <w:rPr>
                <w:sz w:val="18"/>
              </w:rPr>
              <m:rPr>
                <m:sty m:val="p"/>
              </m:rPr>
              <m:t>N</m:t>
            </m:r>
          </m:e>
        </m:d>
        <m:r>
          <w:rPr>
            <w:sz w:val="18"/>
          </w:rPr>
          <m:rPr>
            <m:sty m:val="p"/>
          </m:rPr>
          <m:t>;</m:t>
        </m:r>
        <m:r>
          <w:rPr>
            <w:sz w:val="18"/>
          </w:rPr>
          <m:t>  </m:t>
        </m:r>
        <m:sSubSup>
          <m:e>
            <m:r>
              <w:rPr>
                <w:sz w:val="18"/>
              </w:rPr>
              <m:t>Q</m:t>
            </m:r>
          </m:e>
          <m:sub>
            <m:r>
              <w:rPr>
                <w:sz w:val="18"/>
              </w:rPr>
              <m:t>t</m:t>
            </m:r>
          </m:sub>
          <m:sup>
            <m:r>
              <w:rPr>
                <w:sz w:val="18"/>
              </w:rPr>
              <m:rPr>
                <m:sty m:val="p"/>
              </m:rPr>
              <m:t>l</m:t>
            </m:r>
            <m:r>
              <w:rPr>
                <w:sz w:val="18"/>
              </w:rPr>
              <m:rPr>
                <m:sty m:val="p"/>
              </m:rPr>
              <m:t>o</m:t>
            </m:r>
            <m:r>
              <w:rPr>
                <w:sz w:val="18"/>
              </w:rPr>
              <m:rPr>
                <m:sty m:val="p"/>
              </m:rPr>
              <m:t>w</m:t>
            </m:r>
          </m:sup>
        </m:sSubSup>
        <m:r>
          <w:rPr>
            <w:sz w:val="18"/>
          </w:rPr>
          <m:rPr>
            <m:sty m:val="p"/>
          </m:rPr>
          <m:t>=</m:t>
        </m:r>
        <m:sSubSup>
          <m:e>
            <m:r>
              <w:rPr>
                <w:sz w:val="18"/>
              </w:rPr>
              <m:t>q</m:t>
            </m:r>
          </m:e>
          <m:sub>
            <m:r>
              <w:rPr>
                <w:sz w:val="18"/>
              </w:rPr>
              <m:t>t</m:t>
            </m:r>
          </m:sub>
          <m:sup>
            <m:r>
              <w:rPr>
                <w:sz w:val="18"/>
              </w:rPr>
              <m:rPr>
                <m:sty m:val="p"/>
              </m:rPr>
              <m:t>b</m:t>
            </m:r>
            <m:r>
              <w:rPr>
                <w:sz w:val="18"/>
              </w:rPr>
              <m:rPr>
                <m:sty m:val="p"/>
              </m:rPr>
              <m:t>o</m:t>
            </m:r>
            <m:r>
              <w:rPr>
                <w:sz w:val="18"/>
              </w:rPr>
              <m:rPr>
                <m:sty m:val="p"/>
              </m:rPr>
              <m:t>u</m:t>
            </m:r>
            <m:r>
              <w:rPr>
                <w:sz w:val="18"/>
              </w:rPr>
              <m:rPr>
                <m:sty m:val="p"/>
              </m:rPr>
              <m:t>n</m:t>
            </m:r>
            <m:r>
              <w:rPr>
                <w:sz w:val="18"/>
              </w:rPr>
              <m:rPr>
                <m:sty m:val="p"/>
              </m:rPr>
              <m:t>d</m:t>
            </m:r>
          </m:sup>
        </m:sSubSup>
        <m:r>
          <w:rPr>
            <w:sz w:val="18"/>
          </w:rPr>
          <m:t> </m:t>
        </m:r>
        <m:d>
          <m:dPr>
            <m:begChr m:val="("/>
            <m:endChr m:val=")"/>
            <m:sepChr m:val=""/>
            <m:grow/>
          </m:dPr>
          <m:e>
            <m:r>
              <w:rPr>
                <w:sz w:val="18"/>
              </w:rPr>
              <m:rPr>
                <m:sty m:val="p"/>
              </m:rPr>
              <m:t>B</m:t>
            </m:r>
            <m:r>
              <w:rPr>
                <w:sz w:val="18"/>
              </w:rPr>
              <m:rPr>
                <m:sty m:val="p"/>
              </m:rPr>
              <m:t>O</m:t>
            </m:r>
            <m:r>
              <w:rPr>
                <w:sz w:val="18"/>
              </w:rPr>
              <m:rPr>
                <m:sty m:val="p"/>
              </m:rPr>
              <m:t>U</m:t>
            </m:r>
            <m:r>
              <w:rPr>
                <w:sz w:val="18"/>
              </w:rPr>
              <m:rPr>
                <m:sty m:val="p"/>
              </m:rPr>
              <m:t>N</m:t>
            </m:r>
            <m:r>
              <w:rPr>
                <w:sz w:val="18"/>
              </w:rPr>
              <m:rPr>
                <m:sty m:val="p"/>
              </m:rPr>
              <m:t>D</m:t>
            </m:r>
          </m:e>
        </m:d>
      </m:oMath>
    </w:p>
    <w:p>
      <w:pPr>
        <w:keepNext/>
        <w:spacing w:before="40" w:after="60"/>
      </w:pPr>
      <w:r>
        <w:rPr>
          <w:rFonts w:ascii="Lato" w:hAnsi="Lato"/>
          <w:color w:val="315B50"/>
          <w:sz w:val="16"/>
        </w:rPr>
        <w:t>delta es descuento justificado (ruta DEDUCTION); BOUND aporta directamente el límite sustentado. La segunda línea describe interfaz del libro, no estimador nuevo aprobado. Registrar procedimiento previo de incertidumbre o límite basado en evidencia y decisión.</w:t>
      </w:r>
    </w:p>
    <w:p>
      <w:pPr>
        <w:keepNext/>
        <w:spacing w:before="40" w:after="60"/>
      </w:pPr>
      <w:r>
        <w:rPr>
          <w:rFonts w:ascii="Lato" w:hAnsi="Lato"/>
          <w:color w:val="315B50"/>
          <w:sz w:val="14"/>
        </w:rPr>
        <w:t>Base: M05.3; F-A02; AP-08 | Libro: ExAnte!J:L; ExPost!J:L; ExPost!O</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Componente / dependencia / sesgo</w:t>
            </w:r>
          </w:p>
          <w:p>
            <w:pPr>
              <w:spacing w:before="40" w:after="40"/>
            </w:pPr>
            <m:oMath>
              <m:r>
                <w:rPr>
                  <w:sz w:val="16"/>
                  <w:color w:val="173E34"/>
                </w:rPr>
                <m:t>t</m:t>
              </m:r>
              <m:r>
                <w:rPr>
                  <w:sz w:val="16"/>
                  <w:color w:val="173E34"/>
                </w:rPr>
                <m:rPr>
                  <m:sty m:val="p"/>
                </m:rPr>
                <m:t>,</m:t>
              </m:r>
              <m:r>
                <w:rPr>
                  <w:sz w:val="16"/>
                  <w:color w:val="173E34"/>
                </w:rPr>
                <m:t> </m:t>
              </m:r>
              <m:sSub>
                <m:e>
                  <m:r>
                    <w:rPr>
                      <w:sz w:val="16"/>
                      <w:color w:val="173E34"/>
                    </w:rPr>
                    <m:t>δ</m:t>
                  </m:r>
                </m:e>
                <m:sub>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Deducción aprobada o límite sustentado</w:t>
            </w:r>
          </w:p>
          <w:p>
            <w:pPr>
              <w:spacing w:before="40" w:after="40"/>
            </w:pPr>
            <m:oMath>
              <m:sSub>
                <m:e>
                  <m:r>
                    <w:rPr>
                      <w:sz w:val="16"/>
                      <w:color w:val="173E34"/>
                    </w:rPr>
                    <m:t>u</m:t>
                  </m:r>
                </m:e>
                <m:sub>
                  <m:sSub>
                    <m:e>
                      <m:r>
                        <w:rPr>
                          <w:sz w:val="16"/>
                          <w:color w:val="173E34"/>
                        </w:rPr>
                        <m:t>Q</m:t>
                      </m:r>
                    </m:e>
                    <m:sub>
                      <m:r>
                        <w:rPr>
                          <w:sz w:val="16"/>
                          <w:color w:val="173E34"/>
                        </w:rPr>
                        <m:t>t</m:t>
                      </m:r>
                    </m:sub>
                  </m:sSub>
                </m:sub>
              </m:sSub>
              <m:r>
                <w:rPr>
                  <w:sz w:val="16"/>
                  <w:color w:val="173E34"/>
                </w:rPr>
                <m:rPr>
                  <m:sty m:val="p"/>
                </m:rPr>
                <m:t>,</m:t>
              </m:r>
              <m:r>
                <w:rPr>
                  <w:sz w:val="16"/>
                  <w:color w:val="173E34"/>
                </w:rPr>
                <m:t> </m:t>
              </m:r>
              <m:sSub>
                <m:e>
                  <m:r>
                    <w:rPr>
                      <w:sz w:val="16"/>
                      <w:color w:val="173E34"/>
                    </w:rPr>
                    <m:t>k</m:t>
                  </m:r>
                </m:e>
                <m:sub>
                  <m:r>
                    <w:rPr>
                      <w:sz w:val="16"/>
                      <w:color w:val="173E34"/>
                    </w:rPr>
                    <m:t>1</m:t>
                  </m:r>
                  <m:r>
                    <w:rPr>
                      <w:sz w:val="16"/>
                      <w:color w:val="173E34"/>
                    </w:rPr>
                    <m:rPr>
                      <m:sty m:val="p"/>
                    </m:rPr>
                    <m:t>−</m:t>
                  </m:r>
                  <m:r>
                    <w:rPr>
                      <w:sz w:val="16"/>
                      <w:color w:val="173E34"/>
                    </w:rPr>
                    <m:t>α</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Q_low y hallazgos de materialidad separados</w:t>
            </w:r>
          </w:p>
          <w:p>
            <w:pPr>
              <w:spacing w:before="40" w:after="40"/>
            </w:pPr>
            <m:oMath>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7-1-ES-1-1"/>
                <w:tag w:val="sec_07-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1-2"/>
                <w:tag w:val="sec_07-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1-3"/>
                <w:tag w:val="sec_07-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1-ES-2-1"/>
                <w:tag w:val="sec_07-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1-ES-2-2"/>
                <w:tag w:val="sec_07-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1-ES-2-3"/>
                <w:tag w:val="sec_07-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1-ES-3-1"/>
                <w:tag w:val="sec_07-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3-2"/>
                <w:tag w:val="sec_07-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3-3"/>
                <w:tag w:val="sec_07-1-ES-3-3"/>
                <w:text/>
              </w:sdtPr>
              <w:sdtContent>
                <w:r>
                  <w:rPr>
                    <w:rFonts w:ascii="Lato" w:hAnsi="Lato"/>
                    <w:sz w:val="18"/>
                    <w:color w:val="62716E"/>
                  </w:rPr>
                  <w:t>[Completar]</w:t>
                </w:r>
              </w:sdtContent>
            </w:sdt>
          </w:p>
        </w:tc>
      </w:tr>
    </w:tbl>
    <w:p>
      <w:pPr>
        <w:spacing w:after="0"/>
      </w:pPr>
    </w:p>
    <w:p>
      <w:pPr>
        <w:pStyle w:val="Heading2"/>
        <w:keepNext/>
      </w:pPr>
      <w:r>
        <w:t>Integridad y resultados adversos</w:t>
      </w:r>
    </w:p>
    <w:p>
      <w:pPr>
        <w:spacing w:after="80"/>
      </w:pPr>
      <w:r>
        <w:rPr>
          <w:rFonts w:ascii="Lato" w:hAnsi="Lato"/>
          <w:b w:val="0"/>
          <w:color w:val="62716E"/>
          <w:sz w:val="18"/>
        </w:rPr>
        <w:t>Mostrar resultados positivos y negativos antes de la porción elegible no negativa. Registrar faltantes como tales. El método de incertidumbre y el examen de materialidad son distintos. Informar alcance evaluado y todo alcance retenido.</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7-2-ES"/>
                <w:tag w:val="sec_07-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8" w:name="sec_08"/>
      <w:pPr>
        <w:pStyle w:val="Heading1"/>
        <w:keepNext/>
        <w:pageBreakBefore/>
      </w:pPr>
      <w:r>
        <w:t>08  Pasivos, reserva y solicitud condicional de NVEU</w:t>
      </w:r>
      <w:bookmarkEnd w:id="3008"/>
    </w:p>
    <w:p>
      <w:pPr>
        <w:spacing w:after="120"/>
      </w:pPr>
      <w:r>
        <w:rPr>
          <w:rFonts w:ascii="Lato" w:hAnsi="Lato"/>
          <w:b w:val="0"/>
          <w:color w:val="62716E"/>
          <w:sz w:val="16"/>
        </w:rPr>
        <w:t>[1] Referencia: F-03; F-R03; F-R04; F-R05a; F-R05b; U-01; U-07; FRM-02/C; FRM-09</w:t>
      </w:r>
    </w:p>
    <w:p>
      <w:pPr>
        <w:pStyle w:val="Heading2"/>
        <w:keepNext/>
      </w:pPr>
      <w:r>
        <w:t>Asignación candidata frente a liquidación ejecutada</w:t>
      </w:r>
    </w:p>
    <w:p>
      <w:pPr>
        <w:keepNext/>
        <w:spacing w:before="40" w:after="60"/>
      </w:pPr>
      <w:r>
        <w:rPr>
          <w:rFonts w:ascii="Lato" w:hAnsi="Lato"/>
          <w:color w:val="315B50"/>
          <w:sz w:val="18"/>
        </w:rPr>
        <w:t>EXPOST-T14 / Notación del cálculo</w:t>
      </w:r>
    </w:p>
    <w:p>
      <w:pPr>
        <w:keepNext/>
        <w:spacing w:before="40" w:after="60"/>
      </w:pPr>
      <m:oMath>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r>
          <w:rPr>
            <w:sz w:val="18"/>
          </w:rPr>
          <m:rPr>
            <m:sty m:val="p"/>
          </m:rPr>
          <m:t>max</m:t>
        </m:r>
        <m:d>
          <m:dPr>
            <m:begChr m:val="("/>
            <m:endChr m:val=")"/>
            <m:sepChr m:val=""/>
            <m:grow/>
          </m:dPr>
          <m:e>
            <m:r>
              <w:rPr>
                <w:sz w:val="18"/>
              </w:rPr>
              <m:t>0</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rPr>
            <m:sty m:val="p"/>
          </m:rPr>
          <m:t>min</m:t>
        </m:r>
        <m:d>
          <m:dPr>
            <m:begChr m:val="("/>
            <m:endChr m:val=")"/>
            <m:sepChr m:val=""/>
            <m:grow/>
          </m:dPr>
          <m:e>
            <m:sSub>
              <m:e>
                <m:r>
                  <w:rPr>
                    <w:sz w:val="18"/>
                  </w:rPr>
                  <m:t>D</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e>
        </m:d>
      </m:oMath>
    </w:p>
    <w:p>
      <w:pPr>
        <w:keepNext/>
        <w:spacing w:before="40" w:after="60"/>
      </w:pPr>
      <m:oMath>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
          <m:e>
            <m:r>
              <w:rPr>
                <w:sz w:val="18"/>
              </w:rPr>
              <m:t>B</m:t>
            </m:r>
          </m:e>
          <m:sub>
            <m:r>
              <w:rPr>
                <w:sz w:val="18"/>
              </w:rPr>
              <m:t>t</m:t>
            </m:r>
          </m:sub>
        </m:sSub>
      </m:oMath>
    </w:p>
    <w:p>
      <w:pPr>
        <w:keepNext/>
        <w:spacing w:before="40" w:after="60"/>
      </w:pPr>
      <w:r>
        <w:rPr>
          <w:rFonts w:ascii="Lato" w:hAnsi="Lato"/>
          <w:color w:val="315B50"/>
          <w:sz w:val="16"/>
        </w:rPr>
        <w:t>cand distingue propuesta del libro de registro ejecutado. D_set es liquidación real sustentada; D_rem = D - D_set. No reducir obligación registrada por D_cand. Reserva requerida superior a la base candidata es déficit, no protección financiada. No se presume redondeo.</w:t>
      </w:r>
    </w:p>
    <w:p>
      <w:pPr>
        <w:keepNext/>
        <w:spacing w:before="40" w:after="60"/>
      </w:pPr>
      <w:r>
        <w:rPr>
          <w:rFonts w:ascii="Lato" w:hAnsi="Lato"/>
          <w:color w:val="315B50"/>
          <w:sz w:val="14"/>
        </w:rPr>
        <w:t>Base: M05.4; M05.5; F-R03 | Libro: Settlement!B:L; ExAnte!M:O (solo pronóstico)</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Pasivo inicial / liquidación candidata</w:t>
            </w:r>
          </w:p>
          <w:p>
            <w:pPr>
              <w:spacing w:before="40" w:after="40"/>
            </w:pPr>
            <m:oMath>
              <m:sSub>
                <m:e>
                  <m:r>
                    <w:rPr>
                      <w:sz w:val="16"/>
                      <w:color w:val="173E34"/>
                    </w:rPr>
                    <m:t>D</m:t>
                  </m:r>
                </m:e>
                <m:sub>
                  <m:r>
                    <w:rPr>
                      <w:sz w:val="16"/>
                      <w:color w:val="173E34"/>
                    </w:rPr>
                    <m:t>t</m:t>
                  </m:r>
                </m:sub>
              </m:sSub>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Liquidación real y evidencia de ejecución</w:t>
            </w:r>
          </w:p>
          <w:p>
            <w:pPr>
              <w:spacing w:before="40" w:after="40"/>
            </w:pPr>
            <m:oMath>
              <m:sSubSup>
                <m:e>
                  <m:r>
                    <w:rPr>
                      <w:sz w:val="16"/>
                      <w:color w:val="173E34"/>
                    </w:rPr>
                    <m:t>D</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D</m:t>
                  </m:r>
                </m:e>
                <m:sub>
                  <m:r>
                    <w:rPr>
                      <w:sz w:val="16"/>
                      <w:color w:val="173E34"/>
                    </w:rPr>
                    <m:t>t</m:t>
                  </m:r>
                </m:sub>
                <m:sup>
                  <m:r>
                    <w:rPr>
                      <w:sz w:val="16"/>
                      <w:color w:val="173E34"/>
                    </w:rPr>
                    <m:rPr>
                      <m:sty m:val="p"/>
                    </m:rPr>
                    <m:t>s</m:t>
                  </m:r>
                  <m:r>
                    <w:rPr>
                      <w:sz w:val="16"/>
                      <w:color w:val="173E34"/>
                    </w:rPr>
                    <m:rPr>
                      <m:sty m:val="p"/>
                    </m:rPr>
                    <m:t>e</m:t>
                  </m:r>
                  <m:r>
                    <w:rPr>
                      <w:sz w:val="16"/>
                      <w:color w:val="173E34"/>
                    </w:rPr>
                    <m:rPr>
                      <m:sty m:val="p"/>
                    </m:rPr>
                    <m:t>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Base posterior / aporte de reserva / masa disponible</w:t>
            </w:r>
          </w:p>
          <w:p>
            <w:pPr>
              <w:spacing w:before="40" w:after="40"/>
            </w:pPr>
            <m:oMath>
              <m:sSubSup>
                <m:e>
                  <m:r>
                    <w:rPr>
                      <w:sz w:val="16"/>
                      <w:color w:val="173E34"/>
                    </w:rPr>
                    <m:t>Q</m:t>
                  </m:r>
                </m:e>
                <m:sub>
                  <m:r>
                    <w:rPr>
                      <w:sz w:val="16"/>
                      <w:color w:val="173E34"/>
                    </w:rPr>
                    <m:t>t</m:t>
                  </m:r>
                </m:sub>
                <m:sup>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e</m:t>
                  </m:r>
                  <m:r>
                    <w:rPr>
                      <w:sz w:val="16"/>
                      <w:color w:val="173E34"/>
                    </w:rPr>
                    <m:rPr>
                      <m:sty m:val="p"/>
                    </m:rPr>
                    <m:t>,</m:t>
                  </m:r>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
                <m:e>
                  <m:r>
                    <w:rPr>
                      <w:sz w:val="16"/>
                      <w:color w:val="173E34"/>
                    </w:rPr>
                    <m:t>B</m:t>
                  </m:r>
                </m:e>
                <m:sub>
                  <m:r>
                    <w:rPr>
                      <w:sz w:val="16"/>
                      <w:color w:val="173E34"/>
                    </w:rPr>
                    <m:t>t</m:t>
                  </m:r>
                </m:sub>
              </m:sSub>
              <m:r>
                <w:rPr>
                  <w:sz w:val="16"/>
                  <w:color w:val="173E34"/>
                </w:rPr>
                <m:rPr>
                  <m:sty m:val="p"/>
                </m:rPr>
                <m:t>,</m:t>
              </m:r>
              <m:r>
                <w:rPr>
                  <w:sz w:val="16"/>
                  <w:color w:val="173E34"/>
                </w:rPr>
                <m:t> </m:t>
              </m:r>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8-0-ES-1-1"/>
                <w:tag w:val="sec_08-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1-2"/>
                <w:tag w:val="sec_08-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1-3"/>
                <w:tag w:val="sec_08-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0-ES-2-1"/>
                <w:tag w:val="sec_08-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0-ES-2-2"/>
                <w:tag w:val="sec_08-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0-ES-2-3"/>
                <w:tag w:val="sec_08-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0-ES-3-1"/>
                <w:tag w:val="sec_08-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3-2"/>
                <w:tag w:val="sec_08-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3-3"/>
                <w:tag w:val="sec_08-0-ES-3-3"/>
                <w:text/>
              </w:sdtPr>
              <w:sdtContent>
                <w:r>
                  <w:rPr>
                    <w:rFonts w:ascii="Lato" w:hAnsi="Lato"/>
                    <w:sz w:val="18"/>
                    <w:color w:val="62716E"/>
                  </w:rPr>
                  <w:t>[Completar]</w:t>
                </w:r>
              </w:sdtContent>
            </w:sdt>
          </w:p>
        </w:tc>
      </w:tr>
    </w:tbl>
    <w:p>
      <w:pPr>
        <w:spacing w:after="0"/>
      </w:pPr>
    </w:p>
    <w:p>
      <w:pPr>
        <w:pStyle w:val="Heading2"/>
        <w:keepNext/>
      </w:pPr>
      <w:r>
        <w:t>Déficit y pasivo de cierre</w:t>
      </w:r>
    </w:p>
    <w:p>
      <w:pPr>
        <w:keepNext/>
        <w:spacing w:before="40" w:after="60"/>
      </w:pPr>
      <w:r>
        <w:rPr>
          <w:rFonts w:ascii="Lato" w:hAnsi="Lato"/>
          <w:color w:val="315B50"/>
          <w:sz w:val="18"/>
        </w:rPr>
        <w:t>EXPOST-T15 / Notación del cálculo</w:t>
      </w:r>
    </w:p>
    <w:p>
      <w:pPr>
        <w:keepNext/>
        <w:spacing w:before="40" w:after="60"/>
      </w:pPr>
      <m:oMath>
        <m:sSubSup>
          <m:e>
            <m:r>
              <w:rPr>
                <w:sz w:val="18"/>
              </w:rPr>
              <m:t>N</m:t>
            </m:r>
          </m:e>
          <m:sub>
            <m:r>
              <w:rPr>
                <w:sz w:val="18"/>
              </w:rPr>
              <m:t>t</m:t>
            </m:r>
          </m:sub>
          <m:sup>
            <m:r>
              <w:rPr>
                <w:sz w:val="18"/>
              </w:rPr>
              <m:rPr>
                <m:sty m:val="p"/>
              </m:rPr>
              <m:t>−</m:t>
            </m:r>
          </m:sup>
        </m:sSubSup>
        <m:r>
          <w:rPr>
            <w:sz w:val="18"/>
          </w:rPr>
          <m:rPr>
            <m:sty m:val="p"/>
          </m:rPr>
          <m:t>=</m:t>
        </m:r>
        <m:r>
          <w:rPr>
            <w:sz w:val="18"/>
          </w:rPr>
          <m:rPr>
            <m:sty m:val="p"/>
          </m:rPr>
          <m:t>max</m:t>
        </m:r>
        <m:d>
          <m:dPr>
            <m:begChr m:val="("/>
            <m:endChr m:val=")"/>
            <m:sepChr m:val=""/>
            <m:grow/>
          </m:dPr>
          <m:e>
            <m:r>
              <w:rPr>
                <w:sz w:val="18"/>
              </w:rPr>
              <m:t>0</m:t>
            </m:r>
            <m:r>
              <w:rPr>
                <w:sz w:val="18"/>
              </w:rPr>
              <m:rPr>
                <m:sty m:val="p"/>
              </m:rPr>
              <m:t>,</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r>
          <w:rPr>
            <w:sz w:val="18"/>
          </w:rPr>
          <m:t>Δ</m:t>
        </m:r>
        <m:sSubSup>
          <m:e>
            <m:r>
              <w:rPr>
                <w:sz w:val="18"/>
              </w:rPr>
              <m:t>D</m:t>
            </m:r>
          </m:e>
          <m:sub>
            <m:r>
              <w:rPr>
                <w:sz w:val="18"/>
              </w:rPr>
              <m:t>t</m:t>
            </m:r>
          </m:sub>
          <m:sup>
            <m:r>
              <w:rPr>
                <w:sz w:val="18"/>
              </w:rPr>
              <m:rPr>
                <m:sty m:val="p"/>
              </m:rPr>
              <m:t>−</m:t>
            </m:r>
          </m:sup>
        </m:sSubSup>
        <m:r>
          <w:rPr>
            <w:sz w:val="18"/>
          </w:rPr>
          <m:rPr>
            <m:sty m:val="p"/>
          </m:rPr>
          <m:t>=</m:t>
        </m:r>
        <m:sSubSup>
          <m:e>
            <m:r>
              <w:rPr>
                <w:sz w:val="18"/>
              </w:rPr>
              <m:t>N</m:t>
            </m:r>
          </m:e>
          <m:sub>
            <m:r>
              <w:rPr>
                <w:sz w:val="18"/>
              </w:rPr>
              <m:t>t</m:t>
            </m:r>
          </m:sub>
          <m:sup>
            <m:r>
              <w:rPr>
                <w:sz w:val="18"/>
              </w:rPr>
              <m:rPr>
                <m:sty m:val="p"/>
              </m:rPr>
              <m:t>−</m:t>
            </m:r>
          </m:sup>
        </m:sSubSup>
        <m:r>
          <w:rPr>
            <w:sz w:val="18"/>
          </w:rPr>
          <m:rPr>
            <m:sty m:val="p"/>
          </m:rPr>
          <m:t>−</m:t>
        </m:r>
        <m:sSub>
          <m:e>
            <m:r>
              <w:rPr>
                <w:sz w:val="18"/>
              </w:rPr>
              <m:t>O</m:t>
            </m:r>
          </m:e>
          <m:sub>
            <m:r>
              <w:rPr>
                <w:sz w:val="18"/>
              </w:rPr>
              <m:t>t</m:t>
            </m:r>
          </m:sub>
        </m:sSub>
        <m:r>
          <w:rPr>
            <w:sz w:val="18"/>
          </w:rPr>
          <m:rPr>
            <m:sty m:val="p"/>
          </m:rPr>
          <m:t>−</m:t>
        </m:r>
        <m:sSubSup>
          <m:e>
            <m:r>
              <w:rPr>
                <w:sz w:val="18"/>
              </w:rPr>
              <m:t>C</m:t>
            </m:r>
          </m:e>
          <m:sub>
            <m:r>
              <w:rPr>
                <w:sz w:val="18"/>
              </w:rPr>
              <m:t>t</m:t>
            </m:r>
          </m:sub>
          <m:sup>
            <m:r>
              <w:rPr>
                <w:sz w:val="18"/>
              </w:rPr>
              <m:rPr>
                <m:sty m:val="p"/>
              </m:rPr>
              <m:t>−</m:t>
            </m:r>
          </m:sup>
        </m:sSubSup>
      </m:oMath>
    </w:p>
    <w:p>
      <w:pPr>
        <w:keepNext/>
        <w:spacing w:before="40" w:after="60"/>
      </w:pPr>
      <m:oMath>
        <m:sSub>
          <m:e>
            <m:r>
              <w:rPr>
                <w:sz w:val="18"/>
              </w:rPr>
              <m:t>D</m:t>
            </m:r>
          </m:e>
          <m:sub>
            <m:r>
              <w:rPr>
                <w:sz w:val="18"/>
              </w:rPr>
              <m:t>t</m:t>
            </m:r>
            <m:r>
              <w:rPr>
                <w:sz w:val="18"/>
              </w:rPr>
              <m:rPr>
                <m:sty m:val="p"/>
              </m:rPr>
              <m:t>+</m:t>
            </m:r>
            <m:r>
              <w:rPr>
                <w:sz w:val="18"/>
              </w:rPr>
              <m:t>1</m:t>
            </m:r>
          </m:sub>
        </m:sSub>
        <m:r>
          <w:rPr>
            <w:sz w:val="18"/>
          </w:rPr>
          <m:rPr>
            <m:sty m:val="p"/>
          </m:rPr>
          <m:t>=</m:t>
        </m:r>
        <m:sSubSup>
          <m:e>
            <m:r>
              <w:rPr>
                <w:sz w:val="18"/>
              </w:rPr>
              <m:t>D</m:t>
            </m:r>
          </m:e>
          <m:sub>
            <m:r>
              <w:rPr>
                <w:sz w:val="18"/>
              </w:rPr>
              <m:t>t</m:t>
            </m:r>
          </m:sub>
          <m:sup>
            <m:r>
              <w:rPr>
                <w:sz w:val="18"/>
              </w:rPr>
              <m:rPr>
                <m:sty m:val="p"/>
              </m:rPr>
              <m:t>r</m:t>
            </m:r>
            <m:r>
              <w:rPr>
                <w:sz w:val="18"/>
              </w:rPr>
              <m:rPr>
                <m:sty m:val="p"/>
              </m:rPr>
              <m:t>e</m:t>
            </m:r>
            <m:r>
              <w:rPr>
                <w:sz w:val="18"/>
              </w:rPr>
              <m:rPr>
                <m:sty m:val="p"/>
              </m:rPr>
              <m:t>m</m:t>
            </m:r>
          </m:sup>
        </m:sSubSup>
        <m:r>
          <w:rPr>
            <w:sz w:val="18"/>
          </w:rPr>
          <m:rPr>
            <m:sty m:val="p"/>
          </m:rPr>
          <m:t>+</m:t>
        </m:r>
        <m:r>
          <w:rPr>
            <w:sz w:val="18"/>
          </w:rPr>
          <m:t>Δ</m:t>
        </m:r>
        <m:sSubSup>
          <m:e>
            <m:r>
              <w:rPr>
                <w:sz w:val="18"/>
              </w:rPr>
              <m:t>D</m:t>
            </m:r>
          </m:e>
          <m:sub>
            <m:r>
              <w:rPr>
                <w:sz w:val="18"/>
              </w:rPr>
              <m:t>t</m:t>
            </m:r>
          </m:sub>
          <m:sup>
            <m:r>
              <w:rPr>
                <w:sz w:val="18"/>
              </w:rPr>
              <m:rPr>
                <m:sty m:val="p"/>
              </m:rPr>
              <m:t>−</m:t>
            </m:r>
          </m:sup>
        </m:sSubSup>
      </m:oMath>
    </w:p>
    <w:p>
      <w:pPr>
        <w:keepNext/>
        <w:spacing w:before="40" w:after="60"/>
      </w:pPr>
      <w:r>
        <w:rPr>
          <w:rFonts w:ascii="Lato" w:hAnsi="Lato"/>
          <w:color w:val="315B50"/>
          <w:sz w:val="16"/>
        </w:rPr>
        <w:t>FULL_BOUND solo con adopción expresa. O es porción documentada previamente reconocida del mismo déficit; C_minus es cancelación ejecutada de reserva para porción disjunta. Exigir O+C_minus &lt;= N_minus. Un límite negativo de incertidumbre no es automáticamente reversión física.</w:t>
      </w:r>
    </w:p>
    <w:p>
      <w:pPr>
        <w:keepNext/>
        <w:spacing w:before="40" w:after="60"/>
      </w:pPr>
      <w:r>
        <w:rPr>
          <w:rFonts w:ascii="Lato" w:hAnsi="Lato"/>
          <w:color w:val="315B50"/>
          <w:sz w:val="14"/>
        </w:rPr>
        <w:t>Base: F-R05a; F-R05b; F-03 | Libro: CarryForward!B:J; Settlement!I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Resultado negativo / perfil aplicable</w:t>
            </w:r>
          </w:p>
          <w:p>
            <w:pPr>
              <w:spacing w:before="40" w:after="40"/>
            </w:pPr>
            <m:oMath>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r>
                <w:rPr>
                  <w:sz w:val="16"/>
                  <w:color w:val="173E34"/>
                </w:rPr>
                <m:rPr>
                  <m:sty m:val="p"/>
                </m:rPr>
                <m:t>,</m:t>
              </m:r>
              <m:r>
                <w:rPr>
                  <w:sz w:val="16"/>
                  <w:color w:val="173E34"/>
                </w:rPr>
                <m:t> </m:t>
              </m:r>
              <m:sSubSup>
                <m:e>
                  <m:r>
                    <w:rPr>
                      <w:sz w:val="16"/>
                      <w:color w:val="173E34"/>
                    </w:rPr>
                    <m:t>N</m:t>
                  </m:r>
                </m:e>
                <m:sub>
                  <m:r>
                    <w:rPr>
                      <w:sz w:val="16"/>
                      <w:color w:val="173E34"/>
                    </w:rPr>
                    <m:t>t</m:t>
                  </m:r>
                </m:sub>
                <m:sup>
                  <m:r>
                    <w:rPr>
                      <w:sz w:val="16"/>
                      <w:color w:val="173E34"/>
                    </w:rPr>
                    <m:rPr>
                      <m:sty m:val="p"/>
                    </m:rPr>
                    <m: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Superposición ya reconocida / cancelación ejecutada</w:t>
            </w:r>
          </w:p>
          <w:p>
            <w:pPr>
              <w:spacing w:before="40" w:after="40"/>
            </w:pPr>
            <m:oMath>
              <m:sSub>
                <m:e>
                  <m:r>
                    <w:rPr>
                      <w:sz w:val="16"/>
                      <w:color w:val="173E34"/>
                    </w:rPr>
                    <m:t>O</m:t>
                  </m:r>
                </m:e>
                <m:sub>
                  <m:r>
                    <w:rPr>
                      <w:sz w:val="16"/>
                      <w:color w:val="173E34"/>
                    </w:rPr>
                    <m:t>t</m:t>
                  </m:r>
                </m:sub>
              </m:sSub>
              <m:r>
                <w:rPr>
                  <w:sz w:val="16"/>
                  <w:color w:val="173E34"/>
                </w:rPr>
                <m:rPr>
                  <m:sty m:val="p"/>
                </m:rPr>
                <m:t>,</m:t>
              </m:r>
              <m:r>
                <w:rPr>
                  <w:sz w:val="16"/>
                  <w:color w:val="173E34"/>
                </w:rPr>
                <m:t> </m:t>
              </m:r>
              <m:sSubSup>
                <m:e>
                  <m:r>
                    <w:rPr>
                      <w:sz w:val="16"/>
                      <w:color w:val="173E34"/>
                    </w:rPr>
                    <m:t>C</m:t>
                  </m:r>
                </m:e>
                <m:sub>
                  <m:r>
                    <w:rPr>
                      <w:sz w:val="16"/>
                      <w:color w:val="173E34"/>
                    </w:rPr>
                    <m:t>t</m:t>
                  </m:r>
                </m:sub>
                <m:sup>
                  <m:r>
                    <w:rPr>
                      <w:sz w:val="16"/>
                      <w:color w:val="173E34"/>
                    </w:rPr>
                    <m:rPr>
                      <m:sty m:val="p"/>
                    </m:rPr>
                    <m: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Déficit nuevo, saldo final y enlace al siguiente período</w:t>
            </w:r>
          </w:p>
          <w:p>
            <w:pPr>
              <w:spacing w:before="40" w:after="40"/>
            </w:pPr>
            <m:oMath>
              <m:r>
                <w:rPr>
                  <w:sz w:val="16"/>
                  <w:color w:val="173E34"/>
                </w:rPr>
                <m:t>Δ</m:t>
              </m:r>
              <m:sSubSup>
                <m:e>
                  <m:r>
                    <w:rPr>
                      <w:sz w:val="16"/>
                      <w:color w:val="173E34"/>
                    </w:rPr>
                    <m:t>D</m:t>
                  </m:r>
                </m:e>
                <m:sub>
                  <m:r>
                    <w:rPr>
                      <w:sz w:val="16"/>
                      <w:color w:val="173E34"/>
                    </w:rPr>
                    <m:t>t</m:t>
                  </m:r>
                </m:sub>
                <m:sup>
                  <m:r>
                    <w:rPr>
                      <w:sz w:val="16"/>
                      <w:color w:val="173E34"/>
                    </w:rPr>
                    <m:rPr>
                      <m:sty m:val="p"/>
                    </m:rPr>
                    <m:t>−</m:t>
                  </m:r>
                </m:sup>
              </m:sSubSup>
              <m:r>
                <w:rPr>
                  <w:sz w:val="16"/>
                  <w:color w:val="173E34"/>
                </w:rPr>
                <m:rPr>
                  <m:sty m:val="p"/>
                </m:rPr>
                <m:t>,</m:t>
              </m:r>
              <m:r>
                <w:rPr>
                  <w:sz w:val="16"/>
                  <w:color w:val="173E34"/>
                </w:rPr>
                <m:t> </m:t>
              </m:r>
              <m:sSub>
                <m:e>
                  <m:r>
                    <w:rPr>
                      <w:sz w:val="16"/>
                      <w:color w:val="173E34"/>
                    </w:rPr>
                    <m:t>D</m:t>
                  </m:r>
                </m:e>
                <m:sub>
                  <m:r>
                    <w:rPr>
                      <w:sz w:val="16"/>
                      <w:color w:val="173E34"/>
                    </w:rPr>
                    <m:t>t</m:t>
                  </m:r>
                  <m:r>
                    <w:rPr>
                      <w:sz w:val="16"/>
                      <w:color w:val="173E34"/>
                    </w:rPr>
                    <m:rPr>
                      <m:sty m:val="p"/>
                    </m:rPr>
                    <m:t>+</m:t>
                  </m:r>
                  <m:r>
                    <w:rPr>
                      <w:sz w:val="16"/>
                      <w:color w:val="173E34"/>
                    </w:rPr>
                    <m:t>1</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8-1-ES-1-1"/>
                <w:tag w:val="sec_08-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1-ES-1-2"/>
                <w:tag w:val="sec_08-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1-ES-1-3"/>
                <w:tag w:val="sec_08-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1-ES-2-1"/>
                <w:tag w:val="sec_08-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1-ES-2-2"/>
                <w:tag w:val="sec_08-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1-ES-2-3"/>
                <w:tag w:val="sec_08-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1-ES-3-1"/>
                <w:tag w:val="sec_08-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1-ES-3-2"/>
                <w:tag w:val="sec_08-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1-ES-3-3"/>
                <w:tag w:val="sec_08-1-ES-3-3"/>
                <w:text/>
              </w:sdtPr>
              <w:sdtContent>
                <w:r>
                  <w:rPr>
                    <w:rFonts w:ascii="Lato" w:hAnsi="Lato"/>
                    <w:sz w:val="18"/>
                    <w:color w:val="62716E"/>
                  </w:rPr>
                  <w:t>[Completar]</w:t>
                </w:r>
              </w:sdtContent>
            </w:sdt>
          </w:p>
        </w:tc>
      </w:tr>
    </w:tbl>
    <w:p>
      <w:pPr>
        <w:spacing w:after="0"/>
      </w:pPr>
    </w:p>
    <w:p>
      <w:pPr>
        <w:pStyle w:val="Heading2"/>
        <w:keepNext/>
      </w:pPr>
      <w:r>
        <w:t>Unidades y autorizaciones</w:t>
      </w:r>
    </w:p>
    <w:p>
      <w:pPr>
        <w:spacing w:after="80"/>
      </w:pPr>
      <w:r>
        <w:rPr>
          <w:rFonts w:ascii="Lato" w:hAnsi="Lato"/>
          <w:b w:val="0"/>
          <w:color w:val="62716E"/>
          <w:sz w:val="18"/>
        </w:rPr>
        <w:t>Usar NVEU solo para la categoría autorizada aplicable. Indicar denominación e incremento aprobados; de lo contrario conservar cantidades físicas. El cálculo candidato no es emisión. Distinguir reserva requerida, financiada, cancelada, residuo de denominación y otras unidades de carbono externas.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8-2-ES"/>
                <w:tag w:val="sec_08-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9" w:name="sec_09"/>
      <w:pPr>
        <w:pStyle w:val="Heading1"/>
        <w:keepNext/>
        <w:pageBreakBefore/>
      </w:pPr>
      <w:r>
        <w:t>09  Comparación ex ante a ex post</w:t>
      </w:r>
      <w:bookmarkEnd w:id="3009"/>
    </w:p>
    <w:p>
      <w:pPr>
        <w:spacing w:after="120"/>
      </w:pPr>
      <w:r>
        <w:rPr>
          <w:rFonts w:ascii="Lato" w:hAnsi="Lato"/>
          <w:b w:val="0"/>
          <w:color w:val="62716E"/>
          <w:sz w:val="16"/>
        </w:rPr>
        <w:t>[1] Referencia: P-13; P-14; S-18; M04.5; F-R01</w:t>
      </w:r>
    </w:p>
    <w:p>
      <w:pPr>
        <w:pStyle w:val="Heading2"/>
        <w:keepNext/>
      </w:pPr>
      <w:r>
        <w:t>Comparación equivalente</w:t>
      </w:r>
    </w:p>
    <w:p>
      <w:pPr>
        <w:keepNext/>
        <w:spacing w:before="40" w:after="60"/>
      </w:pPr>
      <w:r>
        <w:rPr>
          <w:rFonts w:ascii="Lato" w:hAnsi="Lato"/>
          <w:color w:val="315B50"/>
          <w:sz w:val="18"/>
        </w:rPr>
        <w:t>EXPOST-T16 / Notación del cálculo</w:t>
      </w:r>
    </w:p>
    <w:p>
      <w:pPr>
        <w:keepNext/>
        <w:spacing w:before="40" w:after="60"/>
      </w:pPr>
      <m:oMath>
        <m:r>
          <w:rPr>
            <w:sz w:val="18"/>
          </w:rPr>
          <m:t>Δ</m:t>
        </m:r>
        <m:sSub>
          <m:e>
            <m:r>
              <w:rPr>
                <w:sz w:val="18"/>
              </w:rPr>
              <m:t>Q</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P</m:t>
            </m:r>
          </m:sup>
        </m:sSubSup>
        <m:r>
          <w:rPr>
            <w:sz w:val="18"/>
          </w:rPr>
          <m:rPr>
            <m:sty m:val="p"/>
          </m:rPr>
          <m:t>−</m:t>
        </m:r>
        <m:sSubSup>
          <m:e>
            <m:r>
              <w:rPr>
                <w:sz w:val="18"/>
              </w:rPr>
              <m:t>Q</m:t>
            </m:r>
          </m:e>
          <m:sub>
            <m:r>
              <w:rPr>
                <w:sz w:val="18"/>
              </w:rPr>
              <m:t>t</m:t>
            </m:r>
          </m:sub>
          <m:sup>
            <m:r>
              <w:rPr>
                <w:sz w:val="18"/>
              </w:rPr>
              <m:rPr>
                <m:sty m:val="p"/>
              </m:rPr>
              <m:t>E</m:t>
            </m:r>
            <m:r>
              <w:rPr>
                <w:sz w:val="18"/>
              </w:rPr>
              <m:rPr>
                <m:sty m:val="p"/>
              </m:rPr>
              <m:t>A</m:t>
            </m:r>
          </m:sup>
        </m:sSubSup>
      </m:oMath>
    </w:p>
    <w:p>
      <w:pPr>
        <w:keepNext/>
        <w:spacing w:before="40" w:after="60"/>
      </w:pPr>
      <m:oMath>
        <m:r>
          <w:rPr>
            <w:sz w:val="18"/>
          </w:rPr>
          <m:t>Δ</m:t>
        </m:r>
        <m:sSub>
          <m:e>
            <m:r>
              <w:rPr>
                <w:sz w:val="18"/>
              </w:rPr>
              <m:t>Q</m:t>
            </m:r>
          </m:e>
          <m:sub>
            <m:r>
              <w:rPr>
                <w:sz w:val="18"/>
              </w:rPr>
              <m:t>t</m:t>
            </m:r>
          </m:sub>
        </m:sSub>
        <m:r>
          <w:rPr>
            <w:sz w:val="18"/>
          </w:rPr>
          <m:rPr>
            <m:sty m:val="p"/>
          </m:rPr>
          <m:t>=</m:t>
        </m:r>
        <m:r>
          <w:rPr>
            <w:sz w:val="18"/>
          </w:rPr>
          <m:t>Δ</m:t>
        </m:r>
        <m:sSub>
          <m:e>
            <m:r>
              <w:rPr>
                <w:sz w:val="18"/>
              </w:rPr>
              <m:t>N</m:t>
            </m:r>
          </m:e>
          <m:sub>
            <m:r>
              <w:rPr>
                <w:sz w:val="18"/>
              </w:rPr>
              <m:rPr>
                <m:sty m:val="p"/>
              </m:rPr>
              <m:t>B</m:t>
            </m:r>
            <m:r>
              <w:rPr>
                <w:sz w:val="18"/>
              </w:rPr>
              <m:rPr>
                <m:sty m:val="p"/>
              </m:rPr>
              <m:t>L</m:t>
            </m:r>
            <m:r>
              <w:rPr>
                <w:sz w:val="18"/>
              </w:rPr>
              <m:rPr>
                <m:sty m:val="p"/>
              </m:rPr>
              <m:t>,</m:t>
            </m:r>
            <m:r>
              <w:rPr>
                <w:sz w:val="18"/>
              </w:rPr>
              <m:t>t</m:t>
            </m:r>
          </m:sub>
        </m:sSub>
        <m:r>
          <w:rPr>
            <w:sz w:val="18"/>
          </w:rPr>
          <m:rPr>
            <m:sty m:val="p"/>
          </m:rPr>
          <m:t>−</m:t>
        </m:r>
        <m:r>
          <w:rPr>
            <w:sz w:val="18"/>
          </w:rPr>
          <m:t>Δ</m:t>
        </m:r>
        <m:sSub>
          <m:e>
            <m:r>
              <w:rPr>
                <w:sz w:val="18"/>
              </w:rPr>
              <m:t>N</m:t>
            </m:r>
          </m:e>
          <m:sub>
            <m:r>
              <w:rPr>
                <w:sz w:val="18"/>
              </w:rPr>
              <m:rPr>
                <m:sty m:val="p"/>
              </m:rPr>
              <m:t>P</m:t>
            </m:r>
            <m:r>
              <w:rPr>
                <w:sz w:val="18"/>
              </w:rPr>
              <m:rPr>
                <m:sty m:val="p"/>
              </m:rPr>
              <m:t>J</m:t>
            </m:r>
            <m:r>
              <w:rPr>
                <w:sz w:val="18"/>
              </w:rPr>
              <m:rPr>
                <m:sty m:val="p"/>
              </m:rPr>
              <m:t>,</m:t>
            </m:r>
            <m:r>
              <w:rPr>
                <w:sz w:val="18"/>
              </w:rPr>
              <m:t>t</m:t>
            </m:r>
          </m:sub>
        </m:sSub>
        <m:r>
          <w:rPr>
            <w:sz w:val="18"/>
          </w:rPr>
          <m:rPr>
            <m:sty m:val="p"/>
          </m:rPr>
          <m:t>−</m:t>
        </m:r>
        <m:r>
          <w:rPr>
            <w:sz w:val="18"/>
          </w:rPr>
          <m:t>Δ</m:t>
        </m:r>
        <m:sSub>
          <m:e>
            <m:r>
              <w:rPr>
                <w:sz w:val="18"/>
              </w:rPr>
              <m:t>L</m:t>
            </m:r>
          </m:e>
          <m:sub>
            <m:r>
              <w:rPr>
                <w:sz w:val="18"/>
              </w:rPr>
              <m:t>t</m:t>
            </m:r>
          </m:sub>
        </m:sSub>
      </m:oMath>
    </w:p>
    <w:p>
      <w:pPr>
        <w:keepNext/>
        <w:spacing w:before="40" w:after="60"/>
      </w:pPr>
      <w:r>
        <w:rPr>
          <w:rFonts w:ascii="Lato" w:hAnsi="Lato"/>
          <w:color w:val="315B50"/>
          <w:sz w:val="16"/>
        </w:rPr>
        <w:t>Todas las diferencias son EP menos EA congelado sobre igual soporte antes de incertidumbre y reserva. r = deltaQ - (deltaBL - deltaPJ - deltaL) es residual aritmético. Diferencia de pronóstico no equivale a mitigación, causalidad o hallazgo de materialidad.</w:t>
      </w:r>
    </w:p>
    <w:p>
      <w:pPr>
        <w:keepNext/>
        <w:spacing w:before="40" w:after="60"/>
      </w:pPr>
      <w:r>
        <w:rPr>
          <w:rFonts w:ascii="Lato" w:hAnsi="Lato"/>
          <w:color w:val="315B50"/>
          <w:sz w:val="14"/>
        </w:rPr>
        <w:t>Base: M04.5; P-13; identidad de comparación | Libro: Comparison!D:J</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Período / mismo alcance / misma unidad</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Ex ante fijado / ex post reportado</w:t>
            </w:r>
          </w:p>
          <w:p>
            <w:pPr>
              <w:spacing w:before="40" w:after="40"/>
            </w:pPr>
            <m:oMath>
              <m:sSubSup>
                <m:e>
                  <m:r>
                    <w:rPr>
                      <w:sz w:val="16"/>
                      <w:color w:val="173E34"/>
                    </w:rPr>
                    <m:t>Q</m:t>
                  </m:r>
                </m:e>
                <m:sub>
                  <m:r>
                    <w:rPr>
                      <w:sz w:val="16"/>
                      <w:color w:val="173E34"/>
                    </w:rPr>
                    <m:t>t</m:t>
                  </m:r>
                </m:sub>
                <m:sup>
                  <m:r>
                    <w:rPr>
                      <w:sz w:val="16"/>
                      <w:color w:val="173E34"/>
                    </w:rPr>
                    <m:rPr>
                      <m:sty m:val="p"/>
                    </m:rPr>
                    <m:t>E</m:t>
                  </m:r>
                  <m:r>
                    <w:rPr>
                      <w:sz w:val="16"/>
                      <w:color w:val="173E34"/>
                    </w:rPr>
                    <m:rPr>
                      <m:sty m:val="p"/>
                    </m:rPr>
                    <m:t>A</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E</m:t>
                  </m:r>
                  <m:r>
                    <w:rPr>
                      <w:sz w:val="16"/>
                      <w:color w:val="173E34"/>
                    </w:rPr>
                    <m:rPr>
                      <m:sty m:val="p"/>
                    </m:rPr>
                    <m:t>P</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Diferencia y explicación por componente</w:t>
            </w:r>
          </w:p>
          <w:p>
            <w:pPr>
              <w:spacing w:before="40" w:after="40"/>
            </w:pPr>
            <m:oMath>
              <m:r>
                <w:rPr>
                  <w:sz w:val="16"/>
                  <w:color w:val="173E34"/>
                </w:rPr>
                <m:t>Δ</m:t>
              </m:r>
              <m:sSub>
                <m:e>
                  <m:r>
                    <w:rPr>
                      <w:sz w:val="16"/>
                      <w:color w:val="173E34"/>
                    </w:rPr>
                    <m:t>Q</m:t>
                  </m:r>
                </m:e>
                <m:sub>
                  <m:r>
                    <w:rPr>
                      <w:sz w:val="16"/>
                      <w:color w:val="173E34"/>
                    </w:rPr>
                    <m:t>t</m:t>
                  </m:r>
                </m:sub>
              </m:sSub>
              <m:r>
                <w:rPr>
                  <w:sz w:val="16"/>
                  <w:color w:val="173E34"/>
                </w:rPr>
                <m:rPr>
                  <m:sty m:val="p"/>
                </m:rPr>
                <m:t>,</m:t>
              </m:r>
              <m:r>
                <w:rPr>
                  <w:sz w:val="16"/>
                  <w:color w:val="173E34"/>
                </w:rPr>
                <m:t> </m:t>
              </m:r>
              <m:sSub>
                <m:e>
                  <m:r>
                    <w:rPr>
                      <w:sz w:val="16"/>
                      <w:color w:val="173E34"/>
                    </w:rPr>
                    <m:t>r</m:t>
                  </m:r>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9-0-ES-1-1"/>
                <w:tag w:val="sec_09-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0-ES-1-2"/>
                <w:tag w:val="sec_09-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0-ES-1-3"/>
                <w:tag w:val="sec_09-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9-0-ES-2-1"/>
                <w:tag w:val="sec_09-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9-0-ES-2-2"/>
                <w:tag w:val="sec_09-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9-0-ES-2-3"/>
                <w:tag w:val="sec_09-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9-0-ES-3-1"/>
                <w:tag w:val="sec_09-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0-ES-3-2"/>
                <w:tag w:val="sec_09-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0-ES-3-3"/>
                <w:tag w:val="sec_09-0-ES-3-3"/>
                <w:text/>
              </w:sdtPr>
              <w:sdtContent>
                <w:r>
                  <w:rPr>
                    <w:rFonts w:ascii="Lato" w:hAnsi="Lato"/>
                    <w:sz w:val="18"/>
                    <w:color w:val="62716E"/>
                  </w:rPr>
                  <w:t>[Completar]</w:t>
                </w:r>
              </w:sdtContent>
            </w:sdt>
          </w:p>
        </w:tc>
      </w:tr>
    </w:tbl>
    <w:p>
      <w:pPr>
        <w:spacing w:after="0"/>
      </w:pPr>
    </w:p>
    <w:p>
      <w:pPr>
        <w:pStyle w:val="Heading2"/>
        <w:keepNext/>
      </w:pPr>
      <w:r>
        <w:t>Explicar la diferencia sin forzar coincidencia</w:t>
      </w:r>
    </w:p>
    <w:p>
      <w:pPr>
        <w:spacing w:after="80"/>
      </w:pPr>
      <w:r>
        <w:rPr>
          <w:rFonts w:ascii="Lato" w:hAnsi="Lato"/>
          <w:b w:val="0"/>
          <w:color w:val="62716E"/>
          <w:sz w:val="18"/>
        </w:rPr>
        <w:t>Separar desempeño real, actividad revisada, factores de carbono, armonización espacial o temporal, incertidumbre, reserva y pasivos previos. Conservar proyección original aunque se requiera comparación armonizada. Una identidad aritmética no demuestra que un cambio metodológico esté justificado.</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9-1-ES"/>
                <w:tag w:val="sec_09-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Distribuciones a subperíodos</w:t>
      </w:r>
    </w:p>
    <w:p>
      <w:pPr>
        <w:keepNext/>
        <w:spacing w:before="40" w:after="60"/>
      </w:pPr>
      <w:r>
        <w:rPr>
          <w:rFonts w:ascii="Lato" w:hAnsi="Lato"/>
          <w:color w:val="315B50"/>
          <w:sz w:val="18"/>
        </w:rPr>
        <w:t>EXPOST-T17 / Notación del cálculo</w:t>
      </w:r>
    </w:p>
    <w:p>
      <w:pPr>
        <w:keepNext/>
        <w:spacing w:before="40" w:after="60"/>
      </w:pPr>
      <m:oMath>
        <m:sSub>
          <m:e>
            <m:r>
              <w:rPr>
                <w:sz w:val="18"/>
              </w:rPr>
              <m:t>Q</m:t>
            </m:r>
          </m:e>
          <m:sub>
            <m:r>
              <w:rPr>
                <w:sz w:val="18"/>
              </w:rPr>
              <m:t>t</m:t>
            </m:r>
            <m:r>
              <w:rPr>
                <w:sz w:val="18"/>
              </w:rPr>
              <m:rPr>
                <m:sty m:val="p"/>
              </m:rPr>
              <m:t>,</m:t>
            </m:r>
            <m:r>
              <w:rPr>
                <w:sz w:val="18"/>
              </w:rPr>
              <m:t>m</m:t>
            </m:r>
          </m:sub>
        </m:sSub>
        <m:r>
          <w:rPr>
            <w:sz w:val="18"/>
          </w:rPr>
          <m:rPr>
            <m:sty m:val="p"/>
          </m:rPr>
          <m:t>=</m:t>
        </m:r>
        <m:sSub>
          <m:e>
            <m:r>
              <w:rPr>
                <w:sz w:val="18"/>
              </w:rPr>
              <m:t>w</m:t>
            </m:r>
          </m:e>
          <m:sub>
            <m:r>
              <w:rPr>
                <w:sz w:val="18"/>
              </w:rPr>
              <m:t>t</m:t>
            </m:r>
            <m:r>
              <w:rPr>
                <w:sz w:val="18"/>
              </w:rPr>
              <m:rPr>
                <m:sty m:val="p"/>
              </m:rPr>
              <m:t>,</m:t>
            </m:r>
            <m:r>
              <w:rPr>
                <w:sz w:val="18"/>
              </w:rPr>
              <m:t>m</m:t>
            </m:r>
          </m:sub>
        </m:sSub>
        <m:sSub>
          <m:e>
            <m:r>
              <w:rPr>
                <w:sz w:val="18"/>
              </w:rPr>
              <m:t>Q</m:t>
            </m:r>
          </m:e>
          <m:sub>
            <m:r>
              <w:rPr>
                <w:sz w:val="18"/>
              </w:rPr>
              <m:t>t</m:t>
            </m:r>
          </m:sub>
        </m:sSub>
        <m:r>
          <w:rPr>
            <w:sz w:val="18"/>
          </w:rPr>
          <m:rPr>
            <m:sty m:val="p"/>
          </m:rPr>
          <m:t>,</m:t>
        </m:r>
        <m:r>
          <w:rPr>
            <w:sz w:val="18"/>
          </w:rPr>
          <m:t> </m:t>
        </m:r>
        <m:sSub>
          <m:e>
            <m:r>
              <w:rPr>
                <w:sz w:val="18"/>
              </w:rPr>
              <m:t>w</m:t>
            </m:r>
          </m:e>
          <m:sub>
            <m:r>
              <w:rPr>
                <w:sz w:val="18"/>
              </w:rPr>
              <m:t>t</m:t>
            </m:r>
            <m:r>
              <w:rPr>
                <w:sz w:val="18"/>
              </w:rPr>
              <m:rPr>
                <m:sty m:val="p"/>
              </m:rPr>
              <m:t>,</m:t>
            </m:r>
            <m:r>
              <w:rPr>
                <w:sz w:val="18"/>
              </w:rPr>
              <m:t>m</m:t>
            </m:r>
          </m:sub>
        </m:sSub>
        <m:r>
          <w:rPr>
            <w:sz w:val="18"/>
          </w:rPr>
          <m:rPr>
            <m:sty m:val="p"/>
          </m:rPr>
          <m:t>≥</m:t>
        </m:r>
        <m:r>
          <w:rPr>
            <w:sz w:val="18"/>
          </w:rPr>
          <m:t>0</m:t>
        </m:r>
        <m:r>
          <w:rPr>
            <w:sz w:val="18"/>
          </w:rPr>
          <m:rPr>
            <m:sty m:val="p"/>
          </m:rPr>
          <m:t>,</m:t>
        </m:r>
        <m:r>
          <w:rPr>
            <w:sz w:val="18"/>
          </w:rPr>
          <m:t> </m:t>
        </m:r>
        <m:nary>
          <m:naryPr>
            <m:chr m:val="∑"/>
            <m:limLoc m:val="undOvr"/>
            <m:subHide m:val="off"/>
            <m:supHide m:val="on"/>
          </m:naryPr>
          <m:sub>
            <m:r>
              <w:rPr>
                <w:sz w:val="18"/>
              </w:rPr>
              <m:t>m</m:t>
            </m:r>
          </m:sub>
          <m:sup>
            <m:r>
              <w:rPr>
                <w:sz w:val="18"/>
              </w:rPr>
              <m:t>​</m:t>
            </m:r>
          </m:sup>
          <m:e>
            <m:sSub>
              <m:e>
                <m:r>
                  <w:rPr>
                    <w:sz w:val="18"/>
                  </w:rPr>
                  <m:t>w</m:t>
                </m:r>
              </m:e>
              <m:sub>
                <m:r>
                  <w:rPr>
                    <w:sz w:val="18"/>
                  </w:rPr>
                  <m:t>t</m:t>
                </m:r>
                <m:r>
                  <w:rPr>
                    <w:sz w:val="18"/>
                  </w:rPr>
                  <m:rPr>
                    <m:sty m:val="p"/>
                  </m:rPr>
                  <m:t>,</m:t>
                </m:r>
                <m:r>
                  <w:rPr>
                    <w:sz w:val="18"/>
                  </w:rPr>
                  <m:t>m</m:t>
                </m:r>
              </m:sub>
            </m:sSub>
          </m:e>
        </m:nary>
        <m:r>
          <w:rPr>
            <w:sz w:val="18"/>
          </w:rPr>
          <m:rPr>
            <m:sty m:val="p"/>
          </m:rPr>
          <m:t>=</m:t>
        </m:r>
        <m:r>
          <w:rPr>
            <w:sz w:val="18"/>
          </w:rPr>
          <m:t>1</m:t>
        </m:r>
      </m:oMath>
    </w:p>
    <w:p>
      <w:pPr>
        <w:keepNext/>
        <w:spacing w:before="40" w:after="60"/>
      </w:pPr>
      <m:oMath>
        <m:sSubSup>
          <m:e>
            <m:r>
              <w:rPr>
                <w:sz w:val="18"/>
              </w:rPr>
              <m:t>r</m:t>
            </m:r>
          </m:e>
          <m:sub>
            <m:r>
              <w:rPr>
                <w:sz w:val="18"/>
              </w:rPr>
              <m:t>t</m:t>
            </m:r>
          </m:sub>
          <m:sup>
            <m:r>
              <w:rPr>
                <w:sz w:val="18"/>
              </w:rPr>
              <m:rPr>
                <m:sty m:val="p"/>
              </m:rPr>
              <m:t>a</m:t>
            </m:r>
            <m:r>
              <w:rPr>
                <w:sz w:val="18"/>
              </w:rPr>
              <m:rPr>
                <m:sty m:val="p"/>
              </m:rPr>
              <m:t>l</m:t>
            </m:r>
            <m:r>
              <w:rPr>
                <w:sz w:val="18"/>
              </w:rPr>
              <m:rPr>
                <m:sty m:val="p"/>
              </m:rPr>
              <m:t>l</m:t>
            </m:r>
            <m:r>
              <w:rPr>
                <w:sz w:val="18"/>
              </w:rPr>
              <m:rPr>
                <m:sty m:val="p"/>
              </m:rPr>
              <m:t>o</m:t>
            </m:r>
            <m:r>
              <w:rPr>
                <w:sz w:val="18"/>
              </w:rPr>
              <m:rPr>
                <m:sty m:val="p"/>
              </m:rPr>
              <m:t>c</m:t>
            </m:r>
          </m:sup>
        </m:sSubSup>
        <m:r>
          <w:rPr>
            <w:sz w:val="18"/>
          </w:rPr>
          <m:rPr>
            <m:sty m:val="p"/>
          </m:rPr>
          <m:t>=</m:t>
        </m:r>
        <m:nary>
          <m:naryPr>
            <m:chr m:val="∑"/>
            <m:limLoc m:val="undOvr"/>
            <m:subHide m:val="off"/>
            <m:supHide m:val="on"/>
          </m:naryPr>
          <m:sub>
            <m:r>
              <w:rPr>
                <w:sz w:val="18"/>
              </w:rPr>
              <m:t>m</m:t>
            </m:r>
          </m:sub>
          <m:sup>
            <m:r>
              <w:rPr>
                <w:sz w:val="18"/>
              </w:rPr>
              <m:t>​</m:t>
            </m:r>
          </m:sup>
          <m:e>
            <m:sSub>
              <m:e>
                <m:r>
                  <w:rPr>
                    <w:sz w:val="18"/>
                  </w:rPr>
                  <m:t>Q</m:t>
                </m:r>
              </m:e>
              <m:sub>
                <m:r>
                  <w:rPr>
                    <w:sz w:val="18"/>
                  </w:rPr>
                  <m:t>t</m:t>
                </m:r>
                <m:r>
                  <w:rPr>
                    <w:sz w:val="18"/>
                  </w:rPr>
                  <m:rPr>
                    <m:sty m:val="p"/>
                  </m:rPr>
                  <m:t>,</m:t>
                </m:r>
                <m:r>
                  <w:rPr>
                    <w:sz w:val="18"/>
                  </w:rPr>
                  <m:t>m</m:t>
                </m:r>
              </m:sub>
            </m:sSub>
          </m:e>
        </m:nary>
        <m:r>
          <w:rPr>
            <w:sz w:val="18"/>
          </w:rPr>
          <m:rPr>
            <m:sty m:val="p"/>
          </m:rPr>
          <m:t>−</m:t>
        </m:r>
        <m:sSub>
          <m:e>
            <m:r>
              <w:rPr>
                <w:sz w:val="18"/>
              </w:rPr>
              <m:t>Q</m:t>
            </m:r>
          </m:e>
          <m:sub>
            <m:r>
              <w:rPr>
                <w:sz w:val="18"/>
              </w:rPr>
              <m:t>t</m:t>
            </m:r>
          </m:sub>
        </m:sSub>
      </m:oMath>
    </w:p>
    <w:p>
      <w:pPr>
        <w:keepNext/>
        <w:spacing w:before="40" w:after="60"/>
      </w:pPr>
      <w:r>
        <w:rPr>
          <w:rFonts w:ascii="Lato" w:hAnsi="Lato"/>
          <w:color w:val="315B50"/>
          <w:sz w:val="16"/>
        </w:rPr>
        <w:t>m es subintervalo de reporte, no mes medido automáticamente. Usar igual padre y base para todos los pesos. No sumar total padre con sus hijos asignados. Conservar signos negativos y explicar asignación con duraciones desiguales.</w:t>
      </w:r>
    </w:p>
    <w:p>
      <w:pPr>
        <w:keepNext/>
        <w:spacing w:before="40" w:after="60"/>
      </w:pPr>
      <w:r>
        <w:rPr>
          <w:rFonts w:ascii="Lato" w:hAnsi="Lato"/>
          <w:color w:val="315B50"/>
          <w:sz w:val="14"/>
        </w:rPr>
        <w:t>Base: F-R01; identidad de asignación | Libro: Allocation!C:I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Período matriz / estado verificado o reportado</w:t>
            </w:r>
          </w:p>
          <w:p>
            <w:pPr>
              <w:spacing w:before="40" w:after="40"/>
            </w:pPr>
            <m:oMath>
              <m:r>
                <w:rPr>
                  <w:sz w:val="16"/>
                  <w:color w:val="173E34"/>
                </w:rPr>
                <m:t>t</m:t>
              </m:r>
              <m:r>
                <w:rPr>
                  <w:sz w:val="16"/>
                  <w:color w:val="173E34"/>
                </w:rPr>
                <m:rPr>
                  <m:sty m:val="p"/>
                </m:rPr>
                <m:t>,</m:t>
              </m:r>
              <m:r>
                <w:rPr>
                  <w:sz w:val="16"/>
                  <w:color w:val="173E34"/>
                </w:rPr>
                <m:t> </m:t>
              </m:r>
              <m:r>
                <w:rPr>
                  <w:sz w:val="16"/>
                  <w:color w:val="173E34"/>
                </w:rPr>
                <m:t>m</m:t>
              </m:r>
            </m:oMath>
          </w:p>
        </w:tc>
        <w:tc>
          <w:tcPr>
            <w:tcW w:type="dxa" w:w="3250"/>
            <w:tcMar>
              <w:top w:w="90" w:type="dxa"/>
              <w:bottom w:w="90" w:type="dxa"/>
              <w:left w:w="100" w:type="dxa"/>
              <w:right w:w="100" w:type="dxa"/>
            </w:tcMar>
            <w:vAlign w:val="center"/>
            <w:shd w:fill="E6F0EB"/>
          </w:tcPr>
          <w:p>
            <w:r>
              <w:rPr>
                <w:rFonts w:ascii="Lato" w:hAnsi="Lato"/>
                <w:b/>
                <w:color w:val="173E34"/>
                <w:sz w:val="17"/>
              </w:rPr>
              <w:t>Ponderaciones y justificación</w:t>
            </w:r>
          </w:p>
          <w:p>
            <w:pPr>
              <w:spacing w:before="40" w:after="40"/>
            </w:pPr>
            <m:oMath>
              <m:sSub>
                <m:e>
                  <m:r>
                    <w:rPr>
                      <w:sz w:val="16"/>
                      <w:color w:val="173E34"/>
                    </w:rPr>
                    <m:t>w</m:t>
                  </m:r>
                </m:e>
                <m:sub>
                  <m:r>
                    <w:rPr>
                      <w:sz w:val="16"/>
                      <w:color w:val="173E34"/>
                    </w:rPr>
                    <m:t>t</m:t>
                  </m:r>
                  <m:r>
                    <w:rPr>
                      <w:sz w:val="16"/>
                      <w:color w:val="173E34"/>
                    </w:rPr>
                    <m:rPr>
                      <m:sty m:val="p"/>
                    </m:rPr>
                    <m:t>,</m:t>
                  </m:r>
                  <m:r>
                    <w:rPr>
                      <w:sz w:val="16"/>
                      <w:color w:val="173E34"/>
                    </w:rPr>
                    <m:t>m</m:t>
                  </m:r>
                </m:sub>
              </m:sSub>
              <m:r>
                <w:rPr>
                  <w:sz w:val="16"/>
                  <w:color w:val="173E34"/>
                </w:rPr>
                <m:rPr>
                  <m:sty m:val="p"/>
                </m:rPr>
                <m:t>,</m:t>
              </m:r>
              <m:r>
                <w:rPr>
                  <w:sz w:val="16"/>
                  <w:color w:val="173E34"/>
                </w:rPr>
                <m:t> </m:t>
              </m:r>
              <m:sSub>
                <m:e>
                  <m:r>
                    <w:rPr>
                      <w:sz w:val="16"/>
                      <w:color w:val="173E34"/>
                    </w:rPr>
                    <m:t>Q</m:t>
                  </m:r>
                </m:e>
                <m:sub>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Cierre / declaraciones no superpuestas</w:t>
            </w:r>
          </w:p>
          <w:p>
            <w:pPr>
              <w:spacing w:before="40" w:after="40"/>
            </w:pPr>
            <m:oMath>
              <m:sSub>
                <m:e>
                  <m:r>
                    <w:rPr>
                      <w:sz w:val="16"/>
                      <w:color w:val="173E34"/>
                    </w:rPr>
                    <m:t>Q</m:t>
                  </m:r>
                </m:e>
                <m:sub>
                  <m:r>
                    <w:rPr>
                      <w:sz w:val="16"/>
                      <w:color w:val="173E34"/>
                    </w:rPr>
                    <m:t>t</m:t>
                  </m:r>
                  <m:r>
                    <w:rPr>
                      <w:sz w:val="16"/>
                      <w:color w:val="173E34"/>
                    </w:rPr>
                    <m:rPr>
                      <m:sty m:val="p"/>
                    </m:rPr>
                    <m:t>,</m:t>
                  </m:r>
                  <m:r>
                    <w:rPr>
                      <w:sz w:val="16"/>
                      <w:color w:val="173E34"/>
                    </w:rPr>
                    <m:t>m</m:t>
                  </m:r>
                </m:sub>
              </m:sSub>
              <m:r>
                <w:rPr>
                  <w:sz w:val="16"/>
                  <w:color w:val="173E34"/>
                </w:rPr>
                <m:rPr>
                  <m:sty m:val="p"/>
                </m:rPr>
                <m:t>,</m:t>
              </m:r>
              <m:r>
                <w:rPr>
                  <w:sz w:val="16"/>
                  <w:color w:val="173E34"/>
                </w:rPr>
                <m:t> </m:t>
              </m:r>
              <m:sSubSup>
                <m:e>
                  <m:r>
                    <w:rPr>
                      <w:sz w:val="16"/>
                      <w:color w:val="173E34"/>
                    </w:rPr>
                    <m:t>r</m:t>
                  </m:r>
                </m:e>
                <m:sub>
                  <m:r>
                    <w:rPr>
                      <w:sz w:val="16"/>
                      <w:color w:val="173E34"/>
                    </w:rPr>
                    <m:t>t</m:t>
                  </m:r>
                </m:sub>
                <m:sup>
                  <m:r>
                    <w:rPr>
                      <w:sz w:val="16"/>
                      <w:color w:val="173E34"/>
                    </w:rPr>
                    <m:rPr>
                      <m:sty m:val="p"/>
                    </m:rPr>
                    <m:t>a</m:t>
                  </m:r>
                  <m:r>
                    <w:rPr>
                      <w:sz w:val="16"/>
                      <w:color w:val="173E34"/>
                    </w:rPr>
                    <m:rPr>
                      <m:sty m:val="p"/>
                    </m:rPr>
                    <m:t>l</m:t>
                  </m:r>
                  <m:r>
                    <w:rPr>
                      <w:sz w:val="16"/>
                      <w:color w:val="173E34"/>
                    </w:rPr>
                    <m:rPr>
                      <m:sty m:val="p"/>
                    </m:rPr>
                    <m:t>l</m:t>
                  </m:r>
                  <m:r>
                    <w:rPr>
                      <w:sz w:val="16"/>
                      <w:color w:val="173E34"/>
                    </w:rPr>
                    <m:rPr>
                      <m:sty m:val="p"/>
                    </m:rPr>
                    <m:t>o</m:t>
                  </m:r>
                  <m:r>
                    <w:rPr>
                      <w:sz w:val="16"/>
                      <w:color w:val="173E34"/>
                    </w:rPr>
                    <m:rPr>
                      <m:sty m:val="p"/>
                    </m:rPr>
                    <m:t>c</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9-2-ES-1-1"/>
                <w:tag w:val="sec_09-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2-ES-1-2"/>
                <w:tag w:val="sec_09-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2-ES-1-3"/>
                <w:tag w:val="sec_09-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9-2-ES-2-1"/>
                <w:tag w:val="sec_09-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9-2-ES-2-2"/>
                <w:tag w:val="sec_09-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9-2-ES-2-3"/>
                <w:tag w:val="sec_09-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9-2-ES-3-1"/>
                <w:tag w:val="sec_09-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2-ES-3-2"/>
                <w:tag w:val="sec_09-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2-ES-3-3"/>
                <w:tag w:val="sec_09-2-ES-3-3"/>
                <w:text/>
              </w:sdtPr>
              <w:sdtContent>
                <w:r>
                  <w:rPr>
                    <w:rFonts w:ascii="Lato" w:hAnsi="Lato"/>
                    <w:sz w:val="18"/>
                    <w:color w:val="62716E"/>
                  </w:rPr>
                  <w:t>[Completar]</w:t>
                </w:r>
              </w:sdtContent>
            </w:sdt>
          </w:p>
        </w:tc>
      </w:tr>
    </w:tbl>
    <w:p>
      <w:pPr>
        <w:spacing w:after="0"/>
      </w:pPr>
    </w:p>
    <w:p>
      <w:bookmarkStart w:id="3010" w:name="sec_10"/>
      <w:pPr>
        <w:pStyle w:val="Heading1"/>
        <w:keepNext/>
        <w:pageBreakBefore/>
      </w:pPr>
      <w:r>
        <w:t>10  Adicionalidad continua, salvaguardas y otros resultados</w:t>
      </w:r>
      <w:bookmarkEnd w:id="3010"/>
    </w:p>
    <w:p>
      <w:pPr>
        <w:spacing w:after="120"/>
      </w:pPr>
      <w:r>
        <w:rPr>
          <w:rFonts w:ascii="Lato" w:hAnsi="Lato"/>
          <w:b w:val="0"/>
          <w:color w:val="62716E"/>
          <w:sz w:val="16"/>
        </w:rPr>
        <w:t>[1] Referencia: AO-05; AO-06; AO-08; AO-10; T-10; P-04</w:t>
      </w:r>
    </w:p>
    <w:p>
      <w:pPr>
        <w:pStyle w:val="Heading2"/>
        <w:keepNext/>
      </w:pPr>
      <w:r>
        <w:t>Evaluación de continuidad</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Intervención / premisa inicial</w:t>
            </w:r>
          </w:p>
        </w:tc>
        <w:tc>
          <w:tcPr>
            <w:tcW w:type="dxa" w:w="3250"/>
            <w:shd w:fill="215F52"/>
            <w:tcMar>
              <w:top w:w="90" w:type="dxa"/>
              <w:bottom w:w="90" w:type="dxa"/>
              <w:left w:w="100" w:type="dxa"/>
              <w:right w:w="100" w:type="dxa"/>
            </w:tcMar>
            <w:vAlign w:val="center"/>
          </w:tcPr>
          <w:p>
            <w:r>
              <w:rPr>
                <w:rFonts w:ascii="Lato" w:hAnsi="Lato"/>
                <w:b/>
                <w:color w:val="FFFFFF"/>
                <w:sz w:val="17"/>
              </w:rPr>
              <w:t>Ejecución y evidencia intermedia</w:t>
            </w:r>
          </w:p>
        </w:tc>
        <w:tc>
          <w:tcPr>
            <w:tcW w:type="dxa" w:w="3250"/>
            <w:shd w:fill="215F52"/>
            <w:tcMar>
              <w:top w:w="90" w:type="dxa"/>
              <w:bottom w:w="90" w:type="dxa"/>
              <w:left w:w="100" w:type="dxa"/>
              <w:right w:w="100" w:type="dxa"/>
            </w:tcMar>
            <w:vAlign w:val="center"/>
          </w:tcPr>
          <w:p>
            <w:r>
              <w:rPr>
                <w:rFonts w:ascii="Lato" w:hAnsi="Lato"/>
                <w:b/>
                <w:color w:val="FFFFFF"/>
                <w:sz w:val="17"/>
              </w:rPr>
              <w:t>Evidencia de resultado / conclusión actual</w:t>
            </w:r>
          </w:p>
        </w:tc>
      </w:tr>
      <w:tr>
        <w:trPr>
          <w:trHeight w:val="510"/>
        </w:trPr>
        <w:tc>
          <w:tcPr>
            <w:tcW w:type="dxa" w:w="3250"/>
            <w:tcMar>
              <w:top w:w="90" w:type="dxa"/>
              <w:bottom w:w="90" w:type="dxa"/>
              <w:left w:w="100" w:type="dxa"/>
              <w:right w:w="100" w:type="dxa"/>
            </w:tcMar>
            <w:shd w:fill="F1F5F2"/>
          </w:tcPr>
          <w:p>
            <w:pPr>
              <w:spacing w:after="20"/>
            </w:pPr>
            <w:sdt>
              <w:sdtPr>
                <w:alias w:val="sec_10-0-ES-1-1"/>
                <w:tag w:val="sec_10-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0-0-ES-1-2"/>
                <w:tag w:val="sec_10-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0-0-ES-1-3"/>
                <w:tag w:val="sec_10-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10-0-ES-2-1"/>
                <w:tag w:val="sec_10-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0-0-ES-2-2"/>
                <w:tag w:val="sec_10-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0-0-ES-2-3"/>
                <w:tag w:val="sec_10-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10-0-ES-3-1"/>
                <w:tag w:val="sec_10-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0-0-ES-3-2"/>
                <w:tag w:val="sec_10-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0-0-ES-3-3"/>
                <w:tag w:val="sec_10-0-ES-3-3"/>
                <w:text/>
              </w:sdtPr>
              <w:sdtContent>
                <w:r>
                  <w:rPr>
                    <w:rFonts w:ascii="Lato" w:hAnsi="Lato"/>
                    <w:sz w:val="18"/>
                    <w:color w:val="62716E"/>
                  </w:rPr>
                  <w:t>[Completar]</w:t>
                </w:r>
              </w:sdtContent>
            </w:sdt>
          </w:p>
        </w:tc>
      </w:tr>
    </w:tbl>
    <w:p>
      <w:pPr>
        <w:spacing w:after="0"/>
      </w:pPr>
    </w:p>
    <w:p>
      <w:pPr>
        <w:pStyle w:val="Heading2"/>
        <w:keepNext/>
      </w:pPr>
      <w:r>
        <w:t>Salvaguardas y explicaciones concurrentes</w:t>
      </w:r>
    </w:p>
    <w:p>
      <w:pPr>
        <w:spacing w:after="80"/>
      </w:pPr>
      <w:r>
        <w:rPr>
          <w:rFonts w:ascii="Lato" w:hAnsi="Lato"/>
          <w:b w:val="0"/>
          <w:color w:val="62716E"/>
          <w:sz w:val="18"/>
        </w:rPr>
        <w:t>Registrar cambios de derechos o consentimiento, quejas, beneficios, iniciativas concurrentes, perturbaciones y explicaciones alternativas. Informar indicadores sociales y de biodiversidad en sus propias unidades; no sumarlos al resultado de carbono.</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0-1-ES"/>
                <w:tag w:val="sec_10-1-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11" w:name="sec_11"/>
      <w:pPr>
        <w:pStyle w:val="Heading1"/>
        <w:keepNext/>
        <w:pageBreakBefore/>
      </w:pPr>
      <w:r>
        <w:t>11  Migración, declaraciones previas y continuidad de evidencia</w:t>
      </w:r>
      <w:bookmarkEnd w:id="3011"/>
    </w:p>
    <w:p>
      <w:pPr>
        <w:spacing w:after="120"/>
      </w:pPr>
      <w:r>
        <w:rPr>
          <w:rFonts w:ascii="Lato" w:hAnsi="Lato"/>
          <w:b w:val="0"/>
          <w:color w:val="62716E"/>
          <w:sz w:val="16"/>
        </w:rPr>
        <w:t>[1] Referencia: MIG-02; MIG-05; MIG-06; MIG-07; MIG-08; MIG-09; MIG-12; AO-11</w:t>
      </w:r>
    </w:p>
    <w:p>
      <w:pPr>
        <w:pStyle w:val="Heading2"/>
        <w:keepNext/>
      </w:pPr>
      <w:r>
        <w:t>Origen y estado previo</w:t>
      </w:r>
    </w:p>
    <w:p>
      <w:pPr>
        <w:keepNext/>
        <w:spacing w:before="40" w:after="60"/>
      </w:pPr>
      <w:r>
        <w:rPr>
          <w:rFonts w:ascii="Lato" w:hAnsi="Lato"/>
          <w:color w:val="315B50"/>
          <w:sz w:val="18"/>
        </w:rPr>
        <w:t>EXPOST-T19 / Notación del cálculo</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conserva resultado original; harm aplica método original a base comparable acordada; NEB es resultado receptor sobre esa base. La identidad telescópica explica diferencias, no elegibilidad. No forzar diferencia metodológica cero.</w:t>
      </w:r>
    </w:p>
    <w:p>
      <w:pPr>
        <w:keepNext/>
        <w:spacing w:before="40" w:after="60"/>
      </w:pPr>
      <w:r>
        <w:rPr>
          <w:rFonts w:ascii="Lato" w:hAnsi="Lato"/>
          <w:color w:val="315B50"/>
          <w:sz w:val="14"/>
        </w:rPr>
        <w:t>Base: MIG-05; P-13; identidad de conciliación | Libro: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Resultado / programa original / período</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r>
              <w:rPr>
                <w:rFonts w:ascii="Lato" w:hAnsi="Lato"/>
                <w:b/>
                <w:color w:val="173E34"/>
                <w:sz w:val="17"/>
              </w:rPr>
              <w:t>Registro emitido, usado, retirado, cancelado o no emitido</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r>
              <w:rPr>
                <w:rFonts w:ascii="Lato" w:hAnsi="Lato"/>
                <w:b/>
                <w:color w:val="173E34"/>
                <w:sz w:val="17"/>
              </w:rPr>
              <w:t>Intersección / pasivo / decisión</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spacing w:after="20"/>
            </w:pPr>
            <w:sdt>
              <w:sdtPr>
                <w:alias w:val="sec_11-0-ES-1-1"/>
                <w:tag w:val="sec_11-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0-ES-1-2"/>
                <w:tag w:val="sec_11-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0-ES-1-3"/>
                <w:tag w:val="sec_11-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11-0-ES-2-1"/>
                <w:tag w:val="sec_11-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1-0-ES-2-2"/>
                <w:tag w:val="sec_11-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1-0-ES-2-3"/>
                <w:tag w:val="sec_11-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11-0-ES-3-1"/>
                <w:tag w:val="sec_11-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0-ES-3-2"/>
                <w:tag w:val="sec_11-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0-ES-3-3"/>
                <w:tag w:val="sec_11-0-ES-3-3"/>
                <w:text/>
              </w:sdtPr>
              <w:sdtContent>
                <w:r>
                  <w:rPr>
                    <w:rFonts w:ascii="Lato" w:hAnsi="Lato"/>
                    <w:sz w:val="18"/>
                    <w:color w:val="62716E"/>
                  </w:rPr>
                  <w:t>[Completar]</w:t>
                </w:r>
              </w:sdtContent>
            </w:sdt>
          </w:p>
        </w:tc>
      </w:tr>
    </w:tbl>
    <w:p>
      <w:pPr>
        <w:spacing w:after="0"/>
      </w:pPr>
    </w:p>
    <w:p>
      <w:pPr>
        <w:pStyle w:val="Heading2"/>
        <w:keepNext/>
      </w:pPr>
      <w:r>
        <w:t>Anexo de conciliación de migración</w:t>
      </w:r>
    </w:p>
    <w:p>
      <w:pPr>
        <w:spacing w:after="80"/>
      </w:pPr>
      <w:r>
        <w:rPr>
          <w:rFonts w:ascii="Lato" w:hAnsi="Lato"/>
          <w:b w:val="0"/>
          <w:color w:val="62716E"/>
          <w:sz w:val="18"/>
        </w:rPr>
        <w:t>Adjuntar la plantilla de Conciliación de migración cuando corresponda. Conservar resultados y restricciones originales; indicar método receptor y fecha de transición. Cancelar otras unidades de carbono externas no autoriza por sí solo emisión de reemplazo NEBIOT.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1-1-ES"/>
                <w:tag w:val="sec_11-1-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12" w:name="sec_12"/>
      <w:pPr>
        <w:pStyle w:val="Heading1"/>
        <w:keepNext/>
        <w:pageBreakBefore/>
      </w:pPr>
      <w:r>
        <w:t>12  Índice de evidencia, revisión independiente y decisión</w:t>
      </w:r>
      <w:bookmarkEnd w:id="3012"/>
    </w:p>
    <w:p>
      <w:pPr>
        <w:spacing w:after="120"/>
      </w:pPr>
      <w:r>
        <w:rPr>
          <w:rFonts w:ascii="Lato" w:hAnsi="Lato"/>
          <w:b w:val="0"/>
          <w:color w:val="62716E"/>
          <w:sz w:val="16"/>
        </w:rPr>
        <w:t>[1] Referencia: P-05; P-06; P-09; P-12; P-14; A-12; FRM-03; FRM-06</w:t>
      </w:r>
    </w:p>
    <w:p>
      <w:pPr>
        <w:pStyle w:val="Heading2"/>
        <w:keepNext/>
      </w:pPr>
      <w:r>
        <w:t>Hallazgos y cierre</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Requisito / hallazgo / evidencia</w:t>
            </w:r>
          </w:p>
        </w:tc>
        <w:tc>
          <w:tcPr>
            <w:tcW w:type="dxa" w:w="3250"/>
            <w:shd w:fill="215F52"/>
            <w:tcMar>
              <w:top w:w="90" w:type="dxa"/>
              <w:bottom w:w="90" w:type="dxa"/>
              <w:left w:w="100" w:type="dxa"/>
              <w:right w:w="100" w:type="dxa"/>
            </w:tcMar>
            <w:vAlign w:val="center"/>
          </w:tcPr>
          <w:p>
            <w:r>
              <w:rPr>
                <w:rFonts w:ascii="Lato" w:hAnsi="Lato"/>
                <w:b/>
                <w:color w:val="FFFFFF"/>
                <w:sz w:val="17"/>
              </w:rPr>
              <w:t>Respuesta / corrección del proponente</w:t>
            </w:r>
          </w:p>
        </w:tc>
        <w:tc>
          <w:tcPr>
            <w:tcW w:type="dxa" w:w="3250"/>
            <w:shd w:fill="215F52"/>
            <w:tcMar>
              <w:top w:w="90" w:type="dxa"/>
              <w:bottom w:w="90" w:type="dxa"/>
              <w:left w:w="100" w:type="dxa"/>
              <w:right w:w="100" w:type="dxa"/>
            </w:tcMar>
            <w:vAlign w:val="center"/>
          </w:tcPr>
          <w:p>
            <w:r>
              <w:rPr>
                <w:rFonts w:ascii="Lato" w:hAnsi="Lato"/>
                <w:b/>
                <w:color w:val="FFFFFF"/>
                <w:sz w:val="17"/>
              </w:rPr>
              <w:t>Evaluación no involucrada / cierre</w:t>
            </w:r>
          </w:p>
        </w:tc>
      </w:tr>
      <w:tr>
        <w:trPr>
          <w:trHeight w:val="510"/>
        </w:trPr>
        <w:tc>
          <w:tcPr>
            <w:tcW w:type="dxa" w:w="3250"/>
            <w:tcMar>
              <w:top w:w="90" w:type="dxa"/>
              <w:bottom w:w="90" w:type="dxa"/>
              <w:left w:w="100" w:type="dxa"/>
              <w:right w:w="100" w:type="dxa"/>
            </w:tcMar>
            <w:shd w:fill="F1F5F2"/>
          </w:tcPr>
          <w:p>
            <w:pPr>
              <w:spacing w:after="20"/>
            </w:pPr>
            <w:sdt>
              <w:sdtPr>
                <w:alias w:val="sec_12-0-ES-1-1"/>
                <w:tag w:val="sec_12-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2-0-ES-1-2"/>
                <w:tag w:val="sec_12-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2-0-ES-1-3"/>
                <w:tag w:val="sec_12-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12-0-ES-2-1"/>
                <w:tag w:val="sec_12-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2-0-ES-2-2"/>
                <w:tag w:val="sec_12-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2-0-ES-2-3"/>
                <w:tag w:val="sec_12-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12-0-ES-3-1"/>
                <w:tag w:val="sec_12-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2-0-ES-3-2"/>
                <w:tag w:val="sec_12-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2-0-ES-3-3"/>
                <w:tag w:val="sec_12-0-ES-3-3"/>
                <w:text/>
              </w:sdtPr>
              <w:sdtContent>
                <w:r>
                  <w:rPr>
                    <w:rFonts w:ascii="Lato" w:hAnsi="Lato"/>
                    <w:sz w:val="18"/>
                    <w:color w:val="62716E"/>
                  </w:rPr>
                  <w:t>[Completar]</w:t>
                </w:r>
              </w:sdtContent>
            </w:sdt>
          </w:p>
        </w:tc>
      </w:tr>
    </w:tbl>
    <w:p>
      <w:pPr>
        <w:spacing w:after="0"/>
      </w:pPr>
    </w:p>
    <w:p>
      <w:pPr>
        <w:pStyle w:val="Heading2"/>
        <w:keepNext/>
      </w:pPr>
      <w:r>
        <w:t>Evidencia y decisiones separadas</w:t>
      </w:r>
    </w:p>
    <w:p>
      <w:pPr>
        <w:spacing w:after="80"/>
      </w:pPr>
      <w:r>
        <w:rPr>
          <w:rFonts w:ascii="Lato" w:hAnsi="Lato"/>
          <w:b w:val="0"/>
          <w:color w:val="62716E"/>
          <w:sz w:val="18"/>
        </w:rPr>
        <w:t>Adjuntar cálculos originales y actualizados, observaciones originales o de referencia, desviaciones, pasivos y dictamen OVV disponible. Una respuesta completa no es cierre independiente. Mantener cantidades reportadas, verificadas y autorizadas en registros firmados separados.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2-1-ES"/>
                <w:tag w:val="sec_12-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Presentación y evaluación</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Función / organización</w:t>
            </w:r>
          </w:p>
        </w:tc>
        <w:tc>
          <w:tcPr>
            <w:tcW w:type="dxa" w:w="3250"/>
            <w:shd w:fill="215F52"/>
            <w:tcMar>
              <w:top w:w="90" w:type="dxa"/>
              <w:bottom w:w="90" w:type="dxa"/>
              <w:left w:w="100" w:type="dxa"/>
              <w:right w:w="100" w:type="dxa"/>
            </w:tcMar>
            <w:vAlign w:val="center"/>
          </w:tcPr>
          <w:p>
            <w:r>
              <w:rPr>
                <w:rFonts w:ascii="Lato" w:hAnsi="Lato"/>
                <w:b/>
                <w:color w:val="FFFFFF"/>
                <w:sz w:val="17"/>
              </w:rPr>
              <w:t>Nombre, fecha y firma</w:t>
            </w:r>
          </w:p>
        </w:tc>
        <w:tc>
          <w:tcPr>
            <w:tcW w:type="dxa" w:w="3250"/>
            <w:shd w:fill="215F52"/>
            <w:tcMar>
              <w:top w:w="90" w:type="dxa"/>
              <w:bottom w:w="90" w:type="dxa"/>
              <w:left w:w="100" w:type="dxa"/>
              <w:right w:w="100" w:type="dxa"/>
            </w:tcMar>
            <w:vAlign w:val="center"/>
          </w:tcPr>
          <w:p>
            <w:r>
              <w:rPr>
                <w:rFonts w:ascii="Lato" w:hAnsi="Lato"/>
                <w:b/>
                <w:color w:val="FFFFFF"/>
                <w:sz w:val="17"/>
              </w:rPr>
              <w:t>Cantidad, alcance, estado y autoridad</w:t>
            </w:r>
          </w:p>
        </w:tc>
      </w:tr>
      <w:tr>
        <w:trPr>
          <w:trHeight w:val="510"/>
        </w:trPr>
        <w:tc>
          <w:tcPr>
            <w:tcW w:type="dxa" w:w="3250"/>
            <w:tcMar>
              <w:top w:w="90" w:type="dxa"/>
              <w:bottom w:w="90" w:type="dxa"/>
              <w:left w:w="100" w:type="dxa"/>
              <w:right w:w="100" w:type="dxa"/>
            </w:tcMar>
            <w:shd w:fill="F1F5F2"/>
          </w:tcPr>
          <w:p>
            <w:pPr>
              <w:spacing w:after="20"/>
            </w:pPr>
            <w:sdt>
              <w:sdtPr>
                <w:alias w:val="sec_12-2-ES-1-1"/>
                <w:tag w:val="sec_12-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2-2-ES-1-2"/>
                <w:tag w:val="sec_12-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2-2-ES-1-3"/>
                <w:tag w:val="sec_12-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12-2-ES-2-1"/>
                <w:tag w:val="sec_12-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2-2-ES-2-2"/>
                <w:tag w:val="sec_12-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2-2-ES-2-3"/>
                <w:tag w:val="sec_12-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12-2-ES-3-1"/>
                <w:tag w:val="sec_12-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2-2-ES-3-2"/>
                <w:tag w:val="sec_12-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2-2-ES-3-3"/>
                <w:tag w:val="sec_12-2-ES-3-3"/>
                <w:text/>
              </w:sdtPr>
              <w:sdtContent>
                <w:r>
                  <w:rPr>
                    <w:rFonts w:ascii="Lato" w:hAnsi="Lato"/>
                    <w:sz w:val="18"/>
                    <w:color w:val="62716E"/>
                  </w:rPr>
                  <w:t>[Completar]</w:t>
                </w:r>
              </w:sdtContent>
            </w:sdt>
          </w:p>
        </w:tc>
      </w:tr>
    </w:tbl>
    <w:p>
      <w:bookmarkStart w:id="99001" w:name="calc_register"/>
      <w:pPr>
        <w:pStyle w:val="Heading1"/>
        <w:keepNext/>
        <w:pageBreakBefore/>
      </w:pPr>
      <w:r>
        <w:t>CALC — Trazabilidad y notación del cálculo</w:t>
      </w:r>
      <w:bookmarkEnd w:id="99001"/>
    </w:p>
    <w:p>
      <w:pPr>
        <w:spacing w:after="100"/>
      </w:pPr>
      <w:r>
        <w:t>Registrar cada cantidad calculada como una fila identificada de forma única. Conservar la expresión fuente exacta y una expresión separada para toda adaptación a NEBIOT. Traducir una etiqueta no cambia una fórmula. Unidades, reservorios incluidos, signo, período, estado de entrada y dominio matemático forman parte del registro. Una tabla administrativa no necesita ecuación inventada. Variables fuente ambiguas requieren aclaración, no significado supuesto.</w:t>
      </w:r>
    </w:p>
    <w:p>
      <w:pPr>
        <w:pStyle w:val="Heading2"/>
        <w:keepNext/>
        <w:spacing w:after="100"/>
      </w:pPr>
      <w:r>
        <w:t>Índices y estado</w:t>
      </w:r>
    </w:p>
    <w:p>
      <w:pPr>
        <w:spacing w:after="100"/>
      </w:pPr>
      <w:r>
        <w:t>EA = pronóstico fechado; EP = cuenta del período reportado; t = intervalo; i,j = estratos o clases declarados; o = órgano o reservorio disjunto; g = gas; tau = cohorte de perturbación; l = fila de cálculo/componente.</w:t>
      </w:r>
    </w:p>
    <w:p>
      <w:pPr>
        <w:pStyle w:val="Heading2"/>
        <w:keepNext/>
        <w:spacing w:after="100"/>
      </w:pPr>
      <w:r>
        <w:t>Registro de un cálculo — repetir por resultado</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Campo</w:t>
            </w:r>
          </w:p>
        </w:tc>
        <w:tc>
          <w:tcPr>
            <w:tcW w:type="dxa" w:w="4873"/>
            <w:shd w:fill="215F52"/>
          </w:tcPr>
          <w:p>
            <w:pPr>
              <w:spacing w:after="80"/>
            </w:pPr>
            <w:r>
              <w:rPr>
                <w:rFonts w:ascii="Lato" w:hAnsi="Lato"/>
                <w:b/>
                <w:color w:val="FFFFFF"/>
                <w:sz w:val="18"/>
              </w:rPr>
              <w:t>Registro</w:t>
            </w:r>
          </w:p>
        </w:tc>
      </w:tr>
      <w:tr>
        <w:trPr/>
        <w:tc>
          <w:tcPr>
            <w:tcW w:type="dxa" w:w="3240"/>
          </w:tcPr>
          <w:p>
            <w:pPr>
              <w:spacing w:after="80"/>
            </w:pPr>
            <w:r>
              <w:rPr>
                <w:rFonts w:ascii="Lato" w:hAnsi="Lato"/>
                <w:sz w:val="18"/>
              </w:rPr>
              <w:t>Fila de cálculo / símbolo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Definición y uso previsto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Archivo fuente / versión / huella exactos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Hoja / celda o ID del registro bruto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Expresión original y unidad original</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Entradas: símbolos, valores, unidades y períodos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Ecuación receptora / identificador del estándar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Transformación, conversión y justificación</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Valores intermedios y finales sin redondear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Tabla / fila / ubicación de salida en informe</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Diferencia de recálculo / base de tolerancia</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Revisor independiente / hallazgo / decisión</w:t>
            </w:r>
          </w:p>
        </w:tc>
        <w:tc>
          <w:tcPr>
            <w:tcW w:type="dxa" w:w="6120"/>
          </w:tcPr>
          <w:p>
            <w:pPr>
              <w:spacing w:after="80"/>
            </w:pPr>
            <w:r>
              <w:rPr>
                <w:rFonts w:ascii="Lato" w:hAnsi="Lato"/>
                <w:sz w:val="18"/>
              </w:rPr>
              <w:t>[Completar]</w:t>
            </w:r>
          </w:p>
        </w:tc>
      </w:tr>
    </w:tbl>
    <w:p>
      <w:pPr>
        <w:pStyle w:val="Heading2"/>
        <w:keepNext/>
        <w:spacing w:after="100"/>
      </w:pPr>
      <w:r>
        <w:t>Comparación aritmética, no materialidad</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La tolerancia absoluta tiene la unidad del resultado; la relativa es adimensional. Son parámetros de comparación informática, no materialidad. Comparar valores sin redondear. Reproducir primero el método fuente y registrar por separado armonización o cambio metodológico.</w:t>
      </w:r>
    </w:p>
    <w:sectPr w:rsidR="00FC693F" w:rsidRPr="0006063C" w:rsidSect="00034616">
      <w:headerReference w:type="default" r:id="rId9"/>
      <w:footerReference w:type="default" r:id="rId10"/>
      <w:headerReference w:type="first" r:id="rId12"/>
      <w:footerReference w:type="first" r:id="rId13"/>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PLANTILLA 1.2  / EX-POST /  NEBIOT 0.8.2</w:t>
    </w:r>
    <w:r>
      <w:tab/>
    </w:r>
    <w:r>
      <w:rPr>
        <w:rFonts w:ascii="Arial" w:hAnsi="Arial"/>
        <w:b w:val="0"/>
        <w:i w:val="0"/>
        <w:color w:val="62716E"/>
        <w:sz w:val="14"/>
      </w:rPr>
      <w:t xml:space="preserve">Página </w:t>
    </w:r>
    <w:fldSimple w:instr="PAGE">
      <w:r>
        <w:t>1</w:t>
      </w:r>
    </w:fldSimple>
    <w:r>
      <w:t xml:space="preserve"> /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INFORME DE RESULTADOS EX POST</w:t>
    </w:r>
    <w:r>
      <w:tab/>
    </w:r>
    <w:r>
      <w:rPr>
        <w:rFonts w:ascii="Arial" w:hAnsi="Arial"/>
        <w:b w:val="0"/>
        <w:i w:val="0"/>
        <w:color w:val="62716E"/>
        <w:sz w:val="16"/>
      </w:rPr>
      <w:t>ES   |   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resultados ex post | NEBIOT</dc:title>
  <dc:subject>Reporting template | NEBIOT Standard 0.8.2</dc:subject>
  <dc:creator>Henry Arellano-Peña</dc:creator>
  <cp:keywords>NEBIOT, PD,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