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Feasibility Study</w:t>
      </w:r>
    </w:p>
    <w:p>
      <w:pPr>
        <w:keepNext w:val="0"/>
        <w:spacing w:after="180" w:line="259" w:lineRule="auto"/>
      </w:pPr>
      <w:r>
        <w:rPr>
          <w:rFonts w:ascii="Arial" w:hAnsi="Arial"/>
          <w:b w:val="0"/>
          <w:i/>
          <w:color w:val="215F52"/>
          <w:sz w:val="21"/>
        </w:rPr>
        <w:t>FEASIBILITY • Substantiated design</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Project Description.</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Feasibility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CYC-04</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line="252" w:lineRule="auto"/>
      </w:pPr>
      <w:hyperlink w:anchor="Section_1">
        <w:r>
          <w:rPr>
            <w:rFonts w:ascii="Arial" w:hAnsi="Arial"/>
            <w:sz w:val="19"/>
            <w:color w:val="215F52"/>
          </w:rPr>
          <w:t>01  Feasibility mandate and prior-stage reconciliation</w:t>
        </w:r>
      </w:hyperlink>
    </w:p>
    <w:p>
      <w:pPr>
        <w:spacing w:after="60" w:line="252" w:lineRule="auto"/>
      </w:pPr>
      <w:hyperlink w:anchor="Section_2">
        <w:r>
          <w:rPr>
            <w:rFonts w:ascii="Arial" w:hAnsi="Arial"/>
            <w:sz w:val="19"/>
            <w:color w:val="215F52"/>
          </w:rPr>
          <w:t>02  Authority, responsibilities and implementation rights</w:t>
        </w:r>
      </w:hyperlink>
    </w:p>
    <w:p>
      <w:pPr>
        <w:spacing w:after="60" w:line="252" w:lineRule="auto"/>
      </w:pPr>
      <w:hyperlink w:anchor="Section_3">
        <w:r>
          <w:rPr>
            <w:rFonts w:ascii="Arial" w:hAnsi="Arial"/>
            <w:sz w:val="19"/>
            <w:color w:val="215F52"/>
          </w:rPr>
          <w:t>03  Boundary, strata and qualified spatial inputs</w:t>
        </w:r>
      </w:hyperlink>
    </w:p>
    <w:p>
      <w:pPr>
        <w:spacing w:after="60" w:line="252" w:lineRule="auto"/>
      </w:pPr>
      <w:hyperlink w:anchor="Section_4">
        <w:r>
          <w:rPr>
            <w:rFonts w:ascii="Arial" w:hAnsi="Arial"/>
            <w:sz w:val="19"/>
            <w:color w:val="215F52"/>
          </w:rPr>
          <w:t>04  NEB001 characterization and classification evidence</w:t>
        </w:r>
      </w:hyperlink>
    </w:p>
    <w:p>
      <w:pPr>
        <w:spacing w:after="60" w:line="252" w:lineRule="auto"/>
      </w:pPr>
      <w:hyperlink w:anchor="Section_5">
        <w:r>
          <w:rPr>
            <w:rFonts w:ascii="Arial" w:hAnsi="Arial"/>
            <w:sz w:val="19"/>
            <w:color w:val="215F52"/>
          </w:rPr>
          <w:t>05  NEB002 material reference and evidence pathway</w:t>
        </w:r>
      </w:hyperlink>
    </w:p>
    <w:p>
      <w:pPr>
        <w:spacing w:after="60" w:line="252" w:lineRule="auto"/>
      </w:pPr>
      <w:hyperlink w:anchor="Section_6">
        <w:r>
          <w:rPr>
            <w:rFonts w:ascii="Arial" w:hAnsi="Arial"/>
            <w:sz w:val="19"/>
            <w:color w:val="215F52"/>
          </w:rPr>
          <w:t>06  Baseline, interventions and continuing additionality</w:t>
        </w:r>
      </w:hyperlink>
    </w:p>
    <w:p>
      <w:pPr>
        <w:spacing w:after="60" w:line="252" w:lineRule="auto"/>
      </w:pPr>
      <w:hyperlink w:anchor="Section_7">
        <w:r>
          <w:rPr>
            <w:rFonts w:ascii="Arial" w:hAnsi="Arial"/>
            <w:sz w:val="19"/>
            <w:color w:val="215F52"/>
          </w:rPr>
          <w:t>07  Quantification, parameters and uncertainty</w:t>
        </w:r>
      </w:hyperlink>
    </w:p>
    <w:p>
      <w:pPr>
        <w:spacing w:after="60" w:line="252" w:lineRule="auto"/>
      </w:pPr>
      <w:hyperlink w:anchor="Section_8">
        <w:r>
          <w:rPr>
            <w:rFonts w:ascii="Arial" w:hAnsi="Arial"/>
            <w:sz w:val="19"/>
            <w:color w:val="215F52"/>
          </w:rPr>
          <w:t>08  Leakage, risk, liabilities and reserve design</w:t>
        </w:r>
      </w:hyperlink>
    </w:p>
    <w:p>
      <w:pPr>
        <w:spacing w:after="60" w:line="252" w:lineRule="auto"/>
      </w:pPr>
      <w:hyperlink w:anchor="Section_9">
        <w:r>
          <w:rPr>
            <w:rFonts w:ascii="Arial" w:hAnsi="Arial"/>
            <w:sz w:val="19"/>
            <w:color w:val="215F52"/>
          </w:rPr>
          <w:t>09  Safeguards, consent, benefits and overlapping claims</w:t>
        </w:r>
      </w:hyperlink>
    </w:p>
    <w:p>
      <w:pPr>
        <w:spacing w:after="60" w:line="252" w:lineRule="auto"/>
      </w:pPr>
      <w:hyperlink w:anchor="Section_10">
        <w:r>
          <w:rPr>
            <w:rFonts w:ascii="Arial" w:hAnsi="Arial"/>
            <w:sz w:val="19"/>
            <w:color w:val="215F52"/>
          </w:rPr>
          <w:t>10  Implementation, monitoring and operational feasibility</w:t>
        </w:r>
      </w:hyperlink>
    </w:p>
    <w:p>
      <w:pPr>
        <w:spacing w:after="60" w:line="252" w:lineRule="auto"/>
      </w:pPr>
      <w:hyperlink w:anchor="Section_11">
        <w:r>
          <w:rPr>
            <w:rFonts w:ascii="Arial" w:hAnsi="Arial"/>
            <w:sz w:val="19"/>
            <w:color w:val="215F52"/>
          </w:rPr>
          <w:t>11  Project Description handover and remaining conditions</w:t>
        </w:r>
      </w:hyperlink>
    </w:p>
    <w:p>
      <w:pPr>
        <w:spacing w:after="60" w:line="252" w:lineRule="auto"/>
      </w:pPr>
      <w:hyperlink w:anchor="Section_12">
        <w:r>
          <w:rPr>
            <w:rFonts w:ascii="Arial" w:hAnsi="Arial"/>
            <w:sz w:val="19"/>
            <w:color w:val="215F52"/>
          </w:rPr>
          <w:t>12  Evidence, annexes and references</w:t>
        </w:r>
      </w:hyperlink>
    </w:p>
    <w:p>
      <w:pPr>
        <w:spacing w:after="60" w:line="252" w:lineRule="auto"/>
      </w:pPr>
      <w:hyperlink w:anchor="Section_13">
        <w:r>
          <w:rPr>
            <w:rFonts w:ascii="Arial" w:hAnsi="Arial"/>
            <w:sz w:val="19"/>
            <w:color w:val="215F52"/>
          </w:rPr>
          <w:t>13  Submission, review and stage decision</w:t>
        </w:r>
      </w:hyperlink>
    </w:p>
    <w:p>
      <w:pPr>
        <w:spacing w:after="60"/>
      </w:pPr>
      <w:hyperlink w:anchor="account_annex">
        <w:r>
          <w:rPr>
            <w:color w:val="215F52"/>
          </w:rPr>
          <w:t>A. Ex-ante, ex-post and migration account attachments</w:t>
        </w:r>
      </w:hyperlink>
    </w:p>
    <w:p>
      <w:pPr>
        <w:spacing w:after="80"/>
      </w:pPr>
      <w:hyperlink w:anchor="calc_register" w:history="1">
        <w:r>
          <w:rPr>
            <w:color w:val="215F52"/>
          </w:rPr>
          <w:t>CALC  Calculation traceability and notation</w:t>
        </w:r>
      </w:hyperlink>
    </w:p>
    <w:p>
      <w:r>
        <w:br w:type="page"/>
      </w:r>
    </w:p>
    <w:p>
      <w:bookmarkStart w:id="101" w:name="Section_1"/>
      <w:pPr>
        <w:pStyle w:val="Heading1"/>
        <w:keepNext/>
      </w:pPr>
      <w:r>
        <w:t>01  Feasibility mandate and prior-stage reconciliation</w:t>
      </w:r>
      <w:bookmarkEnd w:id="101"/>
    </w:p>
    <w:p>
      <w:pPr>
        <w:keepNext/>
        <w:spacing w:after="180" w:line="259" w:lineRule="auto"/>
      </w:pPr>
      <w:r>
        <w:rPr>
          <w:rFonts w:ascii="Arial" w:hAnsi="Arial"/>
          <w:b w:val="0"/>
          <w:i w:val="0"/>
          <w:color w:val="62716E"/>
          <w:sz w:val="15"/>
        </w:rPr>
        <w:t>[1] Basis: CYC-01; CYC-04; S-18; S-25; FRM-06</w:t>
      </w:r>
    </w:p>
    <w:p>
      <w:pPr>
        <w:pStyle w:val="Heading2"/>
        <w:keepNext/>
      </w:pPr>
      <w:r>
        <w:t>Incoming records and changes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412"/>
        <w:gridCol w:w="3412"/>
      </w:tblGrid>
      <w:tr>
        <w:trPr>
          <w:trHeight w:val="446"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Prefeasibility / decision ID</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Condition, finding or change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of closure / impact</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Selected design and scope of feasibility</w:t>
      </w:r>
    </w:p>
    <w:p>
      <w:pPr>
        <w:keepNext/>
        <w:spacing w:after="100" w:line="259" w:lineRule="auto"/>
      </w:pPr>
      <w:r>
        <w:rPr>
          <w:rFonts w:ascii="Arial" w:hAnsi="Arial"/>
          <w:b w:val="0"/>
          <w:i w:val="0"/>
          <w:color w:val="62716E"/>
          <w:sz w:val="18"/>
        </w:rPr>
        <w:t>Identify the selected activities, ecosystem and study boundaries, methods considered, intended attributes and funded investigations. Distinguish what has actually been tested from planned work.</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Decision criteria</w:t>
      </w:r>
    </w:p>
    <w:p>
      <w:pPr>
        <w:keepNext/>
        <w:spacing w:after="100" w:line="259" w:lineRule="auto"/>
      </w:pPr>
      <w:r>
        <w:rPr>
          <w:rFonts w:ascii="Arial" w:hAnsi="Arial"/>
          <w:b w:val="0"/>
          <w:i w:val="0"/>
          <w:color w:val="62716E"/>
          <w:sz w:val="18"/>
        </w:rPr>
        <w:t>Reference the approved application profile and case-specific acceptance criteria. Record thresholds and their approval evidence; do not infer them from examples.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Authority, responsibilities and implementation rights</w:t>
      </w:r>
      <w:bookmarkEnd w:id="102"/>
    </w:p>
    <w:p>
      <w:pPr>
        <w:keepNext/>
        <w:spacing w:after="180" w:line="259" w:lineRule="auto"/>
      </w:pPr>
      <w:r>
        <w:rPr>
          <w:rFonts w:ascii="Arial" w:hAnsi="Arial"/>
          <w:b w:val="0"/>
          <w:i w:val="0"/>
          <w:color w:val="62716E"/>
          <w:sz w:val="15"/>
        </w:rPr>
        <w:t>[1] Basis: S-04; S-05; S-12; S-25; S-26; AO-02; AO-03; FRM-07</w:t>
      </w:r>
    </w:p>
    <w:p>
      <w:pPr>
        <w:pStyle w:val="Heading2"/>
        <w:keepNext/>
      </w:pPr>
      <w:r>
        <w:t>Responsibility and authorization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Role</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Entity / named lead</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Mandate, scope and evidence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Project proponent</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Rights holders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Implementing entity</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NEBIOT technical lead</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Rights and legal applicability</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022"/>
        <w:gridCol w:w="370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Right / obligation / instrument</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Holder, scope and validity</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 unresolved issue / action</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Conflicts, permissions and responsibility gaps</w:t>
      </w:r>
    </w:p>
    <w:p>
      <w:pPr>
        <w:keepNext/>
        <w:spacing w:after="100" w:line="259" w:lineRule="auto"/>
      </w:pPr>
      <w:r>
        <w:rPr>
          <w:rFonts w:ascii="Arial" w:hAnsi="Arial"/>
          <w:b w:val="0"/>
          <w:i w:val="0"/>
          <w:color w:val="62716E"/>
          <w:sz w:val="18"/>
        </w:rPr>
        <w:t>Record lawful access, protected-material permissions, affected consent and any exceptional NEBIOT interest. Assign execution, finance, monitoring, incidents and remedy without gaps.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Boundary, strata and qualified spatial inputs</w:t>
      </w:r>
      <w:bookmarkEnd w:id="103"/>
    </w:p>
    <w:p>
      <w:pPr>
        <w:keepNext/>
        <w:spacing w:after="180" w:line="259" w:lineRule="auto"/>
      </w:pPr>
      <w:r>
        <w:rPr>
          <w:rFonts w:ascii="Arial" w:hAnsi="Arial"/>
          <w:b w:val="0"/>
          <w:i w:val="0"/>
          <w:color w:val="62716E"/>
          <w:sz w:val="15"/>
        </w:rPr>
        <w:t>[1] Basis: S-03; S-06; T-03; MIG-13; MIG-14; MIG-15; FRM-04/M</w:t>
      </w:r>
    </w:p>
    <w:p>
      <w:pPr>
        <w:pStyle w:val="Heading2"/>
        <w:keepNext/>
      </w:pPr>
      <w:r>
        <w:t>Project map / spatial evidence</w:t>
      </w:r>
    </w:p>
    <w:p>
      <w:pPr>
        <w:keepNext/>
        <w:spacing w:after="100" w:line="259" w:lineRule="auto"/>
      </w:pPr>
      <w:r>
        <w:rPr>
          <w:rFonts w:ascii="Arial" w:hAnsi="Arial"/>
          <w:b w:val="0"/>
          <w:i w:val="0"/>
          <w:color w:val="62716E"/>
          <w:sz w:val="17"/>
        </w:rPr>
        <w:t>Insert a readable project map. Identify boundary version, coordinate reference system, scale, observation date, data source, legend and restrictions on disclosure. A screening map does not establish rights or an outcome boundary.</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 PROJECT MAP]</w:t>
            </w:r>
          </w:p>
        </w:tc>
      </w:tr>
    </w:tbl>
    <w:p>
      <w:pPr>
        <w:keepNext w:val="0"/>
        <w:spacing w:after="80" w:line="259" w:lineRule="auto"/>
      </w:pPr>
      <w:r>
        <w:rPr>
          <w:rFonts w:ascii="Arial" w:hAnsi="Arial"/>
          <w:b w:val="0"/>
          <w:i w:val="0"/>
          <w:color w:val="243A36"/>
          <w:sz w:val="2"/>
        </w:rPr>
      </w:r>
    </w:p>
    <w:p>
      <w:pPr>
        <w:pStyle w:val="Heading2"/>
        <w:keepNext/>
      </w:pPr>
      <w:r>
        <w:t>Area and strata reconciliation</w:t>
      </w:r>
    </w:p>
    <w:p>
      <w:pPr>
        <w:keepNext/>
        <w:spacing w:before="40" w:after="60"/>
      </w:pPr>
      <w:r>
        <w:rPr>
          <w:rFonts w:ascii="Lato" w:hAnsi="Lato"/>
          <w:color w:val="315B50"/>
          <w:sz w:val="18"/>
        </w:rPr>
        <w:t>FEASIBILITY-T06 / Calculation notation</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is a pixel count; a_cell is pixel area in m2; A is area in ha. The PIXELS route uses the displayed geometric conversion. Direct area is a documented input. Net class change is not gross deforestation.</w:t>
      </w:r>
    </w:p>
    <w:p>
      <w:pPr>
        <w:keepNext/>
        <w:spacing w:before="40" w:after="60"/>
      </w:pPr>
      <w:r>
        <w:rPr>
          <w:rFonts w:ascii="Lato" w:hAnsi="Lato"/>
          <w:color w:val="315B50"/>
          <w:sz w:val="14"/>
        </w:rPr>
        <w:t>Basis: M01; MIG-13; MIG-14 | Workbook: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217"/>
        <w:gridCol w:w="3510"/>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Domain / stratum / mask</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Area, unit and boundary version</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Overlap, exclusions and evidence</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Data identity, temporal bridge and independent assessment</w:t>
      </w:r>
    </w:p>
    <w:p>
      <w:pPr>
        <w:keepNext/>
        <w:spacing w:after="100" w:line="259" w:lineRule="auto"/>
      </w:pPr>
      <w:r>
        <w:rPr>
          <w:rFonts w:ascii="Arial" w:hAnsi="Arial"/>
          <w:b w:val="0"/>
          <w:i w:val="0"/>
          <w:color w:val="62716E"/>
          <w:sz w:val="18"/>
        </w:rPr>
        <w:t>Attach product passports with bands, units, measurement support, dates, transformations, forest definitions, event interpretation and independent reference evidence. Explain retained and replaced inputs.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NEB001 characterization and classification evidence</w:t>
      </w:r>
      <w:bookmarkEnd w:id="104"/>
    </w:p>
    <w:p>
      <w:pPr>
        <w:keepNext/>
        <w:spacing w:after="180" w:line="259" w:lineRule="auto"/>
      </w:pPr>
      <w:r>
        <w:rPr>
          <w:rFonts w:ascii="Arial" w:hAnsi="Arial"/>
          <w:b w:val="0"/>
          <w:i w:val="0"/>
          <w:color w:val="62716E"/>
          <w:sz w:val="15"/>
        </w:rPr>
        <w:t>[1] Basis: T-01; T-02; T-03; T-06; T-07; T-21; T-22; FRM-08</w:t>
      </w:r>
    </w:p>
    <w:p>
      <w:pPr>
        <w:pStyle w:val="Heading2"/>
        <w:keepNext/>
      </w:pPr>
      <w:r>
        <w:t>Observed vegetation and sampling</w:t>
      </w:r>
    </w:p>
    <w:p>
      <w:pPr>
        <w:keepNext/>
        <w:spacing w:before="40" w:after="60"/>
      </w:pPr>
      <w:r>
        <w:rPr>
          <w:rFonts w:ascii="Lato" w:hAnsi="Lato"/>
          <w:color w:val="315B50"/>
          <w:sz w:val="18"/>
        </w:rPr>
        <w:t>FEASIBILITY-T07 / Calculation notation</w:t>
      </w:r>
    </w:p>
    <w:p>
      <w:pPr>
        <w:keepNext/>
        <w:spacing w:before="40" w:after="60"/>
      </w:pPr>
      <m:oMath>
        <m:sSub>
          <m:e>
            <m:r>
              <w:rPr>
                <w:sz w:val="18"/>
              </w:rPr>
              <m:t>W</m:t>
            </m:r>
          </m:e>
          <m:sub>
            <m:r>
              <w:rPr>
                <w:sz w:val="18"/>
              </w:rPr>
              <m:t>i</m:t>
            </m:r>
          </m:sub>
        </m:sSub>
        <m:r>
          <w:rPr>
            <w:sz w:val="18"/>
          </w:rPr>
          <m:rPr>
            <m:sty m:val="p"/>
          </m:rPr>
          <m:t>=</m:t>
        </m:r>
        <m:f>
          <m:fPr>
            <m:type m:val="bar"/>
          </m:fPr>
          <m:num>
            <m:sSub>
              <m:e>
                <m:r>
                  <w:rPr>
                    <w:sz w:val="18"/>
                  </w:rPr>
                  <m:t>A</m:t>
                </m:r>
              </m:e>
              <m:sub>
                <m:r>
                  <w:rPr>
                    <w:sz w:val="18"/>
                  </w:rPr>
                  <m:t>i</m:t>
                </m:r>
              </m:sub>
            </m:sSub>
          </m:num>
          <m:den>
            <m:r>
              <w:rPr>
                <w:sz w:val="18"/>
              </w:rPr>
              <m:t>A</m:t>
            </m:r>
          </m:den>
        </m:f>
        <m:r>
          <w:rPr>
            <w:sz w:val="18"/>
          </w:rPr>
          <m:rPr>
            <m:sty m:val="p"/>
          </m:rPr>
          <m:t>,</m:t>
        </m:r>
        <m:r>
          <w:rPr>
            <w:sz w:val="18"/>
          </w:rPr>
          <m:t> </m:t>
        </m:r>
        <m:sSub>
          <m:e>
            <m:acc>
              <m:accPr>
                <m:chr m:val="̂"/>
              </m:accPr>
              <m:e>
                <m:r>
                  <w:rPr>
                    <w:sz w:val="18"/>
                  </w:rPr>
                  <m:t>p</m:t>
                </m:r>
              </m:e>
            </m:acc>
          </m:e>
          <m:sub>
            <m:r>
              <w:rPr>
                <w:sz w:val="18"/>
              </w:rPr>
              <m:t>i</m:t>
            </m:r>
            <m:r>
              <w:rPr>
                <w:sz w:val="18"/>
              </w:rPr>
              <m:t>j</m:t>
            </m:r>
          </m:sub>
        </m:sSub>
        <m:r>
          <w:rPr>
            <w:sz w:val="18"/>
          </w:rPr>
          <m:rPr>
            <m:sty m:val="p"/>
          </m:rPr>
          <m:t>=</m:t>
        </m:r>
        <m:f>
          <m:fPr>
            <m:type m:val="bar"/>
          </m:fPr>
          <m:num>
            <m:sSub>
              <m:e>
                <m:r>
                  <w:rPr>
                    <w:sz w:val="18"/>
                  </w:rPr>
                  <m:t>n</m:t>
                </m:r>
              </m:e>
              <m:sub>
                <m:r>
                  <w:rPr>
                    <w:sz w:val="18"/>
                  </w:rPr>
                  <m:t>i</m:t>
                </m:r>
                <m:r>
                  <w:rPr>
                    <w:sz w:val="18"/>
                  </w:rPr>
                  <m:t>j</m:t>
                </m:r>
              </m:sub>
            </m:sSub>
          </m:num>
          <m:den>
            <m:sSub>
              <m:e>
                <m:r>
                  <w:rPr>
                    <w:sz w:val="18"/>
                  </w:rPr>
                  <m:t>n</m:t>
                </m:r>
              </m:e>
              <m:sub>
                <m:r>
                  <w:rPr>
                    <w:sz w:val="18"/>
                  </w:rPr>
                  <m:t>i</m:t>
                </m:r>
              </m:sub>
            </m:sSub>
          </m:den>
        </m:f>
        <m:r>
          <w:rPr>
            <w:sz w:val="18"/>
          </w:rPr>
          <m:rPr>
            <m:sty m:val="p"/>
          </m:rPr>
          <m:t>,</m:t>
        </m:r>
        <m:r>
          <w:rPr>
            <w:sz w:val="18"/>
          </w:rPr>
          <m:t> </m:t>
        </m:r>
        <m:sSub>
          <m:e>
            <m:acc>
              <m:accPr>
                <m:chr m:val="̂"/>
              </m:accPr>
              <m:e>
                <m:r>
                  <w:rPr>
                    <w:sz w:val="18"/>
                  </w:rPr>
                  <m:t>A</m:t>
                </m:r>
              </m:e>
            </m:acc>
          </m:e>
          <m:sub>
            <m:r>
              <w:rPr>
                <w:sz w:val="18"/>
              </w:rPr>
              <m:t>j</m:t>
            </m:r>
          </m:sub>
        </m:sSub>
        <m:r>
          <w:rPr>
            <w:sz w:val="18"/>
          </w:rPr>
          <m:rPr>
            <m:sty m:val="p"/>
          </m:rPr>
          <m:t>=</m:t>
        </m:r>
        <m:r>
          <w:rPr>
            <w:sz w:val="18"/>
          </w:rPr>
          <m:t>A</m:t>
        </m:r>
        <m:nary>
          <m:naryPr>
            <m:chr m:val="∑"/>
            <m:limLoc m:val="undOvr"/>
            <m:subHide m:val="off"/>
            <m:supHide m:val="on"/>
          </m:naryPr>
          <m:sub>
            <m:r>
              <w:rPr>
                <w:sz w:val="18"/>
              </w:rPr>
              <m:t>i</m:t>
            </m:r>
          </m:sub>
          <m:sup>
            <m:r>
              <w:rPr>
                <w:sz w:val="18"/>
              </w:rPr>
              <m:t>​</m:t>
            </m:r>
          </m:sup>
          <m:e>
            <m:sSub>
              <m:e>
                <m:r>
                  <w:rPr>
                    <w:sz w:val="18"/>
                  </w:rPr>
                  <m:t>W</m:t>
                </m:r>
              </m:e>
              <m:sub>
                <m:r>
                  <w:rPr>
                    <w:sz w:val="18"/>
                  </w:rPr>
                  <m:t>i</m:t>
                </m:r>
              </m:sub>
            </m:sSub>
          </m:e>
        </m:nary>
        <m:sSub>
          <m:e>
            <m:acc>
              <m:accPr>
                <m:chr m:val="̂"/>
              </m:accPr>
              <m:e>
                <m:r>
                  <w:rPr>
                    <w:sz w:val="18"/>
                  </w:rPr>
                  <m:t>p</m:t>
                </m:r>
              </m:e>
            </m:acc>
          </m:e>
          <m:sub>
            <m:r>
              <w:rPr>
                <w:sz w:val="18"/>
              </w:rPr>
              <m:t>i</m:t>
            </m:r>
            <m:r>
              <w:rPr>
                <w:sz w:val="18"/>
              </w:rPr>
              <m:t>j</m:t>
            </m:r>
          </m:sub>
        </m:sSub>
      </m:oMath>
    </w:p>
    <w:p>
      <w:pPr>
        <w:keepNext/>
        <w:spacing w:before="40" w:after="60"/>
      </w:pPr>
      <w:r>
        <w:rPr>
          <w:rFonts w:ascii="Lato" w:hAnsi="Lato"/>
          <w:color w:val="315B50"/>
          <w:sz w:val="16"/>
        </w:rPr>
        <w:t>Use the sampling design and domain required by M01.4. W_i is the mapped stratum weight, not an estimated weight by default; n_ij and n_i are reference counts. This upstream estimator is not fitted by the account workbook.</w:t>
      </w:r>
    </w:p>
    <w:p>
      <w:pPr>
        <w:keepNext/>
        <w:spacing w:before="40" w:after="60"/>
      </w:pPr>
      <w:r>
        <w:rPr>
          <w:rFonts w:ascii="Lato" w:hAnsi="Lato"/>
          <w:color w:val="315B50"/>
          <w:sz w:val="14"/>
        </w:rPr>
        <w:t>Basis: M01.4; M01.5; T-03 | Workbook: Evidence!G; Spatial!I; qualified upstream calculation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Stratum / plot / observation set</w:t>
            </w:r>
          </w:p>
          <w:p>
            <w:pPr>
              <w:spacing w:before="40" w:after="40"/>
            </w:pPr>
            <m:oMath>
              <m:r>
                <w:rPr>
                  <w:sz w:val="16"/>
                  <w:color w:val="173E34"/>
                </w:rPr>
                <m:t>i</m:t>
              </m:r>
              <m:r>
                <w:rPr>
                  <w:sz w:val="16"/>
                  <w:color w:val="173E34"/>
                </w:rPr>
                <m:rPr>
                  <m:sty m:val="p"/>
                </m:rPr>
                <m:t>,</m:t>
              </m:r>
              <m:r>
                <w:rPr>
                  <w:sz w:val="16"/>
                  <w:color w:val="173E34"/>
                </w:rPr>
                <m:t> </m:t>
              </m:r>
              <m:r>
                <w:rPr>
                  <w:sz w:val="16"/>
                  <w:color w:val="173E34"/>
                </w:rPr>
                <m:t>j</m:t>
              </m:r>
              <m:r>
                <w:rPr>
                  <w:sz w:val="16"/>
                  <w:color w:val="173E34"/>
                </w:rPr>
                <m:rPr>
                  <m:sty m:val="p"/>
                </m:rPr>
                <m:t>,</m:t>
              </m:r>
              <m:r>
                <w:rPr>
                  <w:sz w:val="16"/>
                  <w:color w:val="173E34"/>
                </w:rPr>
                <m:t> </m:t>
              </m:r>
              <m:sSub>
                <m:e>
                  <m:r>
                    <w:rPr>
                      <w:sz w:val="16"/>
                      <w:color w:val="173E34"/>
                    </w:rPr>
                    <m:t>n</m:t>
                  </m:r>
                </m:e>
                <m:sub>
                  <m:r>
                    <w:rPr>
                      <w:sz w:val="16"/>
                      <w:color w:val="173E34"/>
                    </w:rPr>
                    <m:t>i</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Design, variables and quality controls</w:t>
            </w:r>
          </w:p>
          <w:p>
            <w:pPr>
              <w:spacing w:before="40" w:after="40"/>
            </w:pPr>
            <m:oMath>
              <m:sSub>
                <m:e>
                  <m:r>
                    <w:rPr>
                      <w:sz w:val="16"/>
                      <w:color w:val="173E34"/>
                    </w:rPr>
                    <m:t>W</m:t>
                  </m:r>
                </m:e>
                <m:sub>
                  <m:r>
                    <w:rPr>
                      <w:sz w:val="16"/>
                      <w:color w:val="173E34"/>
                    </w:rPr>
                    <m:t>i</m:t>
                  </m:r>
                </m:sub>
              </m:sSub>
              <m:r>
                <w:rPr>
                  <w:sz w:val="16"/>
                  <w:color w:val="173E34"/>
                </w:rPr>
                <m:rPr>
                  <m:sty m:val="p"/>
                </m:rPr>
                <m:t>,</m:t>
              </m:r>
              <m:r>
                <w:rPr>
                  <w:sz w:val="16"/>
                  <w:color w:val="173E34"/>
                </w:rPr>
                <m:t> </m:t>
              </m:r>
              <m:sSub>
                <m:e>
                  <m:acc>
                    <m:accPr>
                      <m:chr m:val="̂"/>
                    </m:accPr>
                    <m:e>
                      <m:r>
                        <w:rPr>
                          <w:sz w:val="16"/>
                          <w:color w:val="173E34"/>
                        </w:rPr>
                        <m:t>p</m:t>
                      </m:r>
                    </m:e>
                  </m:acc>
                </m:e>
                <m:sub>
                  <m:r>
                    <w:rPr>
                      <w:sz w:val="16"/>
                      <w:color w:val="173E34"/>
                    </w:rPr>
                    <m:t>i</m:t>
                  </m:r>
                  <m:r>
                    <w:rPr>
                      <w:sz w:val="16"/>
                      <w:color w:val="173E34"/>
                    </w:rPr>
                    <m:t>j</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coverage and limitations</w:t>
            </w:r>
          </w:p>
          <w:p>
            <w:pPr>
              <w:spacing w:before="40" w:after="40"/>
            </w:pPr>
            <m:oMath>
              <m:sSub>
                <m:e>
                  <m:acc>
                    <m:accPr>
                      <m:chr m:val="̂"/>
                    </m:accPr>
                    <m:e>
                      <m:r>
                        <w:rPr>
                          <w:sz w:val="16"/>
                          <w:color w:val="173E34"/>
                        </w:rPr>
                        <m:t>A</m:t>
                      </m:r>
                    </m:e>
                  </m:acc>
                </m:e>
                <m:sub>
                  <m:r>
                    <w:rPr>
                      <w:sz w:val="16"/>
                      <w:color w:val="173E34"/>
                    </w:rPr>
                    <m:t>j</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Model and implementation passport</w:t>
      </w:r>
    </w:p>
    <w:p>
      <w:pPr>
        <w:keepNext/>
        <w:spacing w:before="40" w:after="60"/>
      </w:pPr>
      <w:r>
        <w:rPr>
          <w:rFonts w:ascii="Lato" w:hAnsi="Lato"/>
          <w:color w:val="315B50"/>
          <w:sz w:val="18"/>
        </w:rPr>
        <w:t>FEASIBILITY-T08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607"/>
        <w:gridCol w:w="3217"/>
        <w:gridCol w:w="2925"/>
      </w:tblGrid>
      <w:tr>
        <w:trPr>
          <w:trHeight w:val="446" w:hRule="atLeast"/>
          <w:tblHeader/>
        </w:trPr>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 / equation IDs</w:t>
            </w:r>
          </w:p>
          <w:p>
            <w:pPr>
              <w:spacing w:before="40" w:after="40"/>
            </w:pPr>
            <m:oMath>
              <m:sSub>
                <m:e>
                  <m:r>
                    <w:rPr>
                      <w:sz w:val="16"/>
                      <w:color w:val="173E34"/>
                    </w:rPr>
                    <m:t>x</m:t>
                  </m:r>
                </m:e>
                <m:sub>
                  <m:r>
                    <w:rPr>
                      <w:sz w:val="16"/>
                      <w:color w:val="173E34"/>
                    </w:rPr>
                    <m:rPr>
                      <m:sty m:val="p"/>
                    </m:rPr>
                    <m:t>ℓ</m:t>
                  </m:r>
                </m:sub>
              </m:sSub>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Version, parameters and provenance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Calibration / independent test</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CCA and physical-gradient calibration</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val="0"/>
                <w:color w:val="243A36"/>
                <w:sz w:val="16"/>
              </w:rPr>
              <w:t>Membership, rules, inference and MOM</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Classification and temporal transitions</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Independent performance and transfer decision</w:t>
      </w:r>
    </w:p>
    <w:p>
      <w:pPr>
        <w:keepNext/>
        <w:spacing w:after="100" w:line="259" w:lineRule="auto"/>
      </w:pPr>
      <w:r>
        <w:rPr>
          <w:rFonts w:ascii="Arial" w:hAnsi="Arial"/>
          <w:b w:val="0"/>
          <w:i w:val="0"/>
          <w:color w:val="62716E"/>
          <w:sz w:val="18"/>
        </w:rPr>
        <w:t>Report validation design, reference provenance, errors and uncertainty, failed tests and supported domain. Membership is not probability or area. Distinguish shrub vegetation from demonstrated degradation and class changes from physical losses.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NEB002 material reference and evidence pathway</w:t>
      </w:r>
      <w:bookmarkEnd w:id="105"/>
    </w:p>
    <w:p>
      <w:pPr>
        <w:keepNext/>
        <w:spacing w:after="180" w:line="259" w:lineRule="auto"/>
      </w:pPr>
      <w:r>
        <w:rPr>
          <w:rFonts w:ascii="Arial" w:hAnsi="Arial"/>
          <w:b w:val="0"/>
          <w:i w:val="0"/>
          <w:color w:val="62716E"/>
          <w:sz w:val="15"/>
        </w:rPr>
        <w:t>[1] Basis: T-04; T-05; T-06; T-07; T-11; T-12; T-13; T-15; FRM-08</w:t>
      </w:r>
    </w:p>
    <w:p>
      <w:pPr>
        <w:pStyle w:val="Heading2"/>
        <w:keepNext/>
      </w:pPr>
      <w:r>
        <w:t>Pathway by stratum</w:t>
      </w:r>
    </w:p>
    <w:p>
      <w:pPr>
        <w:keepNext/>
        <w:spacing w:before="40" w:after="60"/>
      </w:pPr>
      <w:r>
        <w:rPr>
          <w:rFonts w:ascii="Lato" w:hAnsi="Lato"/>
          <w:color w:val="315B50"/>
          <w:sz w:val="18"/>
        </w:rPr>
        <w:t>FEASIBILITY-T09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510"/>
        <w:gridCol w:w="3217"/>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Stratum / selected route A, B or C</w:t>
            </w:r>
          </w:p>
          <w:p>
            <w:pPr>
              <w:spacing w:before="40" w:after="40"/>
            </w:pPr>
            <m:oMath>
              <m:sSub>
                <m:e>
                  <m:r>
                    <w:rPr>
                      <w:sz w:val="16"/>
                      <w:color w:val="173E34"/>
                    </w:rPr>
                    <m:t>x</m:t>
                  </m:r>
                </m:e>
                <m:sub>
                  <m:r>
                    <w:rPr>
                      <w:sz w:val="16"/>
                      <w:color w:val="173E34"/>
                    </w:rPr>
                    <m:rPr>
                      <m:sty m:val="p"/>
                    </m:rPr>
                    <m:t>ℓ</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Retained or new reference evidence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Applicability and independent checks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Material-to-carbon and calibration record</w:t>
      </w:r>
    </w:p>
    <w:p>
      <w:pPr>
        <w:keepNext/>
        <w:spacing w:before="40" w:after="60"/>
      </w:pPr>
      <w:r>
        <w:rPr>
          <w:rFonts w:ascii="Lato" w:hAnsi="Lato"/>
          <w:color w:val="315B50"/>
          <w:sz w:val="18"/>
        </w:rPr>
        <w:t>FEASIBILITY-T10 / Calculation notation</w:t>
      </w:r>
    </w:p>
    <w:p>
      <w:pPr>
        <w:keepNext/>
        <w:spacing w:before="40" w:after="60"/>
      </w:pPr>
      <m:oMath>
        <m:sSub>
          <m:e>
            <m:r>
              <w:rPr>
                <w:sz w:val="18"/>
              </w:rPr>
              <m:t>C</m:t>
            </m:r>
          </m:e>
          <m:sub>
            <m:r>
              <w:rPr>
                <w:sz w:val="18"/>
              </w:rPr>
              <m:t>j</m:t>
            </m:r>
          </m:sub>
        </m:sSub>
        <m:r>
          <w:rPr>
            <w:sz w:val="18"/>
          </w:rPr>
          <m:rPr>
            <m:sty m:val="p"/>
          </m:rPr>
          <m:t>=</m:t>
        </m:r>
        <m:sSup>
          <m:e>
            <m:r>
              <w:rPr>
                <w:sz w:val="18"/>
              </w:rPr>
              <m:t>10</m:t>
            </m:r>
          </m:e>
          <m:sup>
            <m:r>
              <w:rPr>
                <w:sz w:val="18"/>
              </w:rPr>
              <m:rPr>
                <m:sty m:val="p"/>
              </m:rPr>
              <m:t>−</m:t>
            </m:r>
            <m:r>
              <w:rPr>
                <w:sz w:val="18"/>
              </w:rPr>
              <m:t>3</m:t>
            </m:r>
          </m:sup>
        </m:sSup>
        <m:nary>
          <m:naryPr>
            <m:chr m:val="∑"/>
            <m:limLoc m:val="undOvr"/>
            <m:subHide m:val="off"/>
            <m:supHide m:val="on"/>
          </m:naryPr>
          <m:sub>
            <m:r>
              <w:rPr>
                <w:sz w:val="18"/>
              </w:rPr>
              <m:t>o</m:t>
            </m:r>
          </m:sub>
          <m:sup>
            <m:r>
              <w:rPr>
                <w:sz w:val="18"/>
              </w:rPr>
              <m:t>​</m:t>
            </m:r>
          </m:sup>
          <m:e>
            <m:sSub>
              <m:e>
                <m:r>
                  <w:rPr>
                    <w:sz w:val="18"/>
                  </w:rPr>
                  <m:t>V</m:t>
                </m:r>
              </m:e>
              <m:sub>
                <m:r>
                  <w:rPr>
                    <w:sz w:val="18"/>
                  </w:rPr>
                  <m:t>j</m:t>
                </m:r>
                <m:r>
                  <w:rPr>
                    <w:sz w:val="18"/>
                  </w:rPr>
                  <m:t>o</m:t>
                </m:r>
              </m:sub>
            </m:sSub>
          </m:e>
        </m:nary>
        <m:sSubSup>
          <m:e>
            <m:r>
              <w:rPr>
                <w:sz w:val="18"/>
              </w:rPr>
              <m:t>ρ</m:t>
            </m:r>
          </m:e>
          <m:sub>
            <m:r>
              <w:rPr>
                <w:sz w:val="18"/>
              </w:rPr>
              <m:t>j</m:t>
            </m:r>
            <m:r>
              <w:rPr>
                <w:sz w:val="18"/>
              </w:rPr>
              <m:t>o</m:t>
            </m:r>
          </m:sub>
          <m:sup>
            <m:r>
              <w:rPr>
                <w:sz w:val="18"/>
              </w:rPr>
              <m:t>b</m:t>
            </m:r>
          </m:sup>
        </m:sSubSup>
        <m:sSubSup>
          <m:e>
            <m:r>
              <w:rPr>
                <w:sz w:val="18"/>
              </w:rPr>
              <m:t>f</m:t>
            </m:r>
          </m:e>
          <m:sub>
            <m:r>
              <w:rPr>
                <w:sz w:val="18"/>
              </w:rPr>
              <m:t>j</m:t>
            </m:r>
            <m:r>
              <w:rPr>
                <w:sz w:val="18"/>
              </w:rPr>
              <m:t>o</m:t>
            </m:r>
          </m:sub>
          <m:sup>
            <m:r>
              <w:rPr>
                <w:sz w:val="18"/>
              </w:rPr>
              <m:t>C</m:t>
            </m:r>
          </m:sup>
        </m:sSubSup>
      </m:oMath>
    </w:p>
    <w:p>
      <w:pPr>
        <w:keepNext/>
        <w:spacing w:before="40" w:after="60"/>
      </w:pPr>
      <m:oMath>
        <m:sSub>
          <m:e>
            <m:r>
              <w:rPr>
                <w:sz w:val="18"/>
              </w:rPr>
              <m:t>c</m:t>
            </m:r>
          </m:e>
          <m:sub>
            <m:r>
              <w:rPr>
                <w:sz w:val="18"/>
              </w:rPr>
              <m:t>p</m:t>
            </m:r>
          </m:sub>
        </m:sSub>
        <m:r>
          <w:rPr>
            <w:sz w:val="18"/>
          </w:rPr>
          <m:rPr>
            <m:sty m:val="p"/>
          </m:rPr>
          <m:t>=</m:t>
        </m:r>
        <m:f>
          <m:fPr>
            <m:type m:val="bar"/>
          </m:fPr>
          <m:num>
            <m:nary>
              <m:naryPr>
                <m:chr m:val="∑"/>
                <m:limLoc m:val="undOvr"/>
                <m:subHide m:val="off"/>
                <m:supHide m:val="on"/>
              </m:naryPr>
              <m:sub>
                <m:r>
                  <w:rPr>
                    <w:sz w:val="18"/>
                  </w:rPr>
                  <m:t>j</m:t>
                </m:r>
                <m:r>
                  <w:rPr>
                    <w:sz w:val="18"/>
                  </w:rPr>
                  <m:rPr>
                    <m:sty m:val="p"/>
                  </m:rPr>
                  <m:t>∈</m:t>
                </m:r>
                <m:r>
                  <w:rPr>
                    <w:sz w:val="18"/>
                  </w:rPr>
                  <m:t>p</m:t>
                </m:r>
              </m:sub>
              <m:sup>
                <m:r>
                  <w:rPr>
                    <w:sz w:val="18"/>
                  </w:rPr>
                  <m:t>​</m:t>
                </m:r>
              </m:sup>
              <m:e>
                <m:sSub>
                  <m:e>
                    <m:r>
                      <w:rPr>
                        <w:sz w:val="18"/>
                      </w:rPr>
                      <m:t>C</m:t>
                    </m:r>
                  </m:e>
                  <m:sub>
                    <m:r>
                      <w:rPr>
                        <w:sz w:val="18"/>
                      </w:rPr>
                      <m:t>j</m:t>
                    </m:r>
                  </m:sub>
                </m:sSub>
              </m:e>
            </m:nary>
            <m:r>
              <w:rPr>
                <w:sz w:val="18"/>
              </w:rPr>
              <m:rPr>
                <m:sty m:val="p"/>
              </m:rPr>
              <m:t>+</m:t>
            </m:r>
            <m:sSub>
              <m:e>
                <m:r>
                  <w:rPr>
                    <w:sz w:val="18"/>
                  </w:rPr>
                  <m:t>C</m:t>
                </m:r>
              </m:e>
              <m:sub>
                <m:r>
                  <w:rPr>
                    <w:sz w:val="18"/>
                  </w:rPr>
                  <m:t>p</m:t>
                </m:r>
                <m:r>
                  <w:rPr>
                    <w:sz w:val="18"/>
                  </w:rPr>
                  <m:rPr>
                    <m:sty m:val="p"/>
                  </m:rPr>
                  <m:t>,</m:t>
                </m:r>
                <m:r>
                  <w:rPr>
                    <w:sz w:val="18"/>
                  </w:rPr>
                  <m:rPr>
                    <m:sty m:val="p"/>
                  </m:rPr>
                  <m:t>o</m:t>
                </m:r>
                <m:r>
                  <w:rPr>
                    <w:sz w:val="18"/>
                  </w:rPr>
                  <m:rPr>
                    <m:sty m:val="p"/>
                  </m:rPr>
                  <m:t>t</m:t>
                </m:r>
                <m:r>
                  <w:rPr>
                    <w:sz w:val="18"/>
                  </w:rPr>
                  <m:rPr>
                    <m:sty m:val="p"/>
                  </m:rPr>
                  <m:t>h</m:t>
                </m:r>
                <m:r>
                  <w:rPr>
                    <w:sz w:val="18"/>
                  </w:rPr>
                  <m:rPr>
                    <m:sty m:val="p"/>
                  </m:rPr>
                  <m:t>e</m:t>
                </m:r>
                <m:r>
                  <w:rPr>
                    <w:sz w:val="18"/>
                  </w:rPr>
                  <m:rPr>
                    <m:sty m:val="p"/>
                  </m:rPr>
                  <m:t>r</m:t>
                </m:r>
              </m:sub>
            </m:sSub>
          </m:num>
          <m:den>
            <m:sSub>
              <m:e>
                <m:r>
                  <w:rPr>
                    <w:sz w:val="18"/>
                  </w:rPr>
                  <m:t>a</m:t>
                </m:r>
              </m:e>
              <m:sub>
                <m:r>
                  <w:rPr>
                    <w:sz w:val="18"/>
                  </w:rPr>
                  <m:t>p</m:t>
                </m:r>
              </m:sub>
            </m:sSub>
          </m:den>
        </m:f>
      </m:oMath>
    </w:p>
    <w:p>
      <w:pPr>
        <w:keepNext/>
        <w:spacing w:before="40" w:after="60"/>
      </w:pPr>
      <w:r>
        <w:rPr>
          <w:rFonts w:ascii="Lato" w:hAnsi="Lato"/>
          <w:color w:val="315B50"/>
          <w:sz w:val="16"/>
        </w:rPr>
        <w:t>V is green material volume in m3; rho_b is oven-dry kg per green m3; f_C is dry-mass carbon fraction. C_j is Mg C; c_p is Mg C/ha. The plot denominator a_p is in ha. Pools must be disjoint and moisture conventions matched.</w:t>
      </w:r>
    </w:p>
    <w:p>
      <w:pPr>
        <w:keepNext/>
        <w:spacing w:before="40" w:after="60"/>
      </w:pPr>
      <w:r>
        <w:rPr>
          <w:rFonts w:ascii="Lato" w:hAnsi="Lato"/>
          <w:color w:val="315B50"/>
          <w:sz w:val="14"/>
        </w:rPr>
        <w:t>Basis: M02.1; M02.2; F-M01 | Workbook: Evidence!G; Factors!D:G; upstream organ and plot records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3315"/>
        <w:gridCol w:w="3217"/>
      </w:tblGrid>
      <w:tr>
        <w:trPr>
          <w:trHeight w:val="446" w:hRule="atLeast"/>
          <w:tblHeader/>
        </w:trPr>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Input / compartment / equation</w:t>
            </w:r>
          </w:p>
          <w:p>
            <w:pPr>
              <w:spacing w:before="40" w:after="40"/>
            </w:pPr>
            <m:oMath>
              <m:r>
                <w:rPr>
                  <w:sz w:val="16"/>
                  <w:color w:val="173E34"/>
                </w:rPr>
                <m:t>j</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p</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Units, convention and evidence</w:t>
            </w:r>
          </w:p>
          <w:p>
            <w:pPr>
              <w:spacing w:before="40" w:after="40"/>
            </w:pPr>
            <m:oMath>
              <m:sSub>
                <m:e>
                  <m:r>
                    <w:rPr>
                      <w:sz w:val="16"/>
                      <w:color w:val="173E34"/>
                    </w:rPr>
                    <m:t>V</m:t>
                  </m:r>
                </m:e>
                <m:sub>
                  <m:r>
                    <w:rPr>
                      <w:sz w:val="16"/>
                      <w:color w:val="173E34"/>
                    </w:rPr>
                    <m:t>j</m:t>
                  </m:r>
                  <m:r>
                    <w:rPr>
                      <w:sz w:val="16"/>
                      <w:color w:val="173E34"/>
                    </w:rPr>
                    <m:t>o</m:t>
                  </m:r>
                </m:sub>
              </m:sSub>
              <m:r>
                <w:rPr>
                  <w:sz w:val="16"/>
                  <w:color w:val="173E34"/>
                </w:rPr>
                <m:rPr>
                  <m:sty m:val="p"/>
                </m:rPr>
                <m:t>,</m:t>
              </m:r>
              <m:sSubSup>
                <m:e>
                  <m:r>
                    <w:rPr>
                      <w:sz w:val="16"/>
                      <w:color w:val="173E34"/>
                    </w:rPr>
                    <m:t>ρ</m:t>
                  </m:r>
                </m:e>
                <m:sub>
                  <m:r>
                    <w:rPr>
                      <w:sz w:val="16"/>
                      <w:color w:val="173E34"/>
                    </w:rPr>
                    <m:t>j</m:t>
                  </m:r>
                  <m:r>
                    <w:rPr>
                      <w:sz w:val="16"/>
                      <w:color w:val="173E34"/>
                    </w:rPr>
                    <m:t>o</m:t>
                  </m:r>
                </m:sub>
                <m:sup>
                  <m:r>
                    <w:rPr>
                      <w:sz w:val="16"/>
                      <w:color w:val="173E34"/>
                    </w:rPr>
                    <m:t>b</m:t>
                  </m:r>
                </m:sup>
              </m:sSubSup>
              <m:r>
                <w:rPr>
                  <w:sz w:val="16"/>
                  <w:color w:val="173E34"/>
                </w:rPr>
                <m:rPr>
                  <m:sty m:val="p"/>
                </m:rPr>
                <m:t>,</m:t>
              </m:r>
              <m:r>
                <w:rPr>
                  <w:sz w:val="16"/>
                  <w:color w:val="173E34"/>
                </w:rPr>
                <m:t> </m:t>
              </m:r>
              <m:sSubSup>
                <m:e>
                  <m:r>
                    <w:rPr>
                      <w:sz w:val="16"/>
                      <w:color w:val="173E34"/>
                    </w:rPr>
                    <m:t>f</m:t>
                  </m:r>
                </m:e>
                <m:sub>
                  <m:r>
                    <w:rPr>
                      <w:sz w:val="16"/>
                      <w:color w:val="173E34"/>
                    </w:rPr>
                    <m:t>j</m:t>
                  </m:r>
                  <m:r>
                    <w:rPr>
                      <w:sz w:val="16"/>
                      <w:color w:val="173E34"/>
                    </w:rPr>
                    <m:t>o</m:t>
                  </m:r>
                </m:sub>
                <m:sup>
                  <m:r>
                    <w:rPr>
                      <w:sz w:val="16"/>
                      <w:color w:val="173E34"/>
                    </w:rPr>
                    <m:t>C</m:t>
                  </m:r>
                </m:sup>
              </m:sSubSup>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Calibration, uncertainty and test</w:t>
            </w:r>
          </w:p>
          <w:p>
            <w:pPr>
              <w:spacing w:before="40" w:after="40"/>
            </w:pPr>
            <m:oMath>
              <m:sSub>
                <m:e>
                  <m:r>
                    <w:rPr>
                      <w:sz w:val="16"/>
                      <w:color w:val="173E34"/>
                    </w:rPr>
                    <m:t>C</m:t>
                  </m:r>
                </m:e>
                <m:sub>
                  <m:r>
                    <w:rPr>
                      <w:sz w:val="16"/>
                      <w:color w:val="173E34"/>
                    </w:rPr>
                    <m:t>j</m:t>
                  </m:r>
                </m:sub>
              </m:sSub>
              <m:r>
                <w:rPr>
                  <w:sz w:val="16"/>
                  <w:color w:val="173E34"/>
                </w:rPr>
                <m:rPr>
                  <m:sty m:val="p"/>
                </m:rPr>
                <m:t>,</m:t>
              </m:r>
              <m:r>
                <w:rPr>
                  <w:sz w:val="16"/>
                  <w:color w:val="173E34"/>
                </w:rPr>
                <m:t> </m:t>
              </m:r>
              <m:sSub>
                <m:e>
                  <m:r>
                    <w:rPr>
                      <w:sz w:val="16"/>
                      <w:color w:val="173E34"/>
                    </w:rPr>
                    <m:t>c</m:t>
                  </m:r>
                </m:e>
                <m:sub>
                  <m:r>
                    <w:rPr>
                      <w:sz w:val="16"/>
                      <w:color w:val="173E34"/>
                    </w:rPr>
                    <m:t>p</m:t>
                  </m:r>
                </m:sub>
              </m:sSub>
            </m:oMath>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Reference qualification and completeness</w:t>
      </w:r>
    </w:p>
    <w:p>
      <w:pPr>
        <w:keepNext/>
        <w:spacing w:after="100" w:line="259" w:lineRule="auto"/>
      </w:pPr>
      <w:r>
        <w:rPr>
          <w:rFonts w:ascii="Arial" w:hAnsi="Arial"/>
          <w:b w:val="0"/>
          <w:i w:val="0"/>
          <w:color w:val="62716E"/>
          <w:sz w:val="18"/>
        </w:rPr>
        <w:t>For new material evidence, document volume, disjoint organs, dry/green density conventions, tissue fractions and quality controls. For libraries, provide actual model records and transfer tests. For secondary products, establish support and a complete-account conservative treatment.</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No universal architectural uplift or automatic conventional-estimator ceiling is assumed. A finer map does not independently validate its inherited carbon labels.</w:t>
      </w:r>
    </w:p>
    <w:p>
      <w:r>
        <w:br w:type="page"/>
      </w:r>
    </w:p>
    <w:p>
      <w:bookmarkStart w:id="106" w:name="Section_6"/>
      <w:pPr>
        <w:pStyle w:val="Heading1"/>
        <w:keepNext/>
      </w:pPr>
      <w:r>
        <w:t>06  Baseline, interventions and continuing additionality</w:t>
      </w:r>
      <w:bookmarkEnd w:id="106"/>
    </w:p>
    <w:p>
      <w:pPr>
        <w:keepNext/>
        <w:spacing w:after="180" w:line="259" w:lineRule="auto"/>
      </w:pPr>
      <w:r>
        <w:rPr>
          <w:rFonts w:ascii="Arial" w:hAnsi="Arial"/>
          <w:b w:val="0"/>
          <w:i w:val="0"/>
          <w:color w:val="62716E"/>
          <w:sz w:val="15"/>
        </w:rPr>
        <w:t>[1] Basis: S-08; S-09; AO-05; AO-06; AO-07; AO-08; AO-10; FRM-01/AO</w:t>
      </w:r>
    </w:p>
    <w:p>
      <w:pPr>
        <w:pStyle w:val="Heading2"/>
        <w:keepNext/>
      </w:pPr>
      <w:r>
        <w:t>Baseline alternatives and selection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217"/>
        <w:gridCol w:w="3217"/>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Alternative / driver / spatial support</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Credibility, status and evidence</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Selection / rejection and sensitivity</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Intervention-level additionality</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Intervention / implementing party</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Driver, barrier and causal mechanism</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Test, counterfactual and evidence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Continuing assessment and prior interventions</w:t>
      </w:r>
    </w:p>
    <w:p>
      <w:pPr>
        <w:keepNext/>
        <w:spacing w:after="100" w:line="259" w:lineRule="auto"/>
      </w:pPr>
      <w:r>
        <w:rPr>
          <w:rFonts w:ascii="Arial" w:hAnsi="Arial"/>
          <w:b w:val="0"/>
          <w:i w:val="0"/>
          <w:color w:val="62716E"/>
          <w:sz w:val="18"/>
        </w:rPr>
        <w:t>Reference legal duties, common practice and relevant financing tests. Address existing activities affecting the counterfactual, timing of evidence, governance indicators, review triggers and controlled reassessment without opportunistic baseline resets.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Quantification, parameters and uncertainty</w:t>
      </w:r>
      <w:bookmarkEnd w:id="107"/>
    </w:p>
    <w:p>
      <w:pPr>
        <w:keepNext/>
        <w:spacing w:after="180" w:line="259" w:lineRule="auto"/>
      </w:pPr>
      <w:r>
        <w:rPr>
          <w:rFonts w:ascii="Arial" w:hAnsi="Arial"/>
          <w:b w:val="0"/>
          <w:i w:val="0"/>
          <w:color w:val="62716E"/>
          <w:sz w:val="15"/>
        </w:rPr>
        <w:t>[1] Basis: F-01; F-02; T-08; T-09; T-14; T-16; FRM-05; FRM-08</w:t>
      </w:r>
    </w:p>
    <w:p>
      <w:pPr>
        <w:pStyle w:val="Heading2"/>
        <w:keepNext/>
      </w:pPr>
      <w:r>
        <w:t>Complete calculation chain</w:t>
      </w:r>
    </w:p>
    <w:p>
      <w:pPr>
        <w:keepNext/>
        <w:spacing w:before="40" w:after="60"/>
      </w:pPr>
      <w:r>
        <w:rPr>
          <w:rFonts w:ascii="Lato" w:hAnsi="Lato"/>
          <w:color w:val="315B50"/>
          <w:sz w:val="18"/>
        </w:rPr>
        <w:t>FEASIBILITY-T13 / Calculation notation</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x and f have reciprocal units yielding t CO2e per period. I is the set of included, evidenced, disjoint components for the same basis, period and account. For precomputed mass, f=1 must be explicitly entered with its meaning. BL and PJ are net emissions; LK is attributable leakage.</w:t>
      </w:r>
    </w:p>
    <w:p>
      <w:pPr>
        <w:keepNext/>
        <w:spacing w:before="40" w:after="60"/>
      </w:pPr>
      <w:r>
        <w:rPr>
          <w:rFonts w:ascii="Lato" w:hAnsi="Lato"/>
          <w:color w:val="315B50"/>
          <w:sz w:val="14"/>
        </w:rPr>
        <w:t>Basis: M04.4; M04.5; T-08; arithmetic implementation | Workbook: Components!G:I; ExAnte!F:H; ExPost!F:H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900"/>
        <w:gridCol w:w="2925"/>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Output / equation IDs</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90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Inputs, support, units and source</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Result, status and evidence</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Uncertainty and sensitivity budget</w:t>
      </w:r>
    </w:p>
    <w:p>
      <w:pPr>
        <w:keepNext/>
        <w:spacing w:before="40" w:after="60"/>
      </w:pPr>
      <w:r>
        <w:rPr>
          <w:rFonts w:ascii="Lato" w:hAnsi="Lato"/>
          <w:color w:val="315B50"/>
          <w:sz w:val="18"/>
        </w:rPr>
        <w:t>FEASIBILITY-T14 / Calculation notation</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before="40" w:after="60"/>
      </w:pPr>
      <w:r>
        <w:rPr>
          <w:rFonts w:ascii="Lato" w:hAnsi="Lato"/>
          <w:color w:val="315B50"/>
          <w:sz w:val="14"/>
        </w:rPr>
        <w:t>Basis: F-U01; M05.1; M05.2 | Workbook: Qualified uncertainty calculation;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705"/>
        <w:gridCol w:w="302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 / possible bias</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70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Quantification, covariance or bound</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Effect and acceptance evidence</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Reconciliation and parameter decisions</w:t>
      </w:r>
    </w:p>
    <w:p>
      <w:pPr>
        <w:keepNext/>
        <w:spacing w:after="100" w:line="259" w:lineRule="auto"/>
      </w:pPr>
      <w:r>
        <w:rPr>
          <w:rFonts w:ascii="Arial" w:hAnsi="Arial"/>
          <w:b w:val="0"/>
          <w:i w:val="0"/>
          <w:color w:val="62716E"/>
          <w:sz w:val="18"/>
        </w:rPr>
        <w:t>Attach the complete reproducible calculation and FRM-05 AP-01–AP-12 profile. Separate observations, calibration, assumptions and projections. State the materiality basis and conservative direction for the full net account. Retain negative results and failed tests.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Leakage, risk, liabilities and reserve design</w:t>
      </w:r>
      <w:bookmarkEnd w:id="108"/>
    </w:p>
    <w:p>
      <w:pPr>
        <w:keepNext/>
        <w:spacing w:after="180" w:line="259" w:lineRule="auto"/>
      </w:pPr>
      <w:r>
        <w:rPr>
          <w:rFonts w:ascii="Arial" w:hAnsi="Arial"/>
          <w:b w:val="0"/>
          <w:i w:val="0"/>
          <w:color w:val="62716E"/>
          <w:sz w:val="15"/>
        </w:rPr>
        <w:t>[1] Basis: S-10; S-11; T-17; T-18; T-19; T-20; F-03; FRM-09; FRM-02/C</w:t>
      </w:r>
    </w:p>
    <w:p>
      <w:pPr>
        <w:pStyle w:val="Heading2"/>
        <w:keepNext/>
      </w:pPr>
      <w:r>
        <w:t>Leakage and residual-risk dossier</w:t>
      </w:r>
    </w:p>
    <w:p>
      <w:pPr>
        <w:keepNext/>
        <w:spacing w:before="40" w:after="60"/>
      </w:pPr>
      <w:r>
        <w:rPr>
          <w:rFonts w:ascii="Lato" w:hAnsi="Lato"/>
          <w:color w:val="315B50"/>
          <w:sz w:val="18"/>
        </w:rPr>
        <w:t>FEASIBILITY-T15 / Calculation notation</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The two accounts have matched geography, activities, gases and intervals. Any source ratio remains an explicit numerator/denominator, not an assumed percentage. A signed diagnostic does not automatically authorize an extra benefit; the applicable attribution profile governs.</w:t>
      </w:r>
    </w:p>
    <w:p>
      <w:pPr>
        <w:keepNext/>
        <w:spacing w:before="40" w:after="60"/>
      </w:pPr>
      <w:r>
        <w:rPr>
          <w:rFonts w:ascii="Lato" w:hAnsi="Lato"/>
          <w:color w:val="315B50"/>
          <w:sz w:val="14"/>
        </w:rPr>
        <w:t>Basis: F-L01; T-08 | Workbook: Components!D=LK; ExAnte!H; ExPost!H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Source / exposure / horizon</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model or stress treatment</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Control, responsibility and residual loss</w:t>
            </w:r>
          </w:p>
          <w:p>
            <w:pPr>
              <w:spacing w:before="40" w:after="40"/>
            </w:pPr>
            <m:oMath>
              <m:sSub>
                <m:e>
                  <m:acc>
                    <m:accPr>
                      <m:chr m:val="̂"/>
                    </m:accPr>
                    <m:e>
                      <m:r>
                        <w:rPr>
                          <w:sz w:val="16"/>
                          <w:color w:val="173E34"/>
                        </w:rPr>
                        <m:t>L</m:t>
                      </m:r>
                    </m:e>
                  </m:acc>
                </m:e>
                <m:sub>
                  <m:r>
                    <w:rPr>
                      <w:sz w:val="16"/>
                      <w:color w:val="173E34"/>
                    </w:rPr>
                    <m:t>t</m:t>
                  </m:r>
                </m:sub>
              </m:sSub>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Liability and reserve profile</w:t>
      </w:r>
    </w:p>
    <w:p>
      <w:pPr>
        <w:keepNext/>
        <w:spacing w:before="40" w:after="60"/>
      </w:pPr>
      <w:r>
        <w:rPr>
          <w:rFonts w:ascii="Lato" w:hAnsi="Lato"/>
          <w:color w:val="315B50"/>
          <w:sz w:val="18"/>
        </w:rPr>
        <w:t>FEASIBILITY-T16 / Calculation notation</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distinguishes a worksheet proposal from an executed posting. D_set is actual evidenced settlement; D_rem = D - D_set. Do not reduce posted liability by D_cand. A larger required reserve than the candidate base is a shortfall, not funded protection. No rounding is implied.</w:t>
      </w:r>
    </w:p>
    <w:p>
      <w:pPr>
        <w:keepNext/>
        <w:spacing w:before="40" w:after="60"/>
      </w:pPr>
      <w:r>
        <w:rPr>
          <w:rFonts w:ascii="Lato" w:hAnsi="Lato"/>
          <w:color w:val="315B50"/>
          <w:sz w:val="14"/>
        </w:rPr>
        <w:t>Basis: M05.4; M05.5; F-R03 | Workbook: Settlement!B:L; ExAnte!M:O (forecast only)</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217"/>
        <w:gridCol w:w="3120"/>
      </w:tblGrid>
      <w:tr>
        <w:trPr>
          <w:trHeight w:val="446" w:hRule="atLeast"/>
          <w:tblHeader/>
        </w:trPr>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Item</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Rule and evidence</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Authorization / unresolved decision</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Prior compatible liabilities</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val="0"/>
                <w:color w:val="243A36"/>
                <w:sz w:val="16"/>
              </w:rPr>
              <w:t>Post-liability reserve base / F-R03</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Negative-result treatment / F-R05a/b</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val="0"/>
                <w:color w:val="243A36"/>
                <w:sz w:val="16"/>
              </w:rPr>
              <w:t>Protection, remedy and replenishment</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Distinguish uncertainty conservativeness from a physical reversal, and required protection from newly funded reserve. Candidate settlement is not executed settlement. Record the applicable AP-09 decision; no reserve percentage is set here.</w:t>
      </w:r>
    </w:p>
    <w:p>
      <w:r>
        <w:br w:type="page"/>
      </w:r>
    </w:p>
    <w:p>
      <w:bookmarkStart w:id="109" w:name="Section_9"/>
      <w:pPr>
        <w:pStyle w:val="Heading1"/>
        <w:keepNext/>
      </w:pPr>
      <w:r>
        <w:t>09  Safeguards, consent, benefits and overlapping claims</w:t>
      </w:r>
      <w:bookmarkEnd w:id="109"/>
    </w:p>
    <w:p>
      <w:pPr>
        <w:keepNext/>
        <w:spacing w:after="180" w:line="259" w:lineRule="auto"/>
      </w:pPr>
      <w:r>
        <w:rPr>
          <w:rFonts w:ascii="Arial" w:hAnsi="Arial"/>
          <w:b w:val="0"/>
          <w:i w:val="0"/>
          <w:color w:val="62716E"/>
          <w:sz w:val="15"/>
        </w:rPr>
        <w:t>[1] Basis: S-12; S-13; S-17; AO-03; AO-04; AO-09; AO-10; AO-12; FRM-04/AO</w:t>
      </w:r>
    </w:p>
    <w:p>
      <w:pPr>
        <w:pStyle w:val="Heading2"/>
        <w:keepNext/>
      </w:pPr>
      <w:r>
        <w:t>Participation, consent and safeguard evidence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900"/>
        <w:gridCol w:w="2925"/>
      </w:tblGrid>
      <w:tr>
        <w:trPr>
          <w:trHeight w:val="446"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Affected party / issue</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method and independent check</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Agreement, grievance and action</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Overlap disposition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120"/>
        <w:gridCol w:w="3217"/>
      </w:tblGrid>
      <w:tr>
        <w:trPr>
          <w:trHeight w:val="446" w:hRule="atLeast"/>
          <w:tblHeader/>
        </w:trPr>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Area, period and outcome intersection</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Authority and earlier interventions</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Resolution / bounded hold / evidence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Benefits, adverse impacts and monitoring commitments</w:t>
      </w:r>
    </w:p>
    <w:p>
      <w:pPr>
        <w:keepNext/>
        <w:spacing w:after="100" w:line="259" w:lineRule="auto"/>
      </w:pPr>
      <w:r>
        <w:rPr>
          <w:rFonts w:ascii="Arial" w:hAnsi="Arial"/>
          <w:b w:val="0"/>
          <w:i w:val="0"/>
          <w:color w:val="62716E"/>
          <w:sz w:val="18"/>
        </w:rPr>
        <w:t>Document agreed benefit-sharing, adverse-impact prevention, accessible complaint arrangements and independent assessment access. Distinguish observed outcomes from intended benefits; do not equate different attributes.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Implementation, monitoring and operational feasibility</w:t>
      </w:r>
      <w:bookmarkEnd w:id="110"/>
    </w:p>
    <w:p>
      <w:pPr>
        <w:keepNext/>
        <w:spacing w:after="180" w:line="259" w:lineRule="auto"/>
      </w:pPr>
      <w:r>
        <w:rPr>
          <w:rFonts w:ascii="Arial" w:hAnsi="Arial"/>
          <w:b w:val="0"/>
          <w:i w:val="0"/>
          <w:color w:val="62716E"/>
          <w:sz w:val="15"/>
        </w:rPr>
        <w:t>[1] Basis: S-25; P-02; P-03; P-04; CYC-04; CYC-06</w:t>
      </w:r>
    </w:p>
    <w:p>
      <w:pPr>
        <w:pStyle w:val="Heading2"/>
        <w:keepNext/>
      </w:pPr>
      <w:r>
        <w:t>Implementation and resources</w:t>
      </w:r>
    </w:p>
    <w:p>
      <w:pPr>
        <w:keepNext/>
        <w:spacing w:before="40" w:after="60"/>
      </w:pPr>
      <w:r>
        <w:rPr>
          <w:rFonts w:ascii="Lato" w:hAnsi="Lato"/>
          <w:color w:val="315B50"/>
          <w:sz w:val="18"/>
        </w:rPr>
        <w:t>FEASIBILITY-T19 / Calculation notation</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is the recorded cost or resource amount in the explicitly identified currency and price date. Enter the actual budgeting equation and its data source if calculated. This label supplies no price, discount rate, financial formula, or emission factor.</w:t>
      </w:r>
    </w:p>
    <w:p>
      <w:pPr>
        <w:keepNext/>
        <w:spacing w:before="40" w:after="60"/>
      </w:pPr>
      <w:r>
        <w:rPr>
          <w:rFonts w:ascii="Lato" w:hAnsi="Lato"/>
          <w:color w:val="315B50"/>
          <w:sz w:val="14"/>
        </w:rPr>
        <w:t>Basis: CYC-03; CYC-04; CYC-05; data label | Workbook: Project budget attachment;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Activity / milestone</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Implementer / resource commitment</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Schedule / constraint / evidence</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Monitoring variable register</w:t>
      </w:r>
    </w:p>
    <w:p>
      <w:pPr>
        <w:keepNext/>
        <w:spacing w:before="40" w:after="60"/>
      </w:pPr>
      <w:r>
        <w:rPr>
          <w:rFonts w:ascii="Lato" w:hAnsi="Lato"/>
          <w:color w:val="315B50"/>
          <w:sz w:val="18"/>
        </w:rPr>
        <w:t>FEASIBILITY-T20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3802"/>
        <w:gridCol w:w="3022"/>
      </w:tblGrid>
      <w:tr>
        <w:trPr>
          <w:trHeight w:val="446" w:hRule="atLeast"/>
          <w:tblHeader/>
        </w:trPr>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equation / support</w:t>
            </w:r>
          </w:p>
          <w:p>
            <w:pPr>
              <w:spacing w:before="40" w:after="40"/>
            </w:pPr>
            <m:oMath>
              <m:sSub>
                <m:e>
                  <m:r>
                    <w:rPr>
                      <w:sz w:val="16"/>
                      <w:color w:val="173E34"/>
                    </w:rPr>
                    <m:t>x</m:t>
                  </m:r>
                </m:e>
                <m:sub>
                  <m:r>
                    <w:rPr>
                      <w:sz w:val="16"/>
                      <w:color w:val="173E34"/>
                    </w:rPr>
                    <m:rPr>
                      <m:sty m:val="p"/>
                    </m:rPr>
                    <m:t>ℓ</m:t>
                  </m:r>
                </m:sub>
              </m:sSub>
            </m:oMath>
          </w:p>
        </w:tc>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Method, frequency and responsible party</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Calibration, quality control and gaps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80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Demonstrated feasibility and contingency</w:t>
      </w:r>
    </w:p>
    <w:p>
      <w:pPr>
        <w:keepNext/>
        <w:spacing w:after="100" w:line="259" w:lineRule="auto"/>
      </w:pPr>
      <w:r>
        <w:rPr>
          <w:rFonts w:ascii="Arial" w:hAnsi="Arial"/>
          <w:b w:val="0"/>
          <w:i w:val="0"/>
          <w:color w:val="62716E"/>
          <w:sz w:val="18"/>
        </w:rPr>
        <w:t>Assess technical, environmental, social, legal, operational and resource feasibility separately. Record safety, access, seasonal limits, backup arrangements, event response and the financial assumptions supporting implementation.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1" w:name="Section_11"/>
      <w:pPr>
        <w:pStyle w:val="Heading1"/>
        <w:keepNext/>
      </w:pPr>
      <w:r>
        <w:t>11  Project Description handover and remaining conditions</w:t>
      </w:r>
      <w:bookmarkEnd w:id="111"/>
    </w:p>
    <w:p>
      <w:pPr>
        <w:keepNext/>
        <w:spacing w:after="180" w:line="259" w:lineRule="auto"/>
      </w:pPr>
      <w:r>
        <w:rPr>
          <w:rFonts w:ascii="Arial" w:hAnsi="Arial"/>
          <w:b w:val="0"/>
          <w:i w:val="0"/>
          <w:color w:val="62716E"/>
          <w:sz w:val="15"/>
        </w:rPr>
        <w:t>[1] Basis: CYC-04; CYC-05; S-16; S-18; MIG-01; MIG-07; U-01</w:t>
      </w:r>
    </w:p>
    <w:p>
      <w:pPr>
        <w:pStyle w:val="Heading2"/>
        <w:keepNext/>
      </w:pPr>
      <w:r>
        <w:t>Feasibility conclusions by dimension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900"/>
        <w:gridCol w:w="3022"/>
      </w:tblGrid>
      <w:tr>
        <w:trPr>
          <w:trHeight w:val="446" w:hRule="atLeast"/>
          <w:tblHeader/>
        </w:trPr>
        <w:tc>
          <w:tcPr>
            <w:tcW w:type="dxa" w:w="282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Dimension</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Conclusion and supporting evidence</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Constraint / responsible party / action</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Technical / environmental</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val="0"/>
                <w:color w:val="243A36"/>
                <w:sz w:val="16"/>
              </w:rPr>
              <w:t>Social / safeguards</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Legal / rights</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val="0"/>
                <w:color w:val="243A36"/>
                <w:sz w:val="16"/>
              </w:rPr>
              <w:t>Operational / resources</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PD transfer package</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022"/>
        <w:gridCol w:w="370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 / output</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 and custodian</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Outstanding condition / gate affected</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Requested supported scope</w:t>
      </w:r>
    </w:p>
    <w:p>
      <w:pPr>
        <w:keepNext/>
        <w:spacing w:after="100" w:line="259" w:lineRule="auto"/>
      </w:pPr>
      <w:r>
        <w:rPr>
          <w:rFonts w:ascii="Arial" w:hAnsi="Arial"/>
          <w:b w:val="0"/>
          <w:i w:val="0"/>
          <w:color w:val="62716E"/>
          <w:sz w:val="18"/>
        </w:rPr>
        <w:t>Identify the activities, strata and attributes supported for PD preparation. Record historical-data or migration decisions separately and preserve liabilities. Do not represent feasibility as independent outcome verification.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2" w:name="Section_12"/>
      <w:pPr>
        <w:pStyle w:val="Heading1"/>
        <w:keepNext/>
      </w:pPr>
      <w:r>
        <w:t>12  Evidence, annexes and references</w:t>
      </w:r>
      <w:bookmarkEnd w:id="112"/>
    </w:p>
    <w:p>
      <w:pPr>
        <w:keepNext/>
        <w:spacing w:after="180" w:line="259" w:lineRule="auto"/>
      </w:pPr>
      <w:r>
        <w:rPr>
          <w:rFonts w:ascii="Arial" w:hAnsi="Arial"/>
          <w:b w:val="0"/>
          <w:i w:val="0"/>
          <w:color w:val="62716E"/>
          <w:sz w:val="15"/>
        </w:rPr>
        <w:t>[1] Basis: F-01; S-17; P-04; A-05</w:t>
      </w:r>
    </w:p>
    <w:p>
      <w:pPr>
        <w:keepNext w:val="0"/>
        <w:spacing w:after="160" w:line="259" w:lineRule="auto"/>
        <w:shd w:fill="F1F5F2"/>
      </w:pPr>
      <w:r>
        <w:rPr>
          <w:rFonts w:ascii="Arial" w:hAnsi="Arial"/>
          <w:b w:val="0"/>
          <w:i w:val="0"/>
          <w:color w:val="215F52"/>
          <w:sz w:val="18"/>
        </w:rPr>
        <w:t>Give every annex an identifier, version, date, custodian and exact location. Cite the source of every material input. Keep restricted supporting evidence separately accessible to authorized reviewers; do not hide the methodological basis of a claim.</w:t>
      </w:r>
    </w:p>
    <w:p>
      <w:pPr>
        <w:pStyle w:val="Heading2"/>
        <w:keepNext/>
      </w:pPr>
      <w:r>
        <w:t>Annex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Annex / evidence ID</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Contents and linked section</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Custodian / access / version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Project-specific references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Reference ID</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Full citation / exact version</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Use in this dossier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Reproducibility and transfer</w:t>
      </w:r>
    </w:p>
    <w:p>
      <w:pPr>
        <w:keepNext/>
        <w:spacing w:after="100" w:line="259" w:lineRule="auto"/>
      </w:pPr>
      <w:r>
        <w:rPr>
          <w:rFonts w:ascii="Arial" w:hAnsi="Arial"/>
          <w:b w:val="0"/>
          <w:i w:val="0"/>
          <w:color w:val="62716E"/>
          <w:sz w:val="18"/>
        </w:rPr>
        <w:t>Identify the approved evidence package, calculation files, access arrangements and responsible custodian. Resolve all broken references before submission.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3" w:name="Section_13"/>
      <w:pPr>
        <w:pStyle w:val="Heading1"/>
        <w:keepNext/>
      </w:pPr>
      <w:r>
        <w:t>13  Submission, review and stage decision</w:t>
      </w:r>
      <w:bookmarkEnd w:id="113"/>
    </w:p>
    <w:p>
      <w:pPr>
        <w:keepNext/>
        <w:spacing w:after="180" w:line="259" w:lineRule="auto"/>
      </w:pPr>
      <w:r>
        <w:rPr>
          <w:rFonts w:ascii="Arial" w:hAnsi="Arial"/>
          <w:b w:val="0"/>
          <w:i w:val="0"/>
          <w:color w:val="62716E"/>
          <w:sz w:val="15"/>
        </w:rPr>
        <w:t>[1] Basis: CYC-01; CYC-04; S-16; S-22; S-23; FRM-03; FRM-06; A-12; A-13</w:t>
      </w:r>
    </w:p>
    <w:p>
      <w:pPr>
        <w:keepNext w:val="0"/>
        <w:spacing w:after="160" w:line="259" w:lineRule="auto"/>
        <w:shd w:fill="F1F5F2"/>
      </w:pPr>
      <w:r>
        <w:rPr>
          <w:rFonts w:ascii="Arial" w:hAnsi="Arial"/>
          <w:b w:val="0"/>
          <w:i w:val="0"/>
          <w:color w:val="215F52"/>
          <w:sz w:val="18"/>
        </w:rPr>
        <w:t>Feasibility establishes the supported design scope for preparing the Project Description. It does not constitute independent design validation, registration or issuance.</w:t>
      </w:r>
    </w:p>
    <w:p>
      <w:pPr>
        <w:pStyle w:val="Heading2"/>
        <w:keepNext/>
      </w:pPr>
      <w:r>
        <w:t>Stage-exit review</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Criterion</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 section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Review finding</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Rights, mandates and access substantiated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Methods, calibration and independent checks documented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Calculation, sensitivity, uncertainty and risk reconciled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Safeguards and implementation resources established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Monitoring protocol and PD handover complete</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bl>
    <w:p>
      <w:pPr>
        <w:keepNext w:val="0"/>
        <w:spacing w:after="60" w:line="259" w:lineRule="auto"/>
      </w:pPr>
      <w:r>
        <w:rPr>
          <w:rFonts w:ascii="Arial" w:hAnsi="Arial"/>
          <w:b w:val="0"/>
          <w:i w:val="0"/>
          <w:color w:val="243A36"/>
          <w:sz w:val="2"/>
        </w:rPr>
      </w:r>
    </w:p>
    <w:p>
      <w:pPr>
        <w:pStyle w:val="Heading2"/>
        <w:keepNext/>
      </w:pPr>
      <w:r>
        <w:t>Separate records and signatures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Action / accountable role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Name, date and signature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Decision / scope / record</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Submission / proponent</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Technical preparation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Unconflicted review</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Authorized stage decision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[Advance / correct / defer / decline]</w:t>
            </w:r>
          </w:p>
        </w:tc>
      </w:tr>
    </w:tbl>
    <w:p>
      <w:pPr>
        <w:keepNext w:val="0"/>
        <w:spacing w:after="60" w:line="259" w:lineRule="auto"/>
      </w:pPr>
      <w:r>
        <w:rPr>
          <w:rFonts w:ascii="Arial" w:hAnsi="Arial"/>
          <w:b w:val="0"/>
          <w:i w:val="0"/>
          <w:color w:val="243A36"/>
          <w:sz w:val="2"/>
        </w:rPr>
      </w:r>
    </w:p>
    <w:p>
      <w:pPr>
        <w:pStyle w:val="Heading2"/>
        <w:keepNext/>
      </w:pPr>
      <w:r>
        <w:t>Conditions, unresolved findings and next-stage handover</w:t>
      </w:r>
    </w:p>
    <w:p>
      <w:pPr>
        <w:keepNext/>
        <w:spacing w:after="100" w:line="259" w:lineRule="auto"/>
      </w:pPr>
      <w:r>
        <w:rPr>
          <w:rFonts w:ascii="Arial" w:hAnsi="Arial"/>
          <w:b w:val="0"/>
          <w:i w:val="0"/>
          <w:color w:val="62716E"/>
          <w:sz w:val="18"/>
        </w:rPr>
        <w:t>State the permitted scope, blocked activities or claims, corrective-action owner, evidence required, deadline under the approved profile and receiving party. A blank signature is not approval.</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Ex-ante, ex-post and migration account attachments</w:t>
      </w:r>
      <w:bookmarkEnd w:id="3999"/>
    </w:p>
    <w:p>
      <w:pPr>
        <w:spacing w:after="120"/>
      </w:pPr>
      <w:r>
        <w:rPr>
          <w:rFonts w:ascii="Lato" w:hAnsi="Lato"/>
          <w:b w:val="0"/>
          <w:color w:val="62716E"/>
          <w:sz w:val="16"/>
        </w:rPr>
        <w:t>[1] Basis: CYC-01; CYC-05; F-01; F-03; P-13; MIG-05; FRM-02; FRM-04; FRM-05</w:t>
      </w:r>
    </w:p>
    <w:p>
      <w:pPr>
        <w:pStyle w:val="Heading2"/>
        <w:keepNext/>
      </w:pPr>
      <w:r>
        <w:t>Stage-specific use</w:t>
      </w:r>
    </w:p>
    <w:p>
      <w:pPr>
        <w:spacing w:after="80"/>
      </w:pPr>
      <w:r>
        <w:rPr>
          <w:rFonts w:ascii="Lato" w:hAnsi="Lato"/>
          <w:b w:val="0"/>
          <w:color w:val="62716E"/>
          <w:sz w:val="18"/>
        </w:rPr>
        <w:t>Finalize the supported ex-ante account and its evidence route. For an existing or migrated project, attach the applicable ex-post and migration reconciliations with their distinct status.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N"/>
                <w:tag w:val="account_annex-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Account attachment register</w:t>
      </w:r>
    </w:p>
    <w:p>
      <w:pPr>
        <w:keepNext/>
        <w:spacing w:before="40" w:after="60"/>
      </w:pPr>
      <w:r>
        <w:rPr>
          <w:rFonts w:ascii="Lato" w:hAnsi="Lato"/>
          <w:color w:val="315B50"/>
          <w:sz w:val="18"/>
        </w:rPr>
        <w:t>FEASIBILITY-T27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 / applicable scope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Version, workbook and evidence location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Status / reviewer / unresolved restriction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N-1-1"/>
                <w:tag w:val="account_annex-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2"/>
                <w:tag w:val="account_annex-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3"/>
                <w:tag w:val="account_annex-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N-2-1"/>
                <w:tag w:val="account_annex-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2"/>
                <w:tag w:val="account_annex-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3"/>
                <w:tag w:val="account_annex-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N-3-1"/>
                <w:tag w:val="account_annex-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2"/>
                <w:tag w:val="account_annex-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3"/>
                <w:tag w:val="account_annex-1-EN-3-3"/>
                <w:text/>
              </w:sdtPr>
              <w:sdtContent>
                <w:r>
                  <w:rPr>
                    <w:rFonts w:ascii="Lato" w:hAnsi="Lato"/>
                    <w:sz w:val="18"/>
                    <w:color w:val="62716E"/>
                  </w:rPr>
                  <w:t>[Complete]</w:t>
                </w:r>
              </w:sdtContent>
            </w:sdt>
          </w:p>
        </w:tc>
      </w:tr>
    </w:tbl>
    <w:p>
      <w:pPr>
        <w:spacing w:after="0"/>
      </w:pPr>
    </w:p>
    <w:p>
      <w:pPr>
        <w:pStyle w:val="Heading2"/>
        <w:keepNext/>
      </w:pPr>
      <w:r>
        <w:t>Common account contract</w:t>
      </w:r>
    </w:p>
    <w:p>
      <w:pPr>
        <w:spacing w:after="80"/>
      </w:pPr>
      <w:r>
        <w:rPr>
          <w:rFonts w:ascii="Lato" w:hAnsi="Lato"/>
          <w:b w:val="0"/>
          <w:color w:val="62716E"/>
          <w:sz w:val="18"/>
        </w:rPr>
        <w:t>Use the bilingual Ex-Ante Estimate, Ex-Post Outcome Report and Migration Reconciliation formats with the calculation workbook as applicable. Identify periods, bands, units, missing data and exact source cells. Keep forecasts, monitored inputs, the counterfactual, verified results and authorized NVEUs distinct. No template rate or blank field establishes policy, zero emissions or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N"/>
                <w:tag w:val="account_annex-2-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Required reconciliation</w:t>
      </w:r>
    </w:p>
    <w:p>
      <w:pPr>
        <w:keepNext/>
        <w:spacing w:before="40" w:after="60"/>
      </w:pPr>
      <w:r>
        <w:rPr>
          <w:rFonts w:ascii="Lato" w:hAnsi="Lato"/>
          <w:color w:val="315B50"/>
          <w:sz w:val="18"/>
        </w:rPr>
        <w:t>FEASIBILITY-T28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Dimension / original record</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Receiving or monitored treatment</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Evidence and decision reference</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N-1-1"/>
                <w:tag w:val="account_annex-3-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2"/>
                <w:tag w:val="account_annex-3-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3"/>
                <w:tag w:val="account_annex-3-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N-2-1"/>
                <w:tag w:val="account_annex-3-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2"/>
                <w:tag w:val="account_annex-3-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3"/>
                <w:tag w:val="account_annex-3-EN-2-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FEASIBILITY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FEASIBILITY STUDY</w:t>
    </w:r>
    <w:r>
      <w:tab/>
    </w:r>
    <w:r>
      <w:rPr>
        <w:rFonts w:ascii="Arial" w:hAnsi="Arial"/>
        <w:b w:val="0"/>
        <w:i w:val="0"/>
        <w:color w:val="62716E"/>
        <w:sz w:val="16"/>
      </w:rPr>
      <w:t>EN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 — NEBIOT template 1.0</dc:title>
  <dc:subject>NEBIOT Standard 0.8.2 — Feasibility — EN</dc:subject>
  <dc:creator>Henry Arellano-Peña</dc:creator>
  <cp:keywords>NEBIOT, Feasibility,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