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259" w:lineRule="auto"/>
      </w:pPr>
      <w:r>
        <w:rPr>
          <w:rFonts w:ascii="Arial" w:hAnsi="Arial"/>
          <w:b w:val="0"/>
          <w:i w:val="0"/>
          <w:color w:val="A6813D"/>
          <w:sz w:val="17"/>
        </w:rPr>
        <w:t>NEBIOT  /  DOCUMENTACIÓN DEL PROYECTO</w:t>
      </w:r>
    </w:p>
    <w:p>
      <w:pPr>
        <w:jc w:val="center"/>
      </w:pPr>
      <w:r>
        <w:drawing>
          <wp:inline xmlns:a="http://schemas.openxmlformats.org/drawingml/2006/main" xmlns:pic="http://schemas.openxmlformats.org/drawingml/2006/picture">
            <wp:extent cx="5760720" cy="1918365"/>
            <wp:docPr id="1" name="Picture 1" descr="NEBIOT — Español"/>
            <wp:cNvGraphicFramePr>
              <a:graphicFrameLocks noChangeAspect="1"/>
            </wp:cNvGraphicFramePr>
            <a:graphic>
              <a:graphicData uri="http://schemas.openxmlformats.org/drawingml/2006/picture">
                <pic:pic>
                  <pic:nvPicPr>
                    <pic:cNvPr id="0" name="NEBIOT-Spanish-6000px.png"/>
                    <pic:cNvPicPr/>
                  </pic:nvPicPr>
                  <pic:blipFill>
                    <a:blip r:embed="rId11"/>
                    <a:stretch>
                      <a:fillRect/>
                    </a:stretch>
                  </pic:blipFill>
                  <pic:spPr>
                    <a:xfrm>
                      <a:off x="0" y="0"/>
                      <a:ext cx="5760720" cy="1918365"/>
                    </a:xfrm>
                    <a:prstGeom prst="rect"/>
                  </pic:spPr>
                </pic:pic>
              </a:graphicData>
            </a:graphic>
          </wp:inline>
        </w:drawing>
      </w:r>
    </w:p>
    <w:p>
      <w:pPr>
        <w:keepNext w:val="0"/>
        <w:spacing w:after="180" w:line="259" w:lineRule="auto"/>
      </w:pPr>
      <w:r>
        <w:rPr>
          <w:rFonts w:ascii="Arial" w:hAnsi="Arial"/>
          <w:b w:val="0"/>
          <w:i w:val="0"/>
          <w:color w:val="62716E"/>
          <w:sz w:val="16"/>
        </w:rPr>
        <w:t>Autoridad del programa: Nuevo Estándar Biotropical — NEBIOT S.A.S.</w:t>
      </w:r>
    </w:p>
    <w:p>
      <w:pPr>
        <w:pStyle w:val="Title"/>
        <w:spacing w:after="160"/>
        <w:pBdr>
          <w:bottom w:val="single" w:sz="8" w:color="A6813D" w:space="5"/>
        </w:pBdr>
      </w:pPr>
      <w:r>
        <w:t>Estudio de factibilidad</w:t>
      </w:r>
    </w:p>
    <w:p>
      <w:pPr>
        <w:keepNext w:val="0"/>
        <w:spacing w:after="180" w:line="259" w:lineRule="auto"/>
      </w:pPr>
      <w:r>
        <w:rPr>
          <w:rFonts w:ascii="Arial" w:hAnsi="Arial"/>
          <w:b w:val="0"/>
          <w:i/>
          <w:color w:val="215F52"/>
          <w:sz w:val="21"/>
        </w:rPr>
        <w:t>FACTIBILIDAD • Diseño sustentado</w:t>
      </w:r>
    </w:p>
    <w:p>
      <w:pPr>
        <w:keepNext w:val="0"/>
        <w:spacing w:after="260" w:line="259" w:lineRule="auto"/>
      </w:pPr>
      <w:r>
        <w:rPr>
          <w:rFonts w:ascii="Arial" w:hAnsi="Arial"/>
          <w:b w:val="0"/>
          <w:i w:val="0"/>
          <w:color w:val="62716E"/>
          <w:sz w:val="17"/>
        </w:rPr>
        <w:t>Estándar de referencia: NEBIOT 0.8.2   |   Edición de plantilla 1.2</w:t>
      </w:r>
    </w:p>
    <w:p>
      <w:pPr>
        <w:keepNext w:val="0"/>
        <w:spacing w:after="200" w:line="259" w:lineRule="auto"/>
      </w:pPr>
      <w:r>
        <w:rPr>
          <w:rFonts w:ascii="Arial" w:hAnsi="Arial"/>
          <w:b w:val="0"/>
          <w:i/>
          <w:color w:val="215F52"/>
          <w:sz w:val="32"/>
        </w:rPr>
        <w:t>[NOMBRE DEL PROYECTO]</w:t>
      </w:r>
    </w:p>
    <w:p>
      <w:pPr>
        <w:spacing w:after="80"/>
      </w:pPr>
      <w:r>
        <w:rPr>
          <w:rFonts w:ascii="Arial" w:hAnsi="Arial"/>
          <w:b/>
          <w:i w:val="0"/>
          <w:color w:val="243A36"/>
          <w:sz w:val="18"/>
        </w:rPr>
        <w:t xml:space="preserve">ID del proyecto: </w:t>
      </w:r>
      <w:r>
        <w:rPr>
          <w:rFonts w:ascii="Arial" w:hAnsi="Arial"/>
          <w:b w:val="0"/>
          <w:i/>
          <w:color w:val="62716E"/>
          <w:sz w:val="18"/>
        </w:rPr>
        <w:t>[Completar]</w:t>
      </w:r>
    </w:p>
    <w:p>
      <w:pPr>
        <w:spacing w:after="80"/>
      </w:pPr>
      <w:r>
        <w:rPr>
          <w:rFonts w:ascii="Arial" w:hAnsi="Arial"/>
          <w:b/>
          <w:i w:val="0"/>
          <w:color w:val="243A36"/>
          <w:sz w:val="18"/>
        </w:rPr>
        <w:t xml:space="preserve">País / jurisdicción: </w:t>
      </w:r>
      <w:r>
        <w:rPr>
          <w:rFonts w:ascii="Arial" w:hAnsi="Arial"/>
          <w:b w:val="0"/>
          <w:i/>
          <w:color w:val="62716E"/>
          <w:sz w:val="18"/>
        </w:rPr>
        <w:t>[Completar]</w:t>
      </w:r>
    </w:p>
    <w:p>
      <w:pPr>
        <w:spacing w:after="80"/>
      </w:pPr>
      <w:r>
        <w:rPr>
          <w:rFonts w:ascii="Arial" w:hAnsi="Arial"/>
          <w:b/>
          <w:i w:val="0"/>
          <w:color w:val="243A36"/>
          <w:sz w:val="18"/>
        </w:rPr>
        <w:t xml:space="preserve">Versión del documento del proyecto: </w:t>
      </w:r>
      <w:r>
        <w:rPr>
          <w:rFonts w:ascii="Arial" w:hAnsi="Arial"/>
          <w:b w:val="0"/>
          <w:i/>
          <w:color w:val="62716E"/>
          <w:sz w:val="18"/>
        </w:rPr>
        <w:t>[Completar]</w:t>
      </w:r>
    </w:p>
    <w:p>
      <w:pPr>
        <w:spacing w:after="80"/>
      </w:pPr>
      <w:r>
        <w:rPr>
          <w:rFonts w:ascii="Arial" w:hAnsi="Arial"/>
          <w:b/>
          <w:i w:val="0"/>
          <w:color w:val="243A36"/>
          <w:sz w:val="18"/>
        </w:rPr>
        <w:t xml:space="preserve">Fecha de emisión (AAAA-MM-DD): </w:t>
      </w:r>
      <w:r>
        <w:rPr>
          <w:rFonts w:ascii="Arial" w:hAnsi="Arial"/>
          <w:b w:val="0"/>
          <w:i/>
          <w:color w:val="62716E"/>
          <w:sz w:val="18"/>
        </w:rPr>
        <w:t>[Completar]</w:t>
      </w:r>
    </w:p>
    <w:p>
      <w:pPr>
        <w:keepNext w:val="0"/>
        <w:spacing w:after="100" w:line="259" w:lineRule="auto"/>
      </w:pPr>
      <w:r>
        <w:rPr>
          <w:rFonts w:ascii="Arial" w:hAnsi="Arial"/>
          <w:b w:val="0"/>
          <w:i w:val="0"/>
          <w:color w:val="215F52"/>
          <w:sz w:val="21"/>
        </w:rPr>
        <w:t>Organizaciones ejecutoras y partes interesadas</w:t>
      </w:r>
    </w:p>
    <w:tbl>
      <w:tblPr>
        <w:tblW w:type="auto" w:w="0"/>
        <w:jc w:val="center"/>
        <w:tblLayout w:type="fixed"/>
        <w:tblLook w:firstColumn="1" w:firstRow="1" w:lastColumn="0" w:lastRow="0" w:noHBand="0" w:noVBand="1" w:val="04A0"/>
      </w:tblPr>
      <w:tblGrid>
        <w:gridCol w:w="3249"/>
        <w:gridCol w:w="3249"/>
        <w:gridCol w:w="3249"/>
      </w:tblGrid>
      <w:tr>
        <w:trPr>
          <w:trHeight w:val="1296" w:hRule="atLeast"/>
        </w:trPr>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ENTIDAD EJECUTORA</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PROPONENTE DEL PROYECTO</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TITULARES / PARTES INTERESADAS</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r>
    </w:tbl>
    <w:p>
      <w:pPr>
        <w:keepNext w:val="0"/>
        <w:spacing w:after="160" w:line="259" w:lineRule="auto"/>
      </w:pPr>
      <w:r>
        <w:rPr>
          <w:rFonts w:ascii="Arial" w:hAnsi="Arial"/>
          <w:b w:val="0"/>
          <w:i w:val="0"/>
          <w:color w:val="62716E"/>
          <w:sz w:val="16"/>
        </w:rPr>
        <w:t>Use logotipos autorizados e identifique la función real de cada organización. Exhibir un logotipo no establece consentimiento, propiedad, respaldo, validación ni admisión. Retire espacios sin usar de la presentación final.</w:t>
      </w:r>
    </w:p>
    <w:p>
      <w:pPr>
        <w:keepNext w:val="0"/>
        <w:spacing w:after="100" w:line="259" w:lineRule="auto"/>
      </w:pPr>
      <w:r>
        <w:rPr>
          <w:rFonts w:ascii="Arial" w:hAnsi="Arial"/>
          <w:b w:val="0"/>
          <w:i w:val="0"/>
          <w:color w:val="62716E"/>
          <w:sz w:val="15"/>
        </w:rPr>
        <w:t>Se conserva la grafía SAS del logotipo; S.A.S. es la convención de puntuación utilizada en el texto.</w:t>
      </w:r>
    </w:p>
    <w:p>
      <w:r>
        <w:br w:type="page"/>
      </w:r>
    </w:p>
    <w:p>
      <w:pPr>
        <w:pStyle w:val="Heading1"/>
        <w:keepNext/>
      </w:pPr>
      <w:r>
        <w:t>Licencia y uso de esta plantilla</w:t>
      </w:r>
    </w:p>
    <w:p>
      <w:pPr>
        <w:keepNext w:val="0"/>
        <w:spacing w:after="220" w:line="259" w:lineRule="auto"/>
      </w:pPr>
      <w:r>
        <w:rPr>
          <w:rFonts w:ascii="Arial" w:hAnsi="Arial"/>
          <w:b w:val="0"/>
          <w:i w:val="0"/>
          <w:color w:val="243A36"/>
          <w:sz w:val="19"/>
        </w:rPr>
        <w:t>Este documento es publicado por Nuevo Estándar Biotropical—NEBIOT S.A.S. Henry Arellano-Peña es el autor metodológico de NEB001 y NEB002. Los derechos sobre los materiales protegidos de NEBIOT permanecen en sus respectivos titulares. El uso comercial, la reproducción, la adaptación, la redistribución y el sublicenciamiento de material protegido están sujetos a la licencia aplicable o al permiso escrito específico del titular facultado para autorizarlo; los permisos de uso dentro del programa NEBIOT deberán registrarse en FRM-07 conforme a S-21. El acceso a este documento no otorga por sí mismo una licencia comercial, no transfiere titularidad, no autoriza el sublicenciamiento, no confiere admisión al programa ni autoriza la certificación o emisión de unidades ambientales. Las publicaciones de respaldo y los datos, programas informáticos e imágenes de terceros conservan sus respectivas licencias y obligaciones de atribución; no se afectan los permisos lícitos existentes ni los usos permitidos por la legislación aplicable. Los revisores independientes autorizados deberán disponer del acceso necesario para inspección, recálculo e informe conforme a S-22, sujeto a los permisos aplicables y las salvaguardas de confidencialidad.</w:t>
      </w:r>
    </w:p>
    <w:p>
      <w:pPr>
        <w:pStyle w:val="Heading2"/>
        <w:keepNext/>
      </w:pPr>
      <w:r>
        <w:t>Instrucciones de diligenciamiento</w:t>
      </w:r>
    </w:p>
    <w:p>
      <w:pPr>
        <w:keepNext w:val="0"/>
        <w:spacing w:after="180" w:line="259" w:lineRule="auto"/>
      </w:pPr>
      <w:r>
        <w:rPr>
          <w:rFonts w:ascii="Arial" w:hAnsi="Arial"/>
          <w:b w:val="0"/>
          <w:i w:val="0"/>
          <w:color w:val="243A36"/>
          <w:sz w:val="19"/>
        </w:rPr>
        <w:t>Esta plantilla organiza la evidencia exigida para su etapa según el Estándar NEBIOT versión 0.8.2. No sustituye el estándar, sus métodos aplicables, el perfil aprobado ni los formularios controlados. Complete campos entre corchetes y amplíe tablas o áreas de texto. Para conceptos no aplicables, registre motivo y decisión del revisor; no los suprima silenciosamente. Identifique información desconocida como faltante, no cero. Distinga observaciones, supuestos, proyecciones, resultados verificados y NVEU autorizadas. Los requisitos se evalúan en la etapa correspondiente; campos de etapas futuras no implican cumplimiento previo.</w:t>
      </w:r>
    </w:p>
    <w:p>
      <w:pPr>
        <w:pStyle w:val="Heading2"/>
        <w:keepNext/>
      </w:pPr>
      <w:r>
        <w:t>Referencia y alcance</w:t>
      </w:r>
    </w:p>
    <w:p>
      <w:pPr>
        <w:keepNext w:val="0"/>
        <w:spacing w:after="200" w:line="259" w:lineRule="auto"/>
      </w:pPr>
      <w:r>
        <w:rPr>
          <w:rFonts w:ascii="Arial" w:hAnsi="Arial"/>
          <w:b w:val="0"/>
          <w:i w:val="0"/>
          <w:color w:val="243A36"/>
          <w:sz w:val="17"/>
        </w:rPr>
        <w:t>[1] NEBIOT. Estándar NEBIOT, versión controlada 0.8.2. NEB-DOC-000, edición integrada. Dependencias principales: NEB-CYC-001; NEB-STD-001 y Anexo A; NEB-MTH-001/002; NEB-UNT-001; NEB-PRO-001; NEB-MIG-001; NEB-AUD-001 y NEB-FRM-001. Las referencias a cláusulas, ecuaciones, AP y FRM remiten a esa versión. Son dependencias normativas externas, no secciones faltantes de esta plantilla.</w:t>
      </w:r>
    </w:p>
    <w:p>
      <w:pPr>
        <w:keepNext w:val="0"/>
        <w:spacing w:after="140" w:line="259" w:lineRule="auto"/>
      </w:pPr>
      <w:r>
        <w:rPr>
          <w:rFonts w:ascii="Arial" w:hAnsi="Arial"/>
          <w:b w:val="0"/>
          <w:i w:val="0"/>
          <w:color w:val="243A36"/>
          <w:sz w:val="18"/>
        </w:rPr>
        <w:t>NIP conserva el nombre Nota de Idea de proyecto. PD identifica la Descripción del Proyecto.</w:t>
      </w:r>
    </w:p>
    <w:p>
      <w:pPr>
        <w:keepNext w:val="0"/>
        <w:spacing w:after="0" w:line="259" w:lineRule="auto"/>
      </w:pPr>
      <w:r>
        <w:rPr>
          <w:rFonts w:ascii="Arial" w:hAnsi="Arial"/>
          <w:b w:val="0"/>
          <w:i w:val="0"/>
          <w:color w:val="243A36"/>
          <w:sz w:val="18"/>
        </w:rPr>
        <w:t>NEBIOT presta la evaluación técnica, diseño y monitoreo contratados. El proponente y ejecutor identificados conservan responsabilidades de ejecución según S-25; los intereses excepcionales NEBIOT siguen S-26.</w:t>
      </w:r>
    </w:p>
    <w:p>
      <w:r>
        <w:br w:type="page"/>
      </w:r>
    </w:p>
    <w:p>
      <w:pPr>
        <w:pStyle w:val="Heading1"/>
        <w:keepNext/>
      </w:pPr>
      <w:r>
        <w:t>Control documental y contenido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6824"/>
      </w:tblGrid>
      <w:tr>
        <w:trPr>
          <w:trHeight w:val="374"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Control</w:t>
            </w:r>
          </w:p>
        </w:tc>
        <w:tc>
          <w:tcPr>
            <w:tcW w:type="dxa" w:w="682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Registro</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Plantilla</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Feasibility / 1.2 / ES</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Estándar de referencia</w:t>
            </w:r>
          </w:p>
        </w:tc>
        <w:tc>
          <w:tcPr>
            <w:tcW w:type="dxa" w:w="6824"/>
            <w:vAlign w:val="center"/>
            <w:tcMar>
              <w:top w:w="70" w:type="dxa"/>
              <w:start w:w="85" w:type="dxa"/>
              <w:bottom w:w="70" w:type="dxa"/>
              <w:end w:w="85" w:type="dxa"/>
            </w:tcMar>
          </w:tcPr>
          <w:p>
            <w:pPr>
              <w:spacing w:after="0" w:line="250" w:lineRule="auto"/>
            </w:pPr>
            <w:r>
              <w:rPr>
                <w:rFonts w:ascii="Arial" w:hAnsi="Arial"/>
                <w:b w:val="0"/>
                <w:i w:val="0"/>
                <w:color w:val="243A36"/>
                <w:sz w:val="16"/>
              </w:rPr>
              <w:t>NEBIOT 0.8.2 / CYC-04</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Preparador / revisor</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Distribución / restricciones</w:t>
            </w:r>
          </w:p>
        </w:tc>
        <w:tc>
          <w:tcPr>
            <w:tcW w:type="dxa" w:w="682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852"/>
        <w:gridCol w:w="2242"/>
        <w:gridCol w:w="5654"/>
      </w:tblGrid>
      <w:tr>
        <w:trPr>
          <w:trHeight w:val="360" w:hRule="atLeast"/>
          <w:tblHeader/>
        </w:trPr>
        <w:tc>
          <w:tcPr>
            <w:tcW w:type="dxa" w:w="185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Versión</w:t>
            </w:r>
          </w:p>
        </w:tc>
        <w:tc>
          <w:tcPr>
            <w:tcW w:type="dxa" w:w="224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Fecha</w:t>
            </w:r>
          </w:p>
        </w:tc>
        <w:tc>
          <w:tcPr>
            <w:tcW w:type="dxa" w:w="565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Cambio y autoridad</w:t>
            </w:r>
          </w:p>
        </w:tc>
      </w:tr>
      <w:tr>
        <w:trPr>
          <w:trHeight w:val="360" w:hRule="atLeast"/>
        </w:trPr>
        <w:tc>
          <w:tcPr>
            <w:tcW w:type="dxa" w:w="185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224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565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r>
    </w:tbl>
    <w:p>
      <w:pPr>
        <w:keepNext w:val="0"/>
        <w:spacing w:after="60" w:line="259" w:lineRule="auto"/>
      </w:pPr>
      <w:r>
        <w:rPr>
          <w:rFonts w:ascii="Arial" w:hAnsi="Arial"/>
          <w:b w:val="0"/>
          <w:i w:val="0"/>
          <w:color w:val="243A36"/>
          <w:sz w:val="2"/>
        </w:rPr>
      </w:r>
    </w:p>
    <w:p>
      <w:pPr>
        <w:keepNext w:val="0"/>
        <w:spacing w:after="100" w:line="259" w:lineRule="auto"/>
      </w:pPr>
      <w:r>
        <w:rPr>
          <w:rFonts w:ascii="Arial" w:hAnsi="Arial"/>
          <w:b/>
          <w:i w:val="0"/>
          <w:color w:val="215F52"/>
          <w:sz w:val="22"/>
        </w:rPr>
        <w:t>Contenido</w:t>
      </w:r>
    </w:p>
    <w:p>
      <w:pPr>
        <w:spacing w:after="60" w:line="252" w:lineRule="auto"/>
      </w:pPr>
      <w:hyperlink w:anchor="Section_1">
        <w:r>
          <w:rPr>
            <w:rFonts w:ascii="Arial" w:hAnsi="Arial"/>
            <w:sz w:val="19"/>
            <w:color w:val="215F52"/>
          </w:rPr>
          <w:t>01  Mandato de factibilidad y conciliación de etapa previa</w:t>
        </w:r>
      </w:hyperlink>
    </w:p>
    <w:p>
      <w:pPr>
        <w:spacing w:after="60" w:line="252" w:lineRule="auto"/>
      </w:pPr>
      <w:hyperlink w:anchor="Section_2">
        <w:r>
          <w:rPr>
            <w:rFonts w:ascii="Arial" w:hAnsi="Arial"/>
            <w:sz w:val="19"/>
            <w:color w:val="215F52"/>
          </w:rPr>
          <w:t>02  Facultades, responsabilidades y derechos de ejecución</w:t>
        </w:r>
      </w:hyperlink>
    </w:p>
    <w:p>
      <w:pPr>
        <w:spacing w:after="60" w:line="252" w:lineRule="auto"/>
      </w:pPr>
      <w:hyperlink w:anchor="Section_3">
        <w:r>
          <w:rPr>
            <w:rFonts w:ascii="Arial" w:hAnsi="Arial"/>
            <w:sz w:val="19"/>
            <w:color w:val="215F52"/>
          </w:rPr>
          <w:t>03  Límite, estratos y entradas espaciales calificadas</w:t>
        </w:r>
      </w:hyperlink>
    </w:p>
    <w:p>
      <w:pPr>
        <w:spacing w:after="60" w:line="252" w:lineRule="auto"/>
      </w:pPr>
      <w:hyperlink w:anchor="Section_4">
        <w:r>
          <w:rPr>
            <w:rFonts w:ascii="Arial" w:hAnsi="Arial"/>
            <w:sz w:val="19"/>
            <w:color w:val="215F52"/>
          </w:rPr>
          <w:t>04  Caracterización NEB001 y evidencia de clasificación</w:t>
        </w:r>
      </w:hyperlink>
    </w:p>
    <w:p>
      <w:pPr>
        <w:spacing w:after="60" w:line="252" w:lineRule="auto"/>
      </w:pPr>
      <w:hyperlink w:anchor="Section_5">
        <w:r>
          <w:rPr>
            <w:rFonts w:ascii="Arial" w:hAnsi="Arial"/>
            <w:sz w:val="19"/>
            <w:color w:val="215F52"/>
          </w:rPr>
          <w:t>05  Referencia material NEB002 y ruta de evidencia</w:t>
        </w:r>
      </w:hyperlink>
    </w:p>
    <w:p>
      <w:pPr>
        <w:spacing w:after="60" w:line="252" w:lineRule="auto"/>
      </w:pPr>
      <w:hyperlink w:anchor="Section_6">
        <w:r>
          <w:rPr>
            <w:rFonts w:ascii="Arial" w:hAnsi="Arial"/>
            <w:sz w:val="19"/>
            <w:color w:val="215F52"/>
          </w:rPr>
          <w:t>06  Línea base, intervenciones y adicionalidad continuada</w:t>
        </w:r>
      </w:hyperlink>
    </w:p>
    <w:p>
      <w:pPr>
        <w:spacing w:after="60" w:line="252" w:lineRule="auto"/>
      </w:pPr>
      <w:hyperlink w:anchor="Section_7">
        <w:r>
          <w:rPr>
            <w:rFonts w:ascii="Arial" w:hAnsi="Arial"/>
            <w:sz w:val="19"/>
            <w:color w:val="215F52"/>
          </w:rPr>
          <w:t>07  Cuantificación, parámetros e incertidumbre</w:t>
        </w:r>
      </w:hyperlink>
    </w:p>
    <w:p>
      <w:pPr>
        <w:spacing w:after="60" w:line="252" w:lineRule="auto"/>
      </w:pPr>
      <w:hyperlink w:anchor="Section_8">
        <w:r>
          <w:rPr>
            <w:rFonts w:ascii="Arial" w:hAnsi="Arial"/>
            <w:sz w:val="19"/>
            <w:color w:val="215F52"/>
          </w:rPr>
          <w:t>08  Fugas, riesgos, pasivos y diseño de reserva</w:t>
        </w:r>
      </w:hyperlink>
    </w:p>
    <w:p>
      <w:pPr>
        <w:spacing w:after="60" w:line="252" w:lineRule="auto"/>
      </w:pPr>
      <w:hyperlink w:anchor="Section_9">
        <w:r>
          <w:rPr>
            <w:rFonts w:ascii="Arial" w:hAnsi="Arial"/>
            <w:sz w:val="19"/>
            <w:color w:val="215F52"/>
          </w:rPr>
          <w:t>09  Salvaguardas, consentimiento, beneficios y afirmaciones superpuestas</w:t>
        </w:r>
      </w:hyperlink>
    </w:p>
    <w:p>
      <w:pPr>
        <w:spacing w:after="60" w:line="252" w:lineRule="auto"/>
      </w:pPr>
      <w:hyperlink w:anchor="Section_10">
        <w:r>
          <w:rPr>
            <w:rFonts w:ascii="Arial" w:hAnsi="Arial"/>
            <w:sz w:val="19"/>
            <w:color w:val="215F52"/>
          </w:rPr>
          <w:t>10  Implementación, monitoreo y factibilidad operativa</w:t>
        </w:r>
      </w:hyperlink>
    </w:p>
    <w:p>
      <w:pPr>
        <w:spacing w:after="60" w:line="252" w:lineRule="auto"/>
      </w:pPr>
      <w:hyperlink w:anchor="Section_11">
        <w:r>
          <w:rPr>
            <w:rFonts w:ascii="Arial" w:hAnsi="Arial"/>
            <w:sz w:val="19"/>
            <w:color w:val="215F52"/>
          </w:rPr>
          <w:t>11  Entrega a Descripción del Proyecto y condiciones pendientes</w:t>
        </w:r>
      </w:hyperlink>
    </w:p>
    <w:p>
      <w:pPr>
        <w:spacing w:after="60" w:line="252" w:lineRule="auto"/>
      </w:pPr>
      <w:hyperlink w:anchor="Section_12">
        <w:r>
          <w:rPr>
            <w:rFonts w:ascii="Arial" w:hAnsi="Arial"/>
            <w:sz w:val="19"/>
            <w:color w:val="215F52"/>
          </w:rPr>
          <w:t>12  Evidencia, anexos y referencias</w:t>
        </w:r>
      </w:hyperlink>
    </w:p>
    <w:p>
      <w:pPr>
        <w:spacing w:after="60" w:line="252" w:lineRule="auto"/>
      </w:pPr>
      <w:hyperlink w:anchor="Section_13">
        <w:r>
          <w:rPr>
            <w:rFonts w:ascii="Arial" w:hAnsi="Arial"/>
            <w:sz w:val="19"/>
            <w:color w:val="215F52"/>
          </w:rPr>
          <w:t>13  Presentación, revisión y decisión de etapa</w:t>
        </w:r>
      </w:hyperlink>
    </w:p>
    <w:p>
      <w:pPr>
        <w:spacing w:after="60"/>
      </w:pPr>
      <w:hyperlink w:anchor="account_annex">
        <w:r>
          <w:rPr>
            <w:color w:val="215F52"/>
          </w:rPr>
          <w:t>A. Anexos de cuentas ex ante, ex post y migración</w:t>
        </w:r>
      </w:hyperlink>
    </w:p>
    <w:p>
      <w:pPr>
        <w:spacing w:after="80"/>
      </w:pPr>
      <w:hyperlink w:anchor="calc_register" w:history="1">
        <w:r>
          <w:rPr>
            <w:color w:val="215F52"/>
          </w:rPr>
          <w:t>CALC  Trazabilidad y notación del cálculo</w:t>
        </w:r>
      </w:hyperlink>
    </w:p>
    <w:p>
      <w:r>
        <w:br w:type="page"/>
      </w:r>
    </w:p>
    <w:p>
      <w:bookmarkStart w:id="101" w:name="Section_1"/>
      <w:pPr>
        <w:pStyle w:val="Heading1"/>
        <w:keepNext/>
      </w:pPr>
      <w:r>
        <w:t>01  Mandato de factibilidad y conciliación de etapa previa</w:t>
      </w:r>
      <w:bookmarkEnd w:id="101"/>
    </w:p>
    <w:p>
      <w:pPr>
        <w:keepNext/>
        <w:spacing w:after="180" w:line="259" w:lineRule="auto"/>
      </w:pPr>
      <w:r>
        <w:rPr>
          <w:rFonts w:ascii="Arial" w:hAnsi="Arial"/>
          <w:b w:val="0"/>
          <w:i w:val="0"/>
          <w:color w:val="62716E"/>
          <w:sz w:val="15"/>
        </w:rPr>
        <w:t>[1] Referencia: CYC-01; CYC-04; S-18; S-25; FRM-06</w:t>
      </w:r>
    </w:p>
    <w:p>
      <w:pPr>
        <w:pStyle w:val="Heading2"/>
        <w:keepNext/>
      </w:pPr>
      <w:r>
        <w:t>Registros recibidos y cambios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3412"/>
        <w:gridCol w:w="3412"/>
      </w:tblGrid>
      <w:tr>
        <w:trPr>
          <w:trHeight w:val="446"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ID prefactibilidad / decisión</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Condición, hallazgo o cambio</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Evidencia de cierre / impacto</w:t>
            </w:r>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Diseño seleccionado y alcance de factibilidad</w:t>
      </w:r>
    </w:p>
    <w:p>
      <w:pPr>
        <w:keepNext/>
        <w:spacing w:after="100" w:line="259" w:lineRule="auto"/>
      </w:pPr>
      <w:r>
        <w:rPr>
          <w:rFonts w:ascii="Arial" w:hAnsi="Arial"/>
          <w:b w:val="0"/>
          <w:i w:val="0"/>
          <w:color w:val="62716E"/>
          <w:sz w:val="18"/>
        </w:rPr>
        <w:t>Identifique actividades, ecosistema, límites del estudio, métodos considerados, atributos e investigaciones financiadas. Distinga pruebas realizadas de trabajo previsto.</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pPr>
        <w:pStyle w:val="Heading2"/>
        <w:keepNext/>
      </w:pPr>
      <w:r>
        <w:t>Criterios de decisión</w:t>
      </w:r>
    </w:p>
    <w:p>
      <w:pPr>
        <w:keepNext/>
        <w:spacing w:after="100" w:line="259" w:lineRule="auto"/>
      </w:pPr>
      <w:r>
        <w:rPr>
          <w:rFonts w:ascii="Arial" w:hAnsi="Arial"/>
          <w:b w:val="0"/>
          <w:i w:val="0"/>
          <w:color w:val="62716E"/>
          <w:sz w:val="18"/>
        </w:rPr>
        <w:t>Referencie perfil aprobado y criterios por caso. Registre umbrales y evidencia de aprobación; no los infiera de ejemplos.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2" w:name="Section_2"/>
      <w:pPr>
        <w:pStyle w:val="Heading1"/>
        <w:keepNext/>
      </w:pPr>
      <w:r>
        <w:t>02  Facultades, responsabilidades y derechos de ejecución</w:t>
      </w:r>
      <w:bookmarkEnd w:id="102"/>
    </w:p>
    <w:p>
      <w:pPr>
        <w:keepNext/>
        <w:spacing w:after="180" w:line="259" w:lineRule="auto"/>
      </w:pPr>
      <w:r>
        <w:rPr>
          <w:rFonts w:ascii="Arial" w:hAnsi="Arial"/>
          <w:b w:val="0"/>
          <w:i w:val="0"/>
          <w:color w:val="62716E"/>
          <w:sz w:val="15"/>
        </w:rPr>
        <w:t>[1] Referencia: S-04; S-05; S-12; S-25; S-26; AO-02; AO-03; FRM-07</w:t>
      </w:r>
    </w:p>
    <w:p>
      <w:pPr>
        <w:pStyle w:val="Heading2"/>
        <w:keepNext/>
      </w:pPr>
      <w:r>
        <w:t>Registro de responsabilidades y autorizaciones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437"/>
        <w:gridCol w:w="2730"/>
        <w:gridCol w:w="4582"/>
      </w:tblGrid>
      <w:tr>
        <w:trPr>
          <w:trHeight w:val="446" w:hRule="atLeast"/>
          <w:tblHeader/>
        </w:trPr>
        <w:tc>
          <w:tcPr>
            <w:tcW w:type="dxa" w:w="243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Función</w:t>
            </w:r>
          </w:p>
        </w:tc>
        <w:tc>
          <w:tcPr>
            <w:tcW w:type="dxa" w:w="273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Entidad / responsable</w:t>
            </w:r>
          </w:p>
        </w:tc>
        <w:tc>
          <w:tcPr>
            <w:tcW w:type="dxa" w:w="458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Mandato, alcance y evidencia</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Proponente del proyecto</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58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val="0"/>
                <w:color w:val="243A36"/>
                <w:sz w:val="16"/>
              </w:rPr>
              <w:t>Titulares de derechos</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58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Entidad ejecutora</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58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val="0"/>
                <w:color w:val="243A36"/>
                <w:sz w:val="16"/>
              </w:rPr>
              <w:t>Responsable técnico NEBIOT</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58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Derechos y aplicabilidad jurídica</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022"/>
        <w:gridCol w:w="3705"/>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Derecho / obligación / instrumento</w:t>
            </w:r>
          </w:p>
        </w:tc>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Titular, alcance y vigencia</w:t>
            </w:r>
          </w:p>
        </w:tc>
        <w:tc>
          <w:tcPr>
            <w:tcW w:type="dxa" w:w="370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Evidencia / asunto abierto / acción</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Conflictos, permisos y vacíos de responsabilidad</w:t>
      </w:r>
    </w:p>
    <w:p>
      <w:pPr>
        <w:keepNext/>
        <w:spacing w:after="100" w:line="259" w:lineRule="auto"/>
      </w:pPr>
      <w:r>
        <w:rPr>
          <w:rFonts w:ascii="Arial" w:hAnsi="Arial"/>
          <w:b w:val="0"/>
          <w:i w:val="0"/>
          <w:color w:val="62716E"/>
          <w:sz w:val="18"/>
        </w:rPr>
        <w:t>Registre acceso lícito, permisos de materiales protegidos, consentimiento aplicable e intereses excepcionales NEBIOT. Asigne ejecución, financiación, monitoreo, incidentes y reparación sin vacíos.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3" w:name="Section_3"/>
      <w:pPr>
        <w:pStyle w:val="Heading1"/>
        <w:keepNext/>
      </w:pPr>
      <w:r>
        <w:t>03  Límite, estratos y entradas espaciales calificadas</w:t>
      </w:r>
      <w:bookmarkEnd w:id="103"/>
    </w:p>
    <w:p>
      <w:pPr>
        <w:keepNext/>
        <w:spacing w:after="180" w:line="259" w:lineRule="auto"/>
      </w:pPr>
      <w:r>
        <w:rPr>
          <w:rFonts w:ascii="Arial" w:hAnsi="Arial"/>
          <w:b w:val="0"/>
          <w:i w:val="0"/>
          <w:color w:val="62716E"/>
          <w:sz w:val="15"/>
        </w:rPr>
        <w:t>[1] Referencia: S-03; S-06; T-03; MIG-13; MIG-14; MIG-15; FRM-04/M</w:t>
      </w:r>
    </w:p>
    <w:p>
      <w:pPr>
        <w:pStyle w:val="Heading2"/>
        <w:keepNext/>
      </w:pPr>
      <w:r>
        <w:t>Mapa del proyecto / evidencia espacial</w:t>
      </w:r>
    </w:p>
    <w:p>
      <w:pPr>
        <w:keepNext/>
        <w:spacing w:after="100" w:line="259" w:lineRule="auto"/>
      </w:pPr>
      <w:r>
        <w:rPr>
          <w:rFonts w:ascii="Arial" w:hAnsi="Arial"/>
          <w:b w:val="0"/>
          <w:i w:val="0"/>
          <w:color w:val="62716E"/>
          <w:sz w:val="17"/>
        </w:rPr>
        <w:t>Inserte un mapa legible. Identifique versión del límite, sistema de coordenadas, escala, fecha de observación, fuente, leyenda y restricciones de divulgación. Un mapa inicial no establece derechos ni el límite de un resultado.</w:t>
      </w:r>
    </w:p>
    <w:tbl>
      <w:tblPr>
        <w:tblW w:type="auto" w:w="0"/>
        <w:tblLook w:firstColumn="1" w:firstRow="1" w:lastColumn="0" w:lastRow="0" w:noHBand="0" w:noVBand="1" w:val="04A0"/>
      </w:tblPr>
      <w:tblGrid>
        <w:gridCol w:w="9746"/>
      </w:tblGrid>
      <w:tr>
        <w:trPr>
          <w:trHeight w:val="2088" w:hRule="atLeast"/>
        </w:trPr>
        <w:tc>
          <w:tcPr>
            <w:tcW w:type="dxa" w:w="9746"/>
            <w:shd w:fill="F1F5F2"/>
            <w:vAlign w:val="center"/>
          </w:tcPr>
          <w:p>
            <w:pPr>
              <w:jc w:val="center"/>
            </w:pPr>
            <w:r>
              <w:rPr>
                <w:rFonts w:ascii="Arial" w:hAnsi="Arial"/>
                <w:b/>
                <w:i w:val="0"/>
                <w:color w:val="62716E"/>
                <w:sz w:val="20"/>
              </w:rPr>
              <w:t>[INSERTAR MAPA DEL PROYECTO]</w:t>
            </w:r>
          </w:p>
        </w:tc>
      </w:tr>
    </w:tbl>
    <w:p>
      <w:pPr>
        <w:keepNext w:val="0"/>
        <w:spacing w:after="80" w:line="259" w:lineRule="auto"/>
      </w:pPr>
      <w:r>
        <w:rPr>
          <w:rFonts w:ascii="Arial" w:hAnsi="Arial"/>
          <w:b w:val="0"/>
          <w:i w:val="0"/>
          <w:color w:val="243A36"/>
          <w:sz w:val="2"/>
        </w:rPr>
      </w:r>
    </w:p>
    <w:p>
      <w:pPr>
        <w:pStyle w:val="Heading2"/>
        <w:keepNext/>
      </w:pPr>
      <w:r>
        <w:t>Conciliación de áreas y estratos</w:t>
      </w:r>
    </w:p>
    <w:p>
      <w:pPr>
        <w:keepNext/>
        <w:spacing w:before="40" w:after="60"/>
      </w:pPr>
      <w:r>
        <w:rPr>
          <w:rFonts w:ascii="Lato" w:hAnsi="Lato"/>
          <w:color w:val="315B50"/>
          <w:sz w:val="18"/>
        </w:rPr>
        <w:t>FEASIBILITY-T06 / Notación del cálculo</w:t>
      </w:r>
    </w:p>
    <w:p>
      <w:pPr>
        <w:keepNext/>
        <w:spacing w:before="40" w:after="60"/>
      </w:pPr>
      <m:oMath>
        <m:sSub>
          <m:e>
            <m:r>
              <w:rPr>
                <w:sz w:val="18"/>
              </w:rPr>
              <m:t>A</m:t>
            </m:r>
          </m:e>
          <m:sub>
            <m:r>
              <w:rPr>
                <w:sz w:val="18"/>
              </w:rPr>
              <m:t>i</m:t>
            </m:r>
            <m:r>
              <w:rPr>
                <w:sz w:val="18"/>
              </w:rPr>
              <m:rPr>
                <m:sty m:val="p"/>
              </m:rPr>
              <m:t>,</m:t>
            </m:r>
            <m:r>
              <w:rPr>
                <w:sz w:val="18"/>
              </w:rPr>
              <m:t>t</m:t>
            </m:r>
          </m:sub>
        </m:sSub>
        <m:r>
          <w:rPr>
            <w:sz w:val="18"/>
          </w:rPr>
          <m:rPr>
            <m:sty m:val="p"/>
          </m:rPr>
          <m:t>=</m:t>
        </m:r>
        <m:f>
          <m:fPr>
            <m:type m:val="bar"/>
          </m:fPr>
          <m:num>
            <m:sSub>
              <m:e>
                <m:r>
                  <w:rPr>
                    <w:sz w:val="18"/>
                  </w:rPr>
                  <m:t>n</m:t>
                </m:r>
              </m:e>
              <m:sub>
                <m:r>
                  <w:rPr>
                    <w:sz w:val="18"/>
                  </w:rPr>
                  <m:t>i</m:t>
                </m:r>
                <m:r>
                  <w:rPr>
                    <w:sz w:val="18"/>
                  </w:rPr>
                  <m:rPr>
                    <m:sty m:val="p"/>
                  </m:rPr>
                  <m:t>,</m:t>
                </m:r>
                <m:r>
                  <w:rPr>
                    <w:sz w:val="18"/>
                  </w:rPr>
                  <m:t>t</m:t>
                </m:r>
              </m:sub>
            </m:sSub>
            <m:sSub>
              <m:e>
                <m:r>
                  <w:rPr>
                    <w:sz w:val="18"/>
                  </w:rPr>
                  <m:t>a</m:t>
                </m:r>
              </m:e>
              <m:sub>
                <m:r>
                  <w:rPr>
                    <w:sz w:val="18"/>
                  </w:rPr>
                  <m:rPr>
                    <m:sty m:val="p"/>
                  </m:rPr>
                  <m:t>c</m:t>
                </m:r>
                <m:r>
                  <w:rPr>
                    <w:sz w:val="18"/>
                  </w:rPr>
                  <m:rPr>
                    <m:sty m:val="p"/>
                  </m:rPr>
                  <m:t>e</m:t>
                </m:r>
                <m:r>
                  <w:rPr>
                    <w:sz w:val="18"/>
                  </w:rPr>
                  <m:rPr>
                    <m:sty m:val="p"/>
                  </m:rPr>
                  <m:t>l</m:t>
                </m:r>
                <m:r>
                  <w:rPr>
                    <w:sz w:val="18"/>
                  </w:rPr>
                  <m:rPr>
                    <m:sty m:val="p"/>
                  </m:rPr>
                  <m:t>l</m:t>
                </m:r>
              </m:sub>
            </m:sSub>
          </m:num>
          <m:den>
            <m:sSub>
              <m:e>
                <m:r>
                  <w:rPr>
                    <w:sz w:val="18"/>
                  </w:rPr>
                  <m:t>k</m:t>
                </m:r>
              </m:e>
              <m:sub>
                <m:r>
                  <w:rPr>
                    <w:sz w:val="18"/>
                  </w:rPr>
                  <m:t>A</m:t>
                </m:r>
              </m:sub>
            </m:sSub>
          </m:den>
        </m:f>
        <m:r>
          <w:rPr>
            <w:sz w:val="18"/>
          </w:rPr>
          <m:rPr>
            <m:sty m:val="p"/>
          </m:rPr>
          <m:t>,</m:t>
        </m:r>
        <m:r>
          <w:rPr>
            <w:sz w:val="18"/>
          </w:rPr>
          <m:t>  </m:t>
        </m:r>
        <m:sSub>
          <m:e>
            <m:r>
              <w:rPr>
                <w:sz w:val="18"/>
              </w:rPr>
              <m:t>k</m:t>
            </m:r>
          </m:e>
          <m:sub>
            <m:r>
              <w:rPr>
                <w:sz w:val="18"/>
              </w:rPr>
              <m:t>A</m:t>
            </m:r>
          </m:sub>
        </m:sSub>
        <m:r>
          <w:rPr>
            <w:sz w:val="18"/>
          </w:rPr>
          <m:rPr>
            <m:sty m:val="p"/>
          </m:rPr>
          <m:t>=</m:t>
        </m:r>
        <m:sSup>
          <m:e>
            <m:r>
              <w:rPr>
                <w:sz w:val="18"/>
              </w:rPr>
              <m:t>10</m:t>
            </m:r>
          </m:e>
          <m:sup>
            <m:r>
              <w:rPr>
                <w:sz w:val="18"/>
              </w:rPr>
              <m:t>4</m:t>
            </m:r>
          </m:sup>
        </m:sSup>
        <m:r>
          <w:rPr>
            <w:sz w:val="18"/>
          </w:rPr>
          <m:t> </m:t>
        </m:r>
        <m:sSup>
          <m:e>
            <m:r>
              <w:rPr>
                <w:sz w:val="18"/>
              </w:rPr>
              <m:rPr>
                <m:sty m:val="p"/>
              </m:rPr>
              <m:t>m</m:t>
            </m:r>
          </m:e>
          <m:sup>
            <m:r>
              <w:rPr>
                <w:sz w:val="18"/>
              </w:rPr>
              <m:rPr>
                <m:sty m:val="p"/>
              </m:rPr>
              <m:t>2</m:t>
            </m:r>
          </m:sup>
        </m:sSup>
        <m:r>
          <w:rPr>
            <w:sz w:val="18"/>
          </w:rPr>
          <m:rPr>
            <m:sty m:val="p"/>
          </m:rPr>
          <m:t> </m:t>
        </m:r>
        <m:r>
          <w:rPr>
            <w:sz w:val="18"/>
          </w:rPr>
          <m:rPr>
            <m:sty m:val="p"/>
          </m:rPr>
          <m:t>h</m:t>
        </m:r>
        <m:sSup>
          <m:e>
            <m:r>
              <w:rPr>
                <w:sz w:val="18"/>
              </w:rPr>
              <m:rPr>
                <m:sty m:val="p"/>
              </m:rPr>
              <m:t>a</m:t>
            </m:r>
          </m:e>
          <m:sup>
            <m:r>
              <w:rPr>
                <w:sz w:val="18"/>
              </w:rPr>
              <m:rPr>
                <m:sty m:val="p"/>
              </m:rPr>
              <m:t>−</m:t>
            </m:r>
            <m:r>
              <w:rPr>
                <w:sz w:val="18"/>
              </w:rPr>
              <m:rPr>
                <m:sty m:val="p"/>
              </m:rPr>
              <m:t>1</m:t>
            </m:r>
          </m:sup>
        </m:sSup>
      </m:oMath>
    </w:p>
    <w:p>
      <w:pPr>
        <w:keepNext/>
        <w:spacing w:before="40" w:after="60"/>
      </w:pPr>
      <w:r>
        <w:rPr>
          <w:rFonts w:ascii="Lato" w:hAnsi="Lato"/>
          <w:color w:val="315B50"/>
          <w:sz w:val="16"/>
        </w:rPr>
        <w:t>n es conteo de píxeles; a_cell es su área en m2; A es área en ha. La ruta PIXELS usa la conversión geométrica mostrada. El área directa es una entrada documentada. El cambio neto de clase no es deforestación bruta.</w:t>
      </w:r>
    </w:p>
    <w:p>
      <w:pPr>
        <w:keepNext/>
        <w:spacing w:before="40" w:after="60"/>
      </w:pPr>
      <w:r>
        <w:rPr>
          <w:rFonts w:ascii="Lato" w:hAnsi="Lato"/>
          <w:color w:val="315B50"/>
          <w:sz w:val="14"/>
        </w:rPr>
        <w:t>Base: M01; MIG-13; MIG-14 | Libro: Spatial!F:I; Profile!B15</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217"/>
        <w:gridCol w:w="3510"/>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Dominio / estrato / máscara</w:t>
            </w:r>
          </w:p>
          <w:p>
            <w:pPr>
              <w:spacing w:before="40" w:after="40"/>
            </w:pPr>
            <m:oMath>
              <m:r>
                <w:rPr>
                  <w:sz w:val="16"/>
                  <w:color w:val="173E34"/>
                </w:rPr>
                <m:t>i</m:t>
              </m:r>
              <m:r>
                <w:rPr>
                  <w:sz w:val="16"/>
                  <w:color w:val="173E34"/>
                </w:rPr>
                <m:rPr>
                  <m:sty m:val="p"/>
                </m:rPr>
                <m:t>,</m:t>
              </m:r>
              <m:r>
                <w:rPr>
                  <w:sz w:val="16"/>
                  <w:color w:val="173E34"/>
                </w:rPr>
                <m:t> </m:t>
              </m:r>
              <m:r>
                <w:rPr>
                  <w:sz w:val="16"/>
                  <w:color w:val="173E34"/>
                </w:rPr>
                <m:t>t</m:t>
              </m:r>
            </m:oMath>
          </w:p>
        </w:tc>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Área, unidad y versión del límite</w:t>
            </w:r>
          </w:p>
          <w:p>
            <w:pPr>
              <w:spacing w:before="40" w:after="40"/>
            </w:pPr>
            <m:oMath>
              <m:sSub>
                <m:e>
                  <m:r>
                    <w:rPr>
                      <w:sz w:val="16"/>
                      <w:color w:val="173E34"/>
                    </w:rPr>
                    <m:t>A</m:t>
                  </m:r>
                </m:e>
                <m:sub>
                  <m:r>
                    <w:rPr>
                      <w:sz w:val="16"/>
                      <w:color w:val="173E34"/>
                    </w:rPr>
                    <m:t>i</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t>i</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a</m:t>
                  </m:r>
                </m:e>
                <m:sub>
                  <m:r>
                    <w:rPr>
                      <w:sz w:val="16"/>
                      <w:color w:val="173E34"/>
                    </w:rPr>
                    <m:rPr>
                      <m:sty m:val="p"/>
                    </m:rPr>
                    <m:t>c</m:t>
                  </m:r>
                  <m:r>
                    <w:rPr>
                      <w:sz w:val="16"/>
                      <w:color w:val="173E34"/>
                    </w:rPr>
                    <m:rPr>
                      <m:sty m:val="p"/>
                    </m:rPr>
                    <m:t>e</m:t>
                  </m:r>
                  <m:r>
                    <w:rPr>
                      <w:sz w:val="16"/>
                      <w:color w:val="173E34"/>
                    </w:rPr>
                    <m:rPr>
                      <m:sty m:val="p"/>
                    </m:rPr>
                    <m:t>l</m:t>
                  </m:r>
                  <m:r>
                    <w:rPr>
                      <w:sz w:val="16"/>
                      <w:color w:val="173E34"/>
                    </w:rPr>
                    <m:rPr>
                      <m:sty m:val="p"/>
                    </m:rPr>
                    <m:t>l</m:t>
                  </m:r>
                </m:sub>
              </m:sSub>
            </m:oMath>
          </w:p>
        </w:tc>
        <w:tc>
          <w:tcPr>
            <w:tcW w:type="dxa" w:w="351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Traslapes, exclusiones y evidencia</w:t>
            </w:r>
          </w:p>
          <w:p>
            <w:pPr>
              <w:spacing w:before="40" w:after="40"/>
            </w:pPr>
            <m:oMath>
              <m:r>
                <w:rPr>
                  <w:sz w:val="16"/>
                  <w:color w:val="173E34"/>
                </w:rPr>
                <m:rPr>
                  <m:nor/>
                  <m:sty m:val="p"/>
                </m:rPr>
                <m:t>mask</m:t>
              </m:r>
              <m:r>
                <w:rPr>
                  <w:sz w:val="16"/>
                  <w:color w:val="173E34"/>
                </w:rPr>
                <m:rPr>
                  <m:sty m:val="p"/>
                </m:rPr>
                <m:t>,</m:t>
              </m:r>
              <m:r>
                <w:rPr>
                  <w:sz w:val="16"/>
                  <w:color w:val="173E34"/>
                </w:rPr>
                <m:t> </m:t>
              </m:r>
              <m:r>
                <w:rPr>
                  <w:sz w:val="16"/>
                  <w:color w:val="173E34"/>
                </w:rPr>
                <m:rPr>
                  <m:nor/>
                  <m:sty m:val="p"/>
                </m:rPr>
                <m:t>scope</m:t>
              </m:r>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Identidad de datos, enlace temporal y evaluación independiente</w:t>
      </w:r>
    </w:p>
    <w:p>
      <w:pPr>
        <w:keepNext/>
        <w:spacing w:after="100" w:line="259" w:lineRule="auto"/>
      </w:pPr>
      <w:r>
        <w:rPr>
          <w:rFonts w:ascii="Arial" w:hAnsi="Arial"/>
          <w:b w:val="0"/>
          <w:i w:val="0"/>
          <w:color w:val="62716E"/>
          <w:sz w:val="18"/>
        </w:rPr>
        <w:t>Adjunte fichas de productos con bandas, unidades, ámbito de medición, fechas, transformaciones, definición de bosque, interpretación de eventos y referencia independiente. Explique entradas conservadas y reemplazadas.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4" w:name="Section_4"/>
      <w:pPr>
        <w:pStyle w:val="Heading1"/>
        <w:keepNext/>
      </w:pPr>
      <w:r>
        <w:t>04  Caracterización NEB001 y evidencia de clasificación</w:t>
      </w:r>
      <w:bookmarkEnd w:id="104"/>
    </w:p>
    <w:p>
      <w:pPr>
        <w:keepNext/>
        <w:spacing w:after="180" w:line="259" w:lineRule="auto"/>
      </w:pPr>
      <w:r>
        <w:rPr>
          <w:rFonts w:ascii="Arial" w:hAnsi="Arial"/>
          <w:b w:val="0"/>
          <w:i w:val="0"/>
          <w:color w:val="62716E"/>
          <w:sz w:val="15"/>
        </w:rPr>
        <w:t>[1] Referencia: T-01; T-02; T-03; T-06; T-07; T-21; T-22; FRM-08</w:t>
      </w:r>
    </w:p>
    <w:p>
      <w:pPr>
        <w:pStyle w:val="Heading2"/>
        <w:keepNext/>
      </w:pPr>
      <w:r>
        <w:t>Vegetación observada y muestreo</w:t>
      </w:r>
    </w:p>
    <w:p>
      <w:pPr>
        <w:keepNext/>
        <w:spacing w:before="40" w:after="60"/>
      </w:pPr>
      <w:r>
        <w:rPr>
          <w:rFonts w:ascii="Lato" w:hAnsi="Lato"/>
          <w:color w:val="315B50"/>
          <w:sz w:val="18"/>
        </w:rPr>
        <w:t>FEASIBILITY-T07 / Notación del cálculo</w:t>
      </w:r>
    </w:p>
    <w:p>
      <w:pPr>
        <w:keepNext/>
        <w:spacing w:before="40" w:after="60"/>
      </w:pPr>
      <m:oMath>
        <m:sSub>
          <m:e>
            <m:r>
              <w:rPr>
                <w:sz w:val="18"/>
              </w:rPr>
              <m:t>W</m:t>
            </m:r>
          </m:e>
          <m:sub>
            <m:r>
              <w:rPr>
                <w:sz w:val="18"/>
              </w:rPr>
              <m:t>i</m:t>
            </m:r>
          </m:sub>
        </m:sSub>
        <m:r>
          <w:rPr>
            <w:sz w:val="18"/>
          </w:rPr>
          <m:rPr>
            <m:sty m:val="p"/>
          </m:rPr>
          <m:t>=</m:t>
        </m:r>
        <m:f>
          <m:fPr>
            <m:type m:val="bar"/>
          </m:fPr>
          <m:num>
            <m:sSub>
              <m:e>
                <m:r>
                  <w:rPr>
                    <w:sz w:val="18"/>
                  </w:rPr>
                  <m:t>A</m:t>
                </m:r>
              </m:e>
              <m:sub>
                <m:r>
                  <w:rPr>
                    <w:sz w:val="18"/>
                  </w:rPr>
                  <m:t>i</m:t>
                </m:r>
              </m:sub>
            </m:sSub>
          </m:num>
          <m:den>
            <m:r>
              <w:rPr>
                <w:sz w:val="18"/>
              </w:rPr>
              <m:t>A</m:t>
            </m:r>
          </m:den>
        </m:f>
        <m:r>
          <w:rPr>
            <w:sz w:val="18"/>
          </w:rPr>
          <m:rPr>
            <m:sty m:val="p"/>
          </m:rPr>
          <m:t>,</m:t>
        </m:r>
        <m:r>
          <w:rPr>
            <w:sz w:val="18"/>
          </w:rPr>
          <m:t> </m:t>
        </m:r>
        <m:sSub>
          <m:e>
            <m:acc>
              <m:accPr>
                <m:chr m:val="̂"/>
              </m:accPr>
              <m:e>
                <m:r>
                  <w:rPr>
                    <w:sz w:val="18"/>
                  </w:rPr>
                  <m:t>p</m:t>
                </m:r>
              </m:e>
            </m:acc>
          </m:e>
          <m:sub>
            <m:r>
              <w:rPr>
                <w:sz w:val="18"/>
              </w:rPr>
              <m:t>i</m:t>
            </m:r>
            <m:r>
              <w:rPr>
                <w:sz w:val="18"/>
              </w:rPr>
              <m:t>j</m:t>
            </m:r>
          </m:sub>
        </m:sSub>
        <m:r>
          <w:rPr>
            <w:sz w:val="18"/>
          </w:rPr>
          <m:rPr>
            <m:sty m:val="p"/>
          </m:rPr>
          <m:t>=</m:t>
        </m:r>
        <m:f>
          <m:fPr>
            <m:type m:val="bar"/>
          </m:fPr>
          <m:num>
            <m:sSub>
              <m:e>
                <m:r>
                  <w:rPr>
                    <w:sz w:val="18"/>
                  </w:rPr>
                  <m:t>n</m:t>
                </m:r>
              </m:e>
              <m:sub>
                <m:r>
                  <w:rPr>
                    <w:sz w:val="18"/>
                  </w:rPr>
                  <m:t>i</m:t>
                </m:r>
                <m:r>
                  <w:rPr>
                    <w:sz w:val="18"/>
                  </w:rPr>
                  <m:t>j</m:t>
                </m:r>
              </m:sub>
            </m:sSub>
          </m:num>
          <m:den>
            <m:sSub>
              <m:e>
                <m:r>
                  <w:rPr>
                    <w:sz w:val="18"/>
                  </w:rPr>
                  <m:t>n</m:t>
                </m:r>
              </m:e>
              <m:sub>
                <m:r>
                  <w:rPr>
                    <w:sz w:val="18"/>
                  </w:rPr>
                  <m:t>i</m:t>
                </m:r>
              </m:sub>
            </m:sSub>
          </m:den>
        </m:f>
        <m:r>
          <w:rPr>
            <w:sz w:val="18"/>
          </w:rPr>
          <m:rPr>
            <m:sty m:val="p"/>
          </m:rPr>
          <m:t>,</m:t>
        </m:r>
        <m:r>
          <w:rPr>
            <w:sz w:val="18"/>
          </w:rPr>
          <m:t> </m:t>
        </m:r>
        <m:sSub>
          <m:e>
            <m:acc>
              <m:accPr>
                <m:chr m:val="̂"/>
              </m:accPr>
              <m:e>
                <m:r>
                  <w:rPr>
                    <w:sz w:val="18"/>
                  </w:rPr>
                  <m:t>A</m:t>
                </m:r>
              </m:e>
            </m:acc>
          </m:e>
          <m:sub>
            <m:r>
              <w:rPr>
                <w:sz w:val="18"/>
              </w:rPr>
              <m:t>j</m:t>
            </m:r>
          </m:sub>
        </m:sSub>
        <m:r>
          <w:rPr>
            <w:sz w:val="18"/>
          </w:rPr>
          <m:rPr>
            <m:sty m:val="p"/>
          </m:rPr>
          <m:t>=</m:t>
        </m:r>
        <m:r>
          <w:rPr>
            <w:sz w:val="18"/>
          </w:rPr>
          <m:t>A</m:t>
        </m:r>
        <m:nary>
          <m:naryPr>
            <m:chr m:val="∑"/>
            <m:limLoc m:val="undOvr"/>
            <m:subHide m:val="off"/>
            <m:supHide m:val="on"/>
          </m:naryPr>
          <m:sub>
            <m:r>
              <w:rPr>
                <w:sz w:val="18"/>
              </w:rPr>
              <m:t>i</m:t>
            </m:r>
          </m:sub>
          <m:sup>
            <m:r>
              <w:rPr>
                <w:sz w:val="18"/>
              </w:rPr>
              <m:t>​</m:t>
            </m:r>
          </m:sup>
          <m:e>
            <m:sSub>
              <m:e>
                <m:r>
                  <w:rPr>
                    <w:sz w:val="18"/>
                  </w:rPr>
                  <m:t>W</m:t>
                </m:r>
              </m:e>
              <m:sub>
                <m:r>
                  <w:rPr>
                    <w:sz w:val="18"/>
                  </w:rPr>
                  <m:t>i</m:t>
                </m:r>
              </m:sub>
            </m:sSub>
          </m:e>
        </m:nary>
        <m:sSub>
          <m:e>
            <m:acc>
              <m:accPr>
                <m:chr m:val="̂"/>
              </m:accPr>
              <m:e>
                <m:r>
                  <w:rPr>
                    <w:sz w:val="18"/>
                  </w:rPr>
                  <m:t>p</m:t>
                </m:r>
              </m:e>
            </m:acc>
          </m:e>
          <m:sub>
            <m:r>
              <w:rPr>
                <w:sz w:val="18"/>
              </w:rPr>
              <m:t>i</m:t>
            </m:r>
            <m:r>
              <w:rPr>
                <w:sz w:val="18"/>
              </w:rPr>
              <m:t>j</m:t>
            </m:r>
          </m:sub>
        </m:sSub>
      </m:oMath>
    </w:p>
    <w:p>
      <w:pPr>
        <w:keepNext/>
        <w:spacing w:before="40" w:after="60"/>
      </w:pPr>
      <w:r>
        <w:rPr>
          <w:rFonts w:ascii="Lato" w:hAnsi="Lato"/>
          <w:color w:val="315B50"/>
          <w:sz w:val="16"/>
        </w:rPr>
        <w:t>Aplicar diseño y dominio de M01.4. W_i es peso cartográfico del estrato, no peso estimado por defecto; n_ij y n_i son conteos de referencia. El libro contable no ajusta este estimador previo.</w:t>
      </w:r>
    </w:p>
    <w:p>
      <w:pPr>
        <w:keepNext/>
        <w:spacing w:before="40" w:after="60"/>
      </w:pPr>
      <w:r>
        <w:rPr>
          <w:rFonts w:ascii="Lato" w:hAnsi="Lato"/>
          <w:color w:val="315B50"/>
          <w:sz w:val="14"/>
        </w:rPr>
        <w:t>Base: M01.4; M01.5; T-03 | Libro: Evidence!G; Spatial!I; cálculo previo calificado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510"/>
        <w:gridCol w:w="3120"/>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Estrato / parcela / observaciones</w:t>
            </w:r>
          </w:p>
          <w:p>
            <w:pPr>
              <w:spacing w:before="40" w:after="40"/>
            </w:pPr>
            <m:oMath>
              <m:r>
                <w:rPr>
                  <w:sz w:val="16"/>
                  <w:color w:val="173E34"/>
                </w:rPr>
                <m:t>i</m:t>
              </m:r>
              <m:r>
                <w:rPr>
                  <w:sz w:val="16"/>
                  <w:color w:val="173E34"/>
                </w:rPr>
                <m:rPr>
                  <m:sty m:val="p"/>
                </m:rPr>
                <m:t>,</m:t>
              </m:r>
              <m:r>
                <w:rPr>
                  <w:sz w:val="16"/>
                  <w:color w:val="173E34"/>
                </w:rPr>
                <m:t> </m:t>
              </m:r>
              <m:r>
                <w:rPr>
                  <w:sz w:val="16"/>
                  <w:color w:val="173E34"/>
                </w:rPr>
                <m:t>j</m:t>
              </m:r>
              <m:r>
                <w:rPr>
                  <w:sz w:val="16"/>
                  <w:color w:val="173E34"/>
                </w:rPr>
                <m:rPr>
                  <m:sty m:val="p"/>
                </m:rPr>
                <m:t>,</m:t>
              </m:r>
              <m:r>
                <w:rPr>
                  <w:sz w:val="16"/>
                  <w:color w:val="173E34"/>
                </w:rPr>
                <m:t> </m:t>
              </m:r>
              <m:sSub>
                <m:e>
                  <m:r>
                    <w:rPr>
                      <w:sz w:val="16"/>
                      <w:color w:val="173E34"/>
                    </w:rPr>
                    <m:t>n</m:t>
                  </m:r>
                </m:e>
                <m:sub>
                  <m:r>
                    <w:rPr>
                      <w:sz w:val="16"/>
                      <w:color w:val="173E34"/>
                    </w:rPr>
                    <m:t>i</m:t>
                  </m:r>
                </m:sub>
              </m:sSub>
            </m:oMath>
          </w:p>
        </w:tc>
        <w:tc>
          <w:tcPr>
            <w:tcW w:type="dxa" w:w="351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Diseño, variables y controles</w:t>
            </w:r>
          </w:p>
          <w:p>
            <w:pPr>
              <w:spacing w:before="40" w:after="40"/>
            </w:pPr>
            <m:oMath>
              <m:sSub>
                <m:e>
                  <m:r>
                    <w:rPr>
                      <w:sz w:val="16"/>
                      <w:color w:val="173E34"/>
                    </w:rPr>
                    <m:t>W</m:t>
                  </m:r>
                </m:e>
                <m:sub>
                  <m:r>
                    <w:rPr>
                      <w:sz w:val="16"/>
                      <w:color w:val="173E34"/>
                    </w:rPr>
                    <m:t>i</m:t>
                  </m:r>
                </m:sub>
              </m:sSub>
              <m:r>
                <w:rPr>
                  <w:sz w:val="16"/>
                  <w:color w:val="173E34"/>
                </w:rPr>
                <m:rPr>
                  <m:sty m:val="p"/>
                </m:rPr>
                <m:t>,</m:t>
              </m:r>
              <m:r>
                <w:rPr>
                  <w:sz w:val="16"/>
                  <w:color w:val="173E34"/>
                </w:rPr>
                <m:t> </m:t>
              </m:r>
              <m:sSub>
                <m:e>
                  <m:acc>
                    <m:accPr>
                      <m:chr m:val="̂"/>
                    </m:accPr>
                    <m:e>
                      <m:r>
                        <w:rPr>
                          <w:sz w:val="16"/>
                          <w:color w:val="173E34"/>
                        </w:rPr>
                        <m:t>p</m:t>
                      </m:r>
                    </m:e>
                  </m:acc>
                </m:e>
                <m:sub>
                  <m:r>
                    <w:rPr>
                      <w:sz w:val="16"/>
                      <w:color w:val="173E34"/>
                    </w:rPr>
                    <m:t>i</m:t>
                  </m:r>
                  <m:r>
                    <w:rPr>
                      <w:sz w:val="16"/>
                      <w:color w:val="173E34"/>
                    </w:rPr>
                    <m:t>j</m:t>
                  </m:r>
                </m:sub>
              </m:sSub>
            </m:oMath>
          </w:p>
        </w:tc>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Evidencia, cobertura y límites</w:t>
            </w:r>
          </w:p>
          <w:p>
            <w:pPr>
              <w:spacing w:before="40" w:after="40"/>
            </w:pPr>
            <m:oMath>
              <m:sSub>
                <m:e>
                  <m:acc>
                    <m:accPr>
                      <m:chr m:val="̂"/>
                    </m:accPr>
                    <m:e>
                      <m:r>
                        <w:rPr>
                          <w:sz w:val="16"/>
                          <w:color w:val="173E34"/>
                        </w:rPr>
                        <m:t>A</m:t>
                      </m:r>
                    </m:e>
                  </m:acc>
                </m:e>
                <m:sub>
                  <m:r>
                    <w:rPr>
                      <w:sz w:val="16"/>
                      <w:color w:val="173E34"/>
                    </w:rPr>
                    <m:t>j</m:t>
                  </m:r>
                </m:sub>
              </m:sSub>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Ficha del modelo e implementación</w:t>
      </w:r>
    </w:p>
    <w:p>
      <w:pPr>
        <w:keepNext/>
        <w:spacing w:before="40" w:after="60"/>
      </w:pPr>
      <w:r>
        <w:rPr>
          <w:rFonts w:ascii="Lato" w:hAnsi="Lato"/>
          <w:color w:val="315B50"/>
          <w:sz w:val="18"/>
        </w:rPr>
        <w:t>FEASIBILITY-T08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607"/>
        <w:gridCol w:w="3217"/>
        <w:gridCol w:w="2925"/>
      </w:tblGrid>
      <w:tr>
        <w:trPr>
          <w:trHeight w:val="446" w:hRule="atLeast"/>
          <w:tblHeader/>
        </w:trPr>
        <w:tc>
          <w:tcPr>
            <w:tcW w:type="dxa" w:w="360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Componente / ID de ecuaciones</w:t>
            </w:r>
          </w:p>
          <w:p>
            <w:pPr>
              <w:spacing w:before="40" w:after="40"/>
            </w:pPr>
            <m:oMath>
              <m:sSub>
                <m:e>
                  <m:r>
                    <w:rPr>
                      <w:sz w:val="16"/>
                      <w:color w:val="173E34"/>
                    </w:rPr>
                    <m:t>x</m:t>
                  </m:r>
                </m:e>
                <m:sub>
                  <m:r>
                    <w:rPr>
                      <w:sz w:val="16"/>
                      <w:color w:val="173E34"/>
                    </w:rPr>
                    <m:rPr>
                      <m:sty m:val="p"/>
                    </m:rPr>
                    <m:t>ℓ</m:t>
                  </m:r>
                </m:sub>
              </m:sSub>
            </m:oMath>
          </w:p>
        </w:tc>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Versión, parámetros y procedencia</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Calibración / prueba independiente</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360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CCA y calibración a gradiente físico</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607"/>
            <w:vAlign w:val="center"/>
            <w:tcMar>
              <w:top w:w="70" w:type="dxa"/>
              <w:start w:w="85" w:type="dxa"/>
              <w:bottom w:w="70" w:type="dxa"/>
              <w:end w:w="85" w:type="dxa"/>
            </w:tcMar>
          </w:tcPr>
          <w:p>
            <w:pPr>
              <w:spacing w:after="0" w:line="250" w:lineRule="auto"/>
            </w:pPr>
            <w:r>
              <w:rPr>
                <w:rFonts w:ascii="Arial" w:hAnsi="Arial"/>
                <w:b w:val="0"/>
                <w:i w:val="0"/>
                <w:color w:val="243A36"/>
                <w:sz w:val="16"/>
              </w:rPr>
              <w:t>Pertenencia, reglas, inferencia y MOM</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60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Clasificación y transiciones temporales</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Desempeño independiente y decisión de transferencia</w:t>
      </w:r>
    </w:p>
    <w:p>
      <w:pPr>
        <w:keepNext/>
        <w:spacing w:after="100" w:line="259" w:lineRule="auto"/>
      </w:pPr>
      <w:r>
        <w:rPr>
          <w:rFonts w:ascii="Arial" w:hAnsi="Arial"/>
          <w:b w:val="0"/>
          <w:i w:val="0"/>
          <w:color w:val="62716E"/>
          <w:sz w:val="18"/>
        </w:rPr>
        <w:t>Informe diseño de validación, referencia, errores e incertidumbre, pruebas fallidas y dominio sustentado. Pertenencia no es probabilidad ni área. Distinga vegetación arbustiva de degradación demostrada y cambios de clase de pérdidas físicas.</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5" w:name="Section_5"/>
      <w:pPr>
        <w:pStyle w:val="Heading1"/>
        <w:keepNext/>
      </w:pPr>
      <w:r>
        <w:t>05  Referencia material NEB002 y ruta de evidencia</w:t>
      </w:r>
      <w:bookmarkEnd w:id="105"/>
    </w:p>
    <w:p>
      <w:pPr>
        <w:keepNext/>
        <w:spacing w:after="180" w:line="259" w:lineRule="auto"/>
      </w:pPr>
      <w:r>
        <w:rPr>
          <w:rFonts w:ascii="Arial" w:hAnsi="Arial"/>
          <w:b w:val="0"/>
          <w:i w:val="0"/>
          <w:color w:val="62716E"/>
          <w:sz w:val="15"/>
        </w:rPr>
        <w:t>[1] Referencia: T-04; T-05; T-06; T-07; T-11; T-12; T-13; T-15; FRM-08</w:t>
      </w:r>
    </w:p>
    <w:p>
      <w:pPr>
        <w:pStyle w:val="Heading2"/>
        <w:keepNext/>
      </w:pPr>
      <w:r>
        <w:t>Ruta por estrato</w:t>
      </w:r>
    </w:p>
    <w:p>
      <w:pPr>
        <w:keepNext/>
        <w:spacing w:before="40" w:after="60"/>
      </w:pPr>
      <w:r>
        <w:rPr>
          <w:rFonts w:ascii="Lato" w:hAnsi="Lato"/>
          <w:color w:val="315B50"/>
          <w:sz w:val="18"/>
        </w:rPr>
        <w:t>FEASIBILITY-T09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510"/>
        <w:gridCol w:w="3217"/>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Estrato / ruta A, B o C</w:t>
            </w:r>
          </w:p>
          <w:p>
            <w:pPr>
              <w:spacing w:before="40" w:after="40"/>
            </w:pPr>
            <m:oMath>
              <m:sSub>
                <m:e>
                  <m:r>
                    <w:rPr>
                      <w:sz w:val="16"/>
                      <w:color w:val="173E34"/>
                    </w:rPr>
                    <m:t>x</m:t>
                  </m:r>
                </m:e>
                <m:sub>
                  <m:r>
                    <w:rPr>
                      <w:sz w:val="16"/>
                      <w:color w:val="173E34"/>
                    </w:rPr>
                    <m:rPr>
                      <m:sty m:val="p"/>
                    </m:rPr>
                    <m:t>ℓ</m:t>
                  </m:r>
                </m:sub>
              </m:sSub>
            </m:oMath>
          </w:p>
        </w:tc>
        <w:tc>
          <w:tcPr>
            <w:tcW w:type="dxa" w:w="351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Referencia conservada o nueva</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Aplicabilidad y pruebas independientes</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Registro de material a carbono y calibración</w:t>
      </w:r>
    </w:p>
    <w:p>
      <w:pPr>
        <w:keepNext/>
        <w:spacing w:before="40" w:after="60"/>
      </w:pPr>
      <w:r>
        <w:rPr>
          <w:rFonts w:ascii="Lato" w:hAnsi="Lato"/>
          <w:color w:val="315B50"/>
          <w:sz w:val="18"/>
        </w:rPr>
        <w:t>FEASIBILITY-T10 / Notación del cálculo</w:t>
      </w:r>
    </w:p>
    <w:p>
      <w:pPr>
        <w:keepNext/>
        <w:spacing w:before="40" w:after="60"/>
      </w:pPr>
      <m:oMath>
        <m:sSub>
          <m:e>
            <m:r>
              <w:rPr>
                <w:sz w:val="18"/>
              </w:rPr>
              <m:t>C</m:t>
            </m:r>
          </m:e>
          <m:sub>
            <m:r>
              <w:rPr>
                <w:sz w:val="18"/>
              </w:rPr>
              <m:t>j</m:t>
            </m:r>
          </m:sub>
        </m:sSub>
        <m:r>
          <w:rPr>
            <w:sz w:val="18"/>
          </w:rPr>
          <m:rPr>
            <m:sty m:val="p"/>
          </m:rPr>
          <m:t>=</m:t>
        </m:r>
        <m:sSup>
          <m:e>
            <m:r>
              <w:rPr>
                <w:sz w:val="18"/>
              </w:rPr>
              <m:t>10</m:t>
            </m:r>
          </m:e>
          <m:sup>
            <m:r>
              <w:rPr>
                <w:sz w:val="18"/>
              </w:rPr>
              <m:rPr>
                <m:sty m:val="p"/>
              </m:rPr>
              <m:t>−</m:t>
            </m:r>
            <m:r>
              <w:rPr>
                <w:sz w:val="18"/>
              </w:rPr>
              <m:t>3</m:t>
            </m:r>
          </m:sup>
        </m:sSup>
        <m:nary>
          <m:naryPr>
            <m:chr m:val="∑"/>
            <m:limLoc m:val="undOvr"/>
            <m:subHide m:val="off"/>
            <m:supHide m:val="on"/>
          </m:naryPr>
          <m:sub>
            <m:r>
              <w:rPr>
                <w:sz w:val="18"/>
              </w:rPr>
              <m:t>o</m:t>
            </m:r>
          </m:sub>
          <m:sup>
            <m:r>
              <w:rPr>
                <w:sz w:val="18"/>
              </w:rPr>
              <m:t>​</m:t>
            </m:r>
          </m:sup>
          <m:e>
            <m:sSub>
              <m:e>
                <m:r>
                  <w:rPr>
                    <w:sz w:val="18"/>
                  </w:rPr>
                  <m:t>V</m:t>
                </m:r>
              </m:e>
              <m:sub>
                <m:r>
                  <w:rPr>
                    <w:sz w:val="18"/>
                  </w:rPr>
                  <m:t>j</m:t>
                </m:r>
                <m:r>
                  <w:rPr>
                    <w:sz w:val="18"/>
                  </w:rPr>
                  <m:t>o</m:t>
                </m:r>
              </m:sub>
            </m:sSub>
          </m:e>
        </m:nary>
        <m:sSubSup>
          <m:e>
            <m:r>
              <w:rPr>
                <w:sz w:val="18"/>
              </w:rPr>
              <m:t>ρ</m:t>
            </m:r>
          </m:e>
          <m:sub>
            <m:r>
              <w:rPr>
                <w:sz w:val="18"/>
              </w:rPr>
              <m:t>j</m:t>
            </m:r>
            <m:r>
              <w:rPr>
                <w:sz w:val="18"/>
              </w:rPr>
              <m:t>o</m:t>
            </m:r>
          </m:sub>
          <m:sup>
            <m:r>
              <w:rPr>
                <w:sz w:val="18"/>
              </w:rPr>
              <m:t>b</m:t>
            </m:r>
          </m:sup>
        </m:sSubSup>
        <m:sSubSup>
          <m:e>
            <m:r>
              <w:rPr>
                <w:sz w:val="18"/>
              </w:rPr>
              <m:t>f</m:t>
            </m:r>
          </m:e>
          <m:sub>
            <m:r>
              <w:rPr>
                <w:sz w:val="18"/>
              </w:rPr>
              <m:t>j</m:t>
            </m:r>
            <m:r>
              <w:rPr>
                <w:sz w:val="18"/>
              </w:rPr>
              <m:t>o</m:t>
            </m:r>
          </m:sub>
          <m:sup>
            <m:r>
              <w:rPr>
                <w:sz w:val="18"/>
              </w:rPr>
              <m:t>C</m:t>
            </m:r>
          </m:sup>
        </m:sSubSup>
      </m:oMath>
    </w:p>
    <w:p>
      <w:pPr>
        <w:keepNext/>
        <w:spacing w:before="40" w:after="60"/>
      </w:pPr>
      <m:oMath>
        <m:sSub>
          <m:e>
            <m:r>
              <w:rPr>
                <w:sz w:val="18"/>
              </w:rPr>
              <m:t>c</m:t>
            </m:r>
          </m:e>
          <m:sub>
            <m:r>
              <w:rPr>
                <w:sz w:val="18"/>
              </w:rPr>
              <m:t>p</m:t>
            </m:r>
          </m:sub>
        </m:sSub>
        <m:r>
          <w:rPr>
            <w:sz w:val="18"/>
          </w:rPr>
          <m:rPr>
            <m:sty m:val="p"/>
          </m:rPr>
          <m:t>=</m:t>
        </m:r>
        <m:f>
          <m:fPr>
            <m:type m:val="bar"/>
          </m:fPr>
          <m:num>
            <m:nary>
              <m:naryPr>
                <m:chr m:val="∑"/>
                <m:limLoc m:val="undOvr"/>
                <m:subHide m:val="off"/>
                <m:supHide m:val="on"/>
              </m:naryPr>
              <m:sub>
                <m:r>
                  <w:rPr>
                    <w:sz w:val="18"/>
                  </w:rPr>
                  <m:t>j</m:t>
                </m:r>
                <m:r>
                  <w:rPr>
                    <w:sz w:val="18"/>
                  </w:rPr>
                  <m:rPr>
                    <m:sty m:val="p"/>
                  </m:rPr>
                  <m:t>∈</m:t>
                </m:r>
                <m:r>
                  <w:rPr>
                    <w:sz w:val="18"/>
                  </w:rPr>
                  <m:t>p</m:t>
                </m:r>
              </m:sub>
              <m:sup>
                <m:r>
                  <w:rPr>
                    <w:sz w:val="18"/>
                  </w:rPr>
                  <m:t>​</m:t>
                </m:r>
              </m:sup>
              <m:e>
                <m:sSub>
                  <m:e>
                    <m:r>
                      <w:rPr>
                        <w:sz w:val="18"/>
                      </w:rPr>
                      <m:t>C</m:t>
                    </m:r>
                  </m:e>
                  <m:sub>
                    <m:r>
                      <w:rPr>
                        <w:sz w:val="18"/>
                      </w:rPr>
                      <m:t>j</m:t>
                    </m:r>
                  </m:sub>
                </m:sSub>
              </m:e>
            </m:nary>
            <m:r>
              <w:rPr>
                <w:sz w:val="18"/>
              </w:rPr>
              <m:rPr>
                <m:sty m:val="p"/>
              </m:rPr>
              <m:t>+</m:t>
            </m:r>
            <m:sSub>
              <m:e>
                <m:r>
                  <w:rPr>
                    <w:sz w:val="18"/>
                  </w:rPr>
                  <m:t>C</m:t>
                </m:r>
              </m:e>
              <m:sub>
                <m:r>
                  <w:rPr>
                    <w:sz w:val="18"/>
                  </w:rPr>
                  <m:t>p</m:t>
                </m:r>
                <m:r>
                  <w:rPr>
                    <w:sz w:val="18"/>
                  </w:rPr>
                  <m:rPr>
                    <m:sty m:val="p"/>
                  </m:rPr>
                  <m:t>,</m:t>
                </m:r>
                <m:r>
                  <w:rPr>
                    <w:sz w:val="18"/>
                  </w:rPr>
                  <m:rPr>
                    <m:sty m:val="p"/>
                  </m:rPr>
                  <m:t>o</m:t>
                </m:r>
                <m:r>
                  <w:rPr>
                    <w:sz w:val="18"/>
                  </w:rPr>
                  <m:rPr>
                    <m:sty m:val="p"/>
                  </m:rPr>
                  <m:t>t</m:t>
                </m:r>
                <m:r>
                  <w:rPr>
                    <w:sz w:val="18"/>
                  </w:rPr>
                  <m:rPr>
                    <m:sty m:val="p"/>
                  </m:rPr>
                  <m:t>h</m:t>
                </m:r>
                <m:r>
                  <w:rPr>
                    <w:sz w:val="18"/>
                  </w:rPr>
                  <m:rPr>
                    <m:sty m:val="p"/>
                  </m:rPr>
                  <m:t>e</m:t>
                </m:r>
                <m:r>
                  <w:rPr>
                    <w:sz w:val="18"/>
                  </w:rPr>
                  <m:rPr>
                    <m:sty m:val="p"/>
                  </m:rPr>
                  <m:t>r</m:t>
                </m:r>
              </m:sub>
            </m:sSub>
          </m:num>
          <m:den>
            <m:sSub>
              <m:e>
                <m:r>
                  <w:rPr>
                    <w:sz w:val="18"/>
                  </w:rPr>
                  <m:t>a</m:t>
                </m:r>
              </m:e>
              <m:sub>
                <m:r>
                  <w:rPr>
                    <w:sz w:val="18"/>
                  </w:rPr>
                  <m:t>p</m:t>
                </m:r>
              </m:sub>
            </m:sSub>
          </m:den>
        </m:f>
      </m:oMath>
    </w:p>
    <w:p>
      <w:pPr>
        <w:keepNext/>
        <w:spacing w:before="40" w:after="60"/>
      </w:pPr>
      <w:r>
        <w:rPr>
          <w:rFonts w:ascii="Lato" w:hAnsi="Lato"/>
          <w:color w:val="315B50"/>
          <w:sz w:val="16"/>
        </w:rPr>
        <w:t>V es volumen verde material en m3; rho_b es kg secos en estufa por m3 verde; f_C es fracción de carbono seco. C_j está en Mg C; c_p en Mg C/ha. El denominador a_p está en ha. No duplicar reservorios ni mezclar convenciones de humedad.</w:t>
      </w:r>
    </w:p>
    <w:p>
      <w:pPr>
        <w:keepNext/>
        <w:spacing w:before="40" w:after="60"/>
      </w:pPr>
      <w:r>
        <w:rPr>
          <w:rFonts w:ascii="Lato" w:hAnsi="Lato"/>
          <w:color w:val="315B50"/>
          <w:sz w:val="14"/>
        </w:rPr>
        <w:t>Base: M02.1; M02.2; F-M01 | Libro: Evidence!G; Factors!D:G; registros previos de órganos y parcelas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217"/>
        <w:gridCol w:w="3315"/>
        <w:gridCol w:w="3217"/>
      </w:tblGrid>
      <w:tr>
        <w:trPr>
          <w:trHeight w:val="446" w:hRule="atLeast"/>
          <w:tblHeader/>
        </w:trPr>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Entrada / compartimento / ecuación</w:t>
            </w:r>
          </w:p>
          <w:p>
            <w:pPr>
              <w:spacing w:before="40" w:after="40"/>
            </w:pPr>
            <m:oMath>
              <m:r>
                <w:rPr>
                  <w:sz w:val="16"/>
                  <w:color w:val="173E34"/>
                </w:rPr>
                <m:t>j</m:t>
              </m:r>
              <m:r>
                <w:rPr>
                  <w:sz w:val="16"/>
                  <w:color w:val="173E34"/>
                </w:rPr>
                <m:rPr>
                  <m:sty m:val="p"/>
                </m:rPr>
                <m:t>,</m:t>
              </m:r>
              <m:r>
                <w:rPr>
                  <w:sz w:val="16"/>
                  <w:color w:val="173E34"/>
                </w:rPr>
                <m:t> </m:t>
              </m:r>
              <m:r>
                <w:rPr>
                  <w:sz w:val="16"/>
                  <w:color w:val="173E34"/>
                </w:rPr>
                <m:t>o</m:t>
              </m:r>
              <m:r>
                <w:rPr>
                  <w:sz w:val="16"/>
                  <w:color w:val="173E34"/>
                </w:rPr>
                <m:rPr>
                  <m:sty m:val="p"/>
                </m:rPr>
                <m:t>,</m:t>
              </m:r>
              <m:r>
                <w:rPr>
                  <w:sz w:val="16"/>
                  <w:color w:val="173E34"/>
                </w:rPr>
                <m:t> </m:t>
              </m:r>
              <m:r>
                <w:rPr>
                  <w:sz w:val="16"/>
                  <w:color w:val="173E34"/>
                </w:rPr>
                <m:t>p</m:t>
              </m:r>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Unidades, convención y evidencia</w:t>
            </w:r>
          </w:p>
          <w:p>
            <w:pPr>
              <w:spacing w:before="40" w:after="40"/>
            </w:pPr>
            <m:oMath>
              <m:sSub>
                <m:e>
                  <m:r>
                    <w:rPr>
                      <w:sz w:val="16"/>
                      <w:color w:val="173E34"/>
                    </w:rPr>
                    <m:t>V</m:t>
                  </m:r>
                </m:e>
                <m:sub>
                  <m:r>
                    <w:rPr>
                      <w:sz w:val="16"/>
                      <w:color w:val="173E34"/>
                    </w:rPr>
                    <m:t>j</m:t>
                  </m:r>
                  <m:r>
                    <w:rPr>
                      <w:sz w:val="16"/>
                      <w:color w:val="173E34"/>
                    </w:rPr>
                    <m:t>o</m:t>
                  </m:r>
                </m:sub>
              </m:sSub>
              <m:r>
                <w:rPr>
                  <w:sz w:val="16"/>
                  <w:color w:val="173E34"/>
                </w:rPr>
                <m:rPr>
                  <m:sty m:val="p"/>
                </m:rPr>
                <m:t>,</m:t>
              </m:r>
              <m:sSubSup>
                <m:e>
                  <m:r>
                    <w:rPr>
                      <w:sz w:val="16"/>
                      <w:color w:val="173E34"/>
                    </w:rPr>
                    <m:t>ρ</m:t>
                  </m:r>
                </m:e>
                <m:sub>
                  <m:r>
                    <w:rPr>
                      <w:sz w:val="16"/>
                      <w:color w:val="173E34"/>
                    </w:rPr>
                    <m:t>j</m:t>
                  </m:r>
                  <m:r>
                    <w:rPr>
                      <w:sz w:val="16"/>
                      <w:color w:val="173E34"/>
                    </w:rPr>
                    <m:t>o</m:t>
                  </m:r>
                </m:sub>
                <m:sup>
                  <m:r>
                    <w:rPr>
                      <w:sz w:val="16"/>
                      <w:color w:val="173E34"/>
                    </w:rPr>
                    <m:t>b</m:t>
                  </m:r>
                </m:sup>
              </m:sSubSup>
              <m:r>
                <w:rPr>
                  <w:sz w:val="16"/>
                  <w:color w:val="173E34"/>
                </w:rPr>
                <m:rPr>
                  <m:sty m:val="p"/>
                </m:rPr>
                <m:t>,</m:t>
              </m:r>
              <m:r>
                <w:rPr>
                  <w:sz w:val="16"/>
                  <w:color w:val="173E34"/>
                </w:rPr>
                <m:t> </m:t>
              </m:r>
              <m:sSubSup>
                <m:e>
                  <m:r>
                    <w:rPr>
                      <w:sz w:val="16"/>
                      <w:color w:val="173E34"/>
                    </w:rPr>
                    <m:t>f</m:t>
                  </m:r>
                </m:e>
                <m:sub>
                  <m:r>
                    <w:rPr>
                      <w:sz w:val="16"/>
                      <w:color w:val="173E34"/>
                    </w:rPr>
                    <m:t>j</m:t>
                  </m:r>
                  <m:r>
                    <w:rPr>
                      <w:sz w:val="16"/>
                      <w:color w:val="173E34"/>
                    </w:rPr>
                    <m:t>o</m:t>
                  </m:r>
                </m:sub>
                <m:sup>
                  <m:r>
                    <w:rPr>
                      <w:sz w:val="16"/>
                      <w:color w:val="173E34"/>
                    </w:rPr>
                    <m:t>C</m:t>
                  </m:r>
                </m:sup>
              </m:sSubSup>
            </m:oMath>
          </w:p>
        </w:tc>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Calibración, incertidumbre y prueba</w:t>
            </w:r>
          </w:p>
          <w:p>
            <w:pPr>
              <w:spacing w:before="40" w:after="40"/>
            </w:pPr>
            <m:oMath>
              <m:sSub>
                <m:e>
                  <m:r>
                    <w:rPr>
                      <w:sz w:val="16"/>
                      <w:color w:val="173E34"/>
                    </w:rPr>
                    <m:t>C</m:t>
                  </m:r>
                </m:e>
                <m:sub>
                  <m:r>
                    <w:rPr>
                      <w:sz w:val="16"/>
                      <w:color w:val="173E34"/>
                    </w:rPr>
                    <m:t>j</m:t>
                  </m:r>
                </m:sub>
              </m:sSub>
              <m:r>
                <w:rPr>
                  <w:sz w:val="16"/>
                  <w:color w:val="173E34"/>
                </w:rPr>
                <m:rPr>
                  <m:sty m:val="p"/>
                </m:rPr>
                <m:t>,</m:t>
              </m:r>
              <m:r>
                <w:rPr>
                  <w:sz w:val="16"/>
                  <w:color w:val="173E34"/>
                </w:rPr>
                <m:t> </m:t>
              </m:r>
              <m:sSub>
                <m:e>
                  <m:r>
                    <w:rPr>
                      <w:sz w:val="16"/>
                      <w:color w:val="173E34"/>
                    </w:rPr>
                    <m:t>c</m:t>
                  </m:r>
                </m:e>
                <m:sub>
                  <m:r>
                    <w:rPr>
                      <w:sz w:val="16"/>
                      <w:color w:val="173E34"/>
                    </w:rPr>
                    <m:t>p</m:t>
                  </m:r>
                </m:sub>
              </m:sSub>
            </m:oMath>
          </w:p>
        </w:tc>
      </w:tr>
      <w:tr>
        <w:trPr>
          <w:trHeight w:val="446" w:hRule="atLeast"/>
        </w:trPr>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Calificación y completitud de referencia</w:t>
      </w:r>
    </w:p>
    <w:p>
      <w:pPr>
        <w:keepNext/>
        <w:spacing w:after="100" w:line="259" w:lineRule="auto"/>
      </w:pPr>
      <w:r>
        <w:rPr>
          <w:rFonts w:ascii="Arial" w:hAnsi="Arial"/>
          <w:b w:val="0"/>
          <w:i w:val="0"/>
          <w:color w:val="62716E"/>
          <w:sz w:val="18"/>
        </w:rPr>
        <w:t>Para evidencia nueva, documente volumen, órganos disjuntos, densidad seca/verde, fracciones tisulares y controles. Para bibliotecas, aporte registros reales del modelo y pruebas de transferencia. Para productos secundarios, establezca sustento y tratamiento conservador de la cuenta completa.</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No se presume incremento arquitectónico universal ni techo automático de un estimador convencional. Un mapa más fino no valida independientemente sus etiquetas de carbono heredadas.</w:t>
      </w:r>
    </w:p>
    <w:p>
      <w:r>
        <w:br w:type="page"/>
      </w:r>
    </w:p>
    <w:p>
      <w:bookmarkStart w:id="106" w:name="Section_6"/>
      <w:pPr>
        <w:pStyle w:val="Heading1"/>
        <w:keepNext/>
      </w:pPr>
      <w:r>
        <w:t>06  Línea base, intervenciones y adicionalidad continuada</w:t>
      </w:r>
      <w:bookmarkEnd w:id="106"/>
    </w:p>
    <w:p>
      <w:pPr>
        <w:keepNext/>
        <w:spacing w:after="180" w:line="259" w:lineRule="auto"/>
      </w:pPr>
      <w:r>
        <w:rPr>
          <w:rFonts w:ascii="Arial" w:hAnsi="Arial"/>
          <w:b w:val="0"/>
          <w:i w:val="0"/>
          <w:color w:val="62716E"/>
          <w:sz w:val="15"/>
        </w:rPr>
        <w:t>[1] Referencia: S-08; S-09; AO-05; AO-06; AO-07; AO-08; AO-10; FRM-01/AO</w:t>
      </w:r>
    </w:p>
    <w:p>
      <w:pPr>
        <w:pStyle w:val="Heading2"/>
        <w:keepNext/>
      </w:pPr>
      <w:r>
        <w:t>Alternativas y selección de línea base</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3217"/>
        <w:gridCol w:w="3217"/>
      </w:tblGrid>
      <w:tr>
        <w:trPr>
          <w:trHeight w:val="446" w:hRule="atLeast"/>
          <w:tblHeader/>
        </w:trPr>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Alternativa / causa / ámbito</w:t>
            </w:r>
          </w:p>
        </w:tc>
        <w:tc>
          <w:tcPr>
            <w:tcW w:type="dxa" w:w="321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Credibilidad, estado y evidencia</w:t>
            </w:r>
          </w:p>
        </w:tc>
        <w:tc>
          <w:tcPr>
            <w:tcW w:type="dxa" w:w="321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Selección / rechazo y sensibilidad</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Adicionalidad por intervención</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412"/>
        <w:gridCol w:w="3315"/>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Intervención / ejecutor</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Causa, barrera y mecanismo causal</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Prueba, contrafáctico y evidencia</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Evaluación continuada e intervenciones previas</w:t>
      </w:r>
    </w:p>
    <w:p>
      <w:pPr>
        <w:keepNext/>
        <w:spacing w:after="100" w:line="259" w:lineRule="auto"/>
      </w:pPr>
      <w:r>
        <w:rPr>
          <w:rFonts w:ascii="Arial" w:hAnsi="Arial"/>
          <w:b w:val="0"/>
          <w:i w:val="0"/>
          <w:color w:val="62716E"/>
          <w:sz w:val="18"/>
        </w:rPr>
        <w:t>Referencie deberes, práctica común y pruebas financieras pertinentes. Aborde actividades existentes que afectan el contrafáctico, fecha de evidencia, indicadores de gobernanza, desencadenantes y reevaluación controlada sin reinicios oportunistas.</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7" w:name="Section_7"/>
      <w:pPr>
        <w:pStyle w:val="Heading1"/>
        <w:keepNext/>
      </w:pPr>
      <w:r>
        <w:t>07  Cuantificación, parámetros e incertidumbre</w:t>
      </w:r>
      <w:bookmarkEnd w:id="107"/>
    </w:p>
    <w:p>
      <w:pPr>
        <w:keepNext/>
        <w:spacing w:after="180" w:line="259" w:lineRule="auto"/>
      </w:pPr>
      <w:r>
        <w:rPr>
          <w:rFonts w:ascii="Arial" w:hAnsi="Arial"/>
          <w:b w:val="0"/>
          <w:i w:val="0"/>
          <w:color w:val="62716E"/>
          <w:sz w:val="15"/>
        </w:rPr>
        <w:t>[1] Referencia: F-01; F-02; T-08; T-09; T-14; T-16; FRM-05; FRM-08</w:t>
      </w:r>
    </w:p>
    <w:p>
      <w:pPr>
        <w:pStyle w:val="Heading2"/>
        <w:keepNext/>
      </w:pPr>
      <w:r>
        <w:t>Cadena completa de cálculo</w:t>
      </w:r>
    </w:p>
    <w:p>
      <w:pPr>
        <w:keepNext/>
        <w:spacing w:before="40" w:after="60"/>
      </w:pPr>
      <w:r>
        <w:rPr>
          <w:rFonts w:ascii="Lato" w:hAnsi="Lato"/>
          <w:color w:val="315B50"/>
          <w:sz w:val="18"/>
        </w:rPr>
        <w:t>FEASIBILITY-T13 / Notación del cálculo</w:t>
      </w:r>
    </w:p>
    <w:p>
      <w:pPr>
        <w:keepNext/>
        <w:spacing w:before="40" w:after="60"/>
      </w:pPr>
      <m:oMath>
        <m:sSub>
          <m:e>
            <m:r>
              <w:rPr>
                <w:sz w:val="18"/>
              </w:rPr>
              <m:t>q</m:t>
            </m:r>
          </m:e>
          <m:sub>
            <m:r>
              <w:rPr>
                <w:sz w:val="18"/>
              </w:rPr>
              <m:rPr>
                <m:sty m:val="p"/>
              </m:rPr>
              <m:t>ℓ</m:t>
            </m:r>
            <m:r>
              <w:rPr>
                <w:sz w:val="18"/>
              </w:rPr>
              <m:rPr>
                <m:sty m:val="p"/>
              </m:rPr>
              <m:t>,</m:t>
            </m:r>
            <m:r>
              <w:rPr>
                <w:sz w:val="18"/>
              </w:rPr>
              <m:t>s</m:t>
            </m:r>
            <m:r>
              <w:rPr>
                <w:sz w:val="18"/>
              </w:rPr>
              <m:rPr>
                <m:sty m:val="p"/>
              </m:rPr>
              <m:t>,</m:t>
            </m:r>
            <m:r>
              <w:rPr>
                <w:sz w:val="18"/>
              </w:rPr>
              <m:t>t</m:t>
            </m:r>
          </m:sub>
        </m:sSub>
        <m:r>
          <w:rPr>
            <w:sz w:val="18"/>
          </w:rPr>
          <m:rPr>
            <m:sty m:val="p"/>
          </m:rPr>
          <m:t>=</m:t>
        </m:r>
        <m:sSub>
          <m:e>
            <m:r>
              <w:rPr>
                <w:sz w:val="18"/>
              </w:rPr>
              <m:t>x</m:t>
            </m:r>
          </m:e>
          <m:sub>
            <m:r>
              <w:rPr>
                <w:sz w:val="18"/>
              </w:rPr>
              <m:rPr>
                <m:sty m:val="p"/>
              </m:rPr>
              <m:t>ℓ</m:t>
            </m:r>
            <m:r>
              <w:rPr>
                <w:sz w:val="18"/>
              </w:rPr>
              <m:rPr>
                <m:sty m:val="p"/>
              </m:rPr>
              <m:t>,</m:t>
            </m:r>
            <m:r>
              <w:rPr>
                <w:sz w:val="18"/>
              </w:rPr>
              <m:t>s</m:t>
            </m:r>
            <m:r>
              <w:rPr>
                <w:sz w:val="18"/>
              </w:rPr>
              <m:rPr>
                <m:sty m:val="p"/>
              </m:rPr>
              <m:t>,</m:t>
            </m:r>
            <m:r>
              <w:rPr>
                <w:sz w:val="18"/>
              </w:rPr>
              <m:t>t</m:t>
            </m:r>
          </m:sub>
        </m:sSub>
        <m:sSub>
          <m:e>
            <m:r>
              <w:rPr>
                <w:sz w:val="18"/>
              </w:rPr>
              <m:t>f</m:t>
            </m:r>
          </m:e>
          <m:sub>
            <m:r>
              <w:rPr>
                <w:sz w:val="18"/>
              </w:rPr>
              <m:rPr>
                <m:sty m:val="p"/>
              </m:rPr>
              <m:t>ℓ</m:t>
            </m:r>
            <m:r>
              <w:rPr>
                <w:sz w:val="18"/>
              </w:rPr>
              <m:rPr>
                <m:sty m:val="p"/>
              </m:rPr>
              <m:t>,</m:t>
            </m:r>
            <m:r>
              <w:rPr>
                <w:sz w:val="18"/>
              </w:rPr>
              <m:t>s</m:t>
            </m:r>
            <m:r>
              <w:rPr>
                <w:sz w:val="18"/>
              </w:rPr>
              <m:rPr>
                <m:sty m:val="p"/>
              </m:rPr>
              <m:t>,</m:t>
            </m:r>
            <m:r>
              <w:rPr>
                <w:sz w:val="18"/>
              </w:rPr>
              <m:t>t</m:t>
            </m:r>
          </m:sub>
        </m:sSub>
      </m:oMath>
    </w:p>
    <w:p>
      <w:pPr>
        <w:keepNext/>
        <w:spacing w:before="40" w:after="60"/>
      </w:pPr>
      <m:oMath>
        <m:sSub>
          <m:e>
            <m:r>
              <w:rPr>
                <w:sz w:val="18"/>
              </w:rPr>
              <m:t>N</m:t>
            </m:r>
          </m:e>
          <m:sub>
            <m:r>
              <w:rPr>
                <w:sz w:val="18"/>
              </w:rPr>
              <m:t>s</m:t>
            </m:r>
            <m:r>
              <w:rPr>
                <w:sz w:val="18"/>
              </w:rPr>
              <m:rPr>
                <m:sty m:val="p"/>
              </m:rPr>
              <m:t>,</m:t>
            </m:r>
            <m:r>
              <w:rPr>
                <w:sz w:val="18"/>
              </w:rPr>
              <m:t>t</m:t>
            </m:r>
          </m:sub>
        </m:sSub>
        <m:r>
          <w:rPr>
            <w:sz w:val="18"/>
          </w:rPr>
          <m:rPr>
            <m:sty m:val="p"/>
          </m:rPr>
          <m:t>=</m:t>
        </m:r>
        <m:nary>
          <m:naryPr>
            <m:chr m:val="∑"/>
            <m:limLoc m:val="undOvr"/>
            <m:subHide m:val="off"/>
            <m:supHide m:val="on"/>
          </m:naryPr>
          <m:sub>
            <m:r>
              <w:rPr>
                <w:sz w:val="18"/>
              </w:rPr>
              <m:rPr>
                <m:sty m:val="p"/>
              </m:rPr>
              <m:t>ℓ</m:t>
            </m:r>
            <m:r>
              <w:rPr>
                <w:sz w:val="18"/>
              </w:rPr>
              <m:rPr>
                <m:sty m:val="p"/>
              </m:rPr>
              <m:t>∈</m:t>
            </m:r>
            <m:sSub>
              <m:e>
                <m:r>
                  <w:rPr>
                    <w:sz w:val="18"/>
                  </w:rPr>
                  <m:rPr>
                    <m:sty m:val="p"/>
                    <m:scr m:val="script"/>
                  </m:rPr>
                  <m:t>I</m:t>
                </m:r>
              </m:e>
              <m:sub>
                <m:r>
                  <w:rPr>
                    <w:sz w:val="18"/>
                  </w:rPr>
                  <m:t>s</m:t>
                </m:r>
                <m:r>
                  <w:rPr>
                    <w:sz w:val="18"/>
                  </w:rPr>
                  <m:rPr>
                    <m:sty m:val="p"/>
                  </m:rPr>
                  <m:t>,</m:t>
                </m:r>
                <m:r>
                  <w:rPr>
                    <w:sz w:val="18"/>
                  </w:rPr>
                  <m:t>t</m:t>
                </m:r>
              </m:sub>
            </m:sSub>
          </m:sub>
          <m:sup>
            <m:r>
              <w:rPr>
                <w:sz w:val="18"/>
              </w:rPr>
              <m:t>​</m:t>
            </m:r>
          </m:sup>
          <m:e>
            <m:sSub>
              <m:e>
                <m:r>
                  <w:rPr>
                    <w:sz w:val="18"/>
                  </w:rPr>
                  <m:t>q</m:t>
                </m:r>
              </m:e>
              <m:sub>
                <m:r>
                  <w:rPr>
                    <w:sz w:val="18"/>
                  </w:rPr>
                  <m:rPr>
                    <m:sty m:val="p"/>
                  </m:rPr>
                  <m:t>ℓ</m:t>
                </m:r>
                <m:r>
                  <w:rPr>
                    <w:sz w:val="18"/>
                  </w:rPr>
                  <m:rPr>
                    <m:sty m:val="p"/>
                  </m:rPr>
                  <m:t>,</m:t>
                </m:r>
                <m:r>
                  <w:rPr>
                    <w:sz w:val="18"/>
                  </w:rPr>
                  <m:t>s</m:t>
                </m:r>
                <m:r>
                  <w:rPr>
                    <w:sz w:val="18"/>
                  </w:rPr>
                  <m:rPr>
                    <m:sty m:val="p"/>
                  </m:rPr>
                  <m:t>,</m:t>
                </m:r>
                <m:r>
                  <w:rPr>
                    <w:sz w:val="18"/>
                  </w:rPr>
                  <m:t>t</m:t>
                </m:r>
              </m:sub>
            </m:sSub>
          </m:e>
        </m:nary>
      </m:oMath>
    </w:p>
    <w:p>
      <w:pPr>
        <w:keepNext/>
        <w:spacing w:before="40" w:after="60"/>
      </w:pPr>
      <w:r>
        <w:rPr>
          <w:rFonts w:ascii="Lato" w:hAnsi="Lato"/>
          <w:color w:val="315B50"/>
          <w:sz w:val="16"/>
        </w:rPr>
        <w:t>Las unidades de x y f producen t CO2e por período. I contiene componentes incluidos, sustentados y disjuntos de igual base, período y cuenta. Para masa precalculada, f=1 se ingresa explícitamente con su significado. BL y PJ son emisiones netas; LK es fuga atribuible.</w:t>
      </w:r>
    </w:p>
    <w:p>
      <w:pPr>
        <w:keepNext/>
        <w:spacing w:before="40" w:after="60"/>
      </w:pPr>
      <w:r>
        <w:rPr>
          <w:rFonts w:ascii="Lato" w:hAnsi="Lato"/>
          <w:color w:val="315B50"/>
          <w:sz w:val="14"/>
        </w:rPr>
        <w:t>Base: M04.4; M04.5; T-08; implementación aritmética | Libro: Components!G:I; ExAnte!F:H; ExPost!F:H</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3900"/>
        <w:gridCol w:w="2925"/>
      </w:tblGrid>
      <w:tr>
        <w:trPr>
          <w:trHeight w:val="446" w:hRule="atLeast"/>
          <w:tblHeader/>
        </w:trPr>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Resultado / ID de ecuaciones</w:t>
            </w:r>
          </w:p>
          <w:p>
            <w:pPr>
              <w:spacing w:before="40" w:after="40"/>
            </w:pPr>
            <m:oMath>
              <m:r>
                <w:rPr>
                  <w:sz w:val="16"/>
                  <w:color w:val="173E34"/>
                </w:rPr>
                <m:rPr>
                  <m:sty m:val="p"/>
                </m:rPr>
                <m:t>ℓ</m:t>
              </m:r>
              <m:r>
                <w:rPr>
                  <w:sz w:val="16"/>
                  <w:color w:val="173E34"/>
                </w:rPr>
                <m:rPr>
                  <m:sty m:val="p"/>
                </m:rPr>
                <m:t>,</m:t>
              </m:r>
              <m:r>
                <w:rPr>
                  <w:sz w:val="16"/>
                  <w:color w:val="173E34"/>
                </w:rPr>
                <m:t> </m:t>
              </m:r>
              <m:r>
                <w:rPr>
                  <w:sz w:val="16"/>
                  <w:color w:val="173E34"/>
                </w:rPr>
                <m:t>s</m:t>
              </m:r>
              <m:r>
                <w:rPr>
                  <w:sz w:val="16"/>
                  <w:color w:val="173E34"/>
                </w:rPr>
                <m:rPr>
                  <m:sty m:val="p"/>
                </m:rPr>
                <m:t>,</m:t>
              </m:r>
              <m:r>
                <w:rPr>
                  <w:sz w:val="16"/>
                  <w:color w:val="173E34"/>
                </w:rPr>
                <m:t> </m:t>
              </m:r>
              <m:r>
                <w:rPr>
                  <w:sz w:val="16"/>
                  <w:color w:val="173E34"/>
                </w:rPr>
                <m:t>t</m:t>
              </m:r>
            </m:oMath>
          </w:p>
        </w:tc>
        <w:tc>
          <w:tcPr>
            <w:tcW w:type="dxa" w:w="390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Entradas, ámbito, unidades y fuente</w:t>
            </w:r>
          </w:p>
          <w:p>
            <w:pPr>
              <w:spacing w:before="40" w:after="40"/>
            </w:pPr>
            <m:oMath>
              <m:sSub>
                <m:e>
                  <m:r>
                    <w:rPr>
                      <w:sz w:val="16"/>
                      <w:color w:val="173E34"/>
                    </w:rPr>
                    <m:t>x</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f</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oMath>
          </w:p>
        </w:tc>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Resultado, estado y evidencia</w:t>
            </w:r>
          </w:p>
          <w:p>
            <w:pPr>
              <w:spacing w:before="40" w:after="40"/>
            </w:pPr>
            <m:oMath>
              <m:sSub>
                <m:e>
                  <m:r>
                    <w:rPr>
                      <w:sz w:val="16"/>
                      <w:color w:val="173E34"/>
                    </w:rPr>
                    <m:t>q</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t>s</m:t>
                  </m:r>
                  <m:r>
                    <w:rPr>
                      <w:sz w:val="16"/>
                      <w:color w:val="173E34"/>
                    </w:rPr>
                    <m:rPr>
                      <m:sty m:val="p"/>
                    </m:rPr>
                    <m:t>,</m:t>
                  </m:r>
                  <m:r>
                    <w:rPr>
                      <w:sz w:val="16"/>
                      <w:color w:val="173E34"/>
                    </w:rPr>
                    <m:t>t</m:t>
                  </m:r>
                </m:sub>
              </m:sSub>
            </m:oMath>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Presupuesto de incertidumbre y sensibilidad</w:t>
      </w:r>
    </w:p>
    <w:p>
      <w:pPr>
        <w:keepNext/>
        <w:spacing w:before="40" w:after="60"/>
      </w:pPr>
      <w:r>
        <w:rPr>
          <w:rFonts w:ascii="Lato" w:hAnsi="Lato"/>
          <w:color w:val="315B50"/>
          <w:sz w:val="18"/>
        </w:rPr>
        <w:t>FEASIBILITY-T14 / Notación del cálculo</w:t>
      </w:r>
    </w:p>
    <w:p>
      <w:pPr>
        <w:keepNext/>
        <w:spacing w:before="40" w:after="60"/>
      </w:pPr>
      <m:oMath>
        <m:sSubSup>
          <m:e>
            <m:r>
              <w:rPr>
                <w:sz w:val="18"/>
              </w:rPr>
              <m:t>u</m:t>
            </m:r>
          </m:e>
          <m:sub>
            <m:r>
              <w:rPr>
                <w:sz w:val="18"/>
              </w:rPr>
              <m:t>Q</m:t>
            </m:r>
          </m:sub>
          <m:sup>
            <m:r>
              <w:rPr>
                <w:sz w:val="18"/>
              </w:rPr>
              <m:t>2</m:t>
            </m:r>
          </m:sup>
        </m:sSubSup>
        <m:r>
          <w:rPr>
            <w:sz w:val="18"/>
          </w:rPr>
          <m:rPr>
            <m:sty m:val="p"/>
          </m:rPr>
          <m:t>=</m:t>
        </m:r>
        <m:sSubSup>
          <m:e>
            <m:r>
              <w:rPr>
                <w:sz w:val="18"/>
              </w:rPr>
              <m:t>u</m:t>
            </m:r>
          </m:e>
          <m:sub>
            <m:r>
              <w:rPr>
                <w:sz w:val="18"/>
              </w:rPr>
              <m:t>B</m:t>
            </m:r>
          </m:sub>
          <m:sup>
            <m:r>
              <w:rPr>
                <w:sz w:val="18"/>
              </w:rPr>
              <m:t>2</m:t>
            </m:r>
          </m:sup>
        </m:sSubSup>
        <m:r>
          <w:rPr>
            <w:sz w:val="18"/>
          </w:rPr>
          <m:rPr>
            <m:sty m:val="p"/>
          </m:rPr>
          <m:t>+</m:t>
        </m:r>
        <m:sSubSup>
          <m:e>
            <m:r>
              <w:rPr>
                <w:sz w:val="18"/>
              </w:rPr>
              <m:t>u</m:t>
            </m:r>
          </m:e>
          <m:sub>
            <m:r>
              <w:rPr>
                <w:sz w:val="18"/>
              </w:rPr>
              <m:t>P</m:t>
            </m:r>
          </m:sub>
          <m:sup>
            <m:r>
              <w:rPr>
                <w:sz w:val="18"/>
              </w:rPr>
              <m:t>2</m:t>
            </m:r>
          </m:sup>
        </m:sSubSup>
        <m:r>
          <w:rPr>
            <w:sz w:val="18"/>
          </w:rPr>
          <m:rPr>
            <m:sty m:val="p"/>
          </m:rPr>
          <m:t>+</m:t>
        </m:r>
        <m:sSubSup>
          <m:e>
            <m:r>
              <w:rPr>
                <w:sz w:val="18"/>
              </w:rPr>
              <m:t>u</m:t>
            </m:r>
          </m:e>
          <m:sub>
            <m:r>
              <w:rPr>
                <w:sz w:val="18"/>
              </w:rPr>
              <m:t>L</m:t>
            </m:r>
          </m:sub>
          <m:sup>
            <m:r>
              <w:rPr>
                <w:sz w:val="18"/>
              </w:rPr>
              <m:t>2</m:t>
            </m:r>
          </m:sup>
        </m:sSubSup>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P</m:t>
            </m:r>
          </m:e>
        </m:d>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L</m:t>
            </m:r>
          </m:e>
        </m:d>
        <m:r>
          <w:rPr>
            <w:sz w:val="18"/>
          </w:rPr>
          <m:rPr>
            <m:sty m:val="p"/>
          </m:rPr>
          <m:t>+</m:t>
        </m:r>
        <m:r>
          <w:rPr>
            <w:sz w:val="18"/>
          </w:rPr>
          <m:t>2</m:t>
        </m:r>
        <m:r>
          <w:rPr>
            <w:sz w:val="18"/>
          </w:rPr>
          <m:rPr>
            <m:sty m:val="p"/>
          </m:rPr>
          <m:t>Cov</m:t>
        </m:r>
        <m:d>
          <m:dPr>
            <m:begChr m:val="("/>
            <m:endChr m:val=")"/>
            <m:sepChr m:val=""/>
            <m:grow/>
          </m:dPr>
          <m:e>
            <m:r>
              <w:rPr>
                <w:sz w:val="18"/>
              </w:rPr>
              <m:t>P</m:t>
            </m:r>
            <m:r>
              <w:rPr>
                <w:sz w:val="18"/>
              </w:rPr>
              <m:rPr>
                <m:sty m:val="p"/>
              </m:rPr>
              <m:t>,</m:t>
            </m:r>
            <m:r>
              <w:rPr>
                <w:sz w:val="18"/>
              </w:rPr>
              <m:t>L</m:t>
            </m:r>
          </m:e>
        </m:d>
      </m:oMath>
    </w:p>
    <w:p>
      <w:pPr>
        <w:keepNext/>
        <w:spacing w:before="40" w:after="60"/>
      </w:pPr>
      <w:r>
        <w:rPr>
          <w:rFonts w:ascii="Lato" w:hAnsi="Lato"/>
          <w:color w:val="315B50"/>
          <w:sz w:val="16"/>
        </w:rPr>
        <w:t>B, P y L en esta identidad de varianza denotan estimadores de línea base, proyecto y fugas, no reserva B_t. Incertidumbres estándar en t CO2e; varianzas y covarianzas en unidades al cuadrado. Conservar dependencia compartida y matriz válida.</w:t>
      </w:r>
    </w:p>
    <w:p>
      <w:pPr>
        <w:keepNext/>
        <w:spacing w:before="40" w:after="60"/>
      </w:pPr>
      <w:r>
        <w:rPr>
          <w:rFonts w:ascii="Lato" w:hAnsi="Lato"/>
          <w:color w:val="315B50"/>
          <w:sz w:val="14"/>
        </w:rPr>
        <w:t>Base: F-U01; M05.1; M05.2 | Libro: Cálculo calificado de incertidumbre; ExAnte!J:L; ExPost!J:L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705"/>
        <w:gridCol w:w="3022"/>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Componente / sesgo posible</w:t>
            </w:r>
          </w:p>
          <w:p>
            <w:pPr>
              <w:spacing w:before="40" w:after="40"/>
            </w:pPr>
            <m:oMath>
              <m:r>
                <w:rPr>
                  <w:sz w:val="16"/>
                  <w:color w:val="173E34"/>
                </w:rPr>
                <m:t>B</m:t>
              </m:r>
              <m:r>
                <w:rPr>
                  <w:sz w:val="16"/>
                  <w:color w:val="173E34"/>
                </w:rPr>
                <m:rPr>
                  <m:sty m:val="p"/>
                </m:rPr>
                <m:t>,</m:t>
              </m:r>
              <m:r>
                <w:rPr>
                  <w:sz w:val="16"/>
                  <w:color w:val="173E34"/>
                </w:rPr>
                <m:t> </m:t>
              </m:r>
              <m:r>
                <w:rPr>
                  <w:sz w:val="16"/>
                  <w:color w:val="173E34"/>
                </w:rPr>
                <m:t>P</m:t>
              </m:r>
              <m:r>
                <w:rPr>
                  <w:sz w:val="16"/>
                  <w:color w:val="173E34"/>
                </w:rPr>
                <m:rPr>
                  <m:sty m:val="p"/>
                </m:rPr>
                <m:t>,</m:t>
              </m:r>
              <m:r>
                <w:rPr>
                  <w:sz w:val="16"/>
                  <w:color w:val="173E34"/>
                </w:rPr>
                <m:t> </m:t>
              </m:r>
              <m:r>
                <w:rPr>
                  <w:sz w:val="16"/>
                  <w:color w:val="173E34"/>
                </w:rPr>
                <m:t>L</m:t>
              </m:r>
            </m:oMath>
          </w:p>
        </w:tc>
        <w:tc>
          <w:tcPr>
            <w:tcW w:type="dxa" w:w="370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Cuantificación, covarianza o límite</w:t>
            </w:r>
          </w:p>
          <w:p>
            <w:pPr>
              <w:spacing w:before="40" w:after="40"/>
            </w:pPr>
            <m:oMath>
              <m:sSub>
                <m:e>
                  <m:r>
                    <w:rPr>
                      <w:sz w:val="16"/>
                      <w:color w:val="173E34"/>
                    </w:rPr>
                    <m:t>u</m:t>
                  </m:r>
                </m:e>
                <m:sub>
                  <m:r>
                    <w:rPr>
                      <w:sz w:val="16"/>
                      <w:color w:val="173E34"/>
                    </w:rPr>
                    <m:t>B</m:t>
                  </m:r>
                </m:sub>
              </m:sSub>
              <m:r>
                <w:rPr>
                  <w:sz w:val="16"/>
                  <w:color w:val="173E34"/>
                </w:rPr>
                <m:rPr>
                  <m:sty m:val="p"/>
                </m:rPr>
                <m:t>,</m:t>
              </m:r>
              <m:r>
                <w:rPr>
                  <w:sz w:val="16"/>
                  <w:color w:val="173E34"/>
                </w:rPr>
                <m:t> </m:t>
              </m:r>
              <m:sSub>
                <m:e>
                  <m:r>
                    <w:rPr>
                      <w:sz w:val="16"/>
                      <w:color w:val="173E34"/>
                    </w:rPr>
                    <m:t>u</m:t>
                  </m:r>
                </m:e>
                <m:sub>
                  <m:r>
                    <w:rPr>
                      <w:sz w:val="16"/>
                      <w:color w:val="173E34"/>
                    </w:rPr>
                    <m:t>P</m:t>
                  </m:r>
                </m:sub>
              </m:sSub>
              <m:r>
                <w:rPr>
                  <w:sz w:val="16"/>
                  <w:color w:val="173E34"/>
                </w:rPr>
                <m:rPr>
                  <m:sty m:val="p"/>
                </m:rPr>
                <m:t>,</m:t>
              </m:r>
              <m:r>
                <w:rPr>
                  <w:sz w:val="16"/>
                  <w:color w:val="173E34"/>
                </w:rPr>
                <m:t> </m:t>
              </m:r>
              <m:sSub>
                <m:e>
                  <m:r>
                    <w:rPr>
                      <w:sz w:val="16"/>
                      <w:color w:val="173E34"/>
                    </w:rPr>
                    <m:t>u</m:t>
                  </m:r>
                </m:e>
                <m:sub>
                  <m:r>
                    <w:rPr>
                      <w:sz w:val="16"/>
                      <w:color w:val="173E34"/>
                    </w:rPr>
                    <m:t>L</m:t>
                  </m:r>
                </m:sub>
              </m:sSub>
              <m:r>
                <w:rPr>
                  <w:sz w:val="16"/>
                  <w:color w:val="173E34"/>
                </w:rPr>
                <m:rPr>
                  <m:sty m:val="p"/>
                </m:rPr>
                <m:t>,</m:t>
              </m:r>
              <m:r>
                <w:rPr>
                  <w:sz w:val="16"/>
                  <w:color w:val="173E34"/>
                </w:rPr>
                <m:t> </m:t>
              </m:r>
              <m:r>
                <w:rPr>
                  <w:sz w:val="16"/>
                  <w:color w:val="173E34"/>
                </w:rPr>
                <m:rPr>
                  <m:sty m:val="p"/>
                </m:rPr>
                <m:t>Cov</m:t>
              </m:r>
            </m:oMath>
          </w:p>
        </w:tc>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Efecto y evidencia de aceptación</w:t>
            </w:r>
          </w:p>
          <w:p>
            <w:pPr>
              <w:spacing w:before="40" w:after="40"/>
            </w:pPr>
            <m:oMath>
              <m:sSubSup>
                <m:e>
                  <m:r>
                    <w:rPr>
                      <w:sz w:val="16"/>
                      <w:color w:val="173E34"/>
                    </w:rPr>
                    <m:t>u</m:t>
                  </m:r>
                </m:e>
                <m:sub>
                  <m:r>
                    <w:rPr>
                      <w:sz w:val="16"/>
                      <w:color w:val="173E34"/>
                    </w:rPr>
                    <m:t>Q</m:t>
                  </m:r>
                </m:sub>
                <m:sup>
                  <m:r>
                    <w:rPr>
                      <w:sz w:val="16"/>
                      <w:color w:val="173E34"/>
                    </w:rPr>
                    <m:t>2</m:t>
                  </m:r>
                </m:sup>
              </m:sSubSup>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Conciliación y decisiones de parámetros</w:t>
      </w:r>
    </w:p>
    <w:p>
      <w:pPr>
        <w:keepNext/>
        <w:spacing w:after="100" w:line="259" w:lineRule="auto"/>
      </w:pPr>
      <w:r>
        <w:rPr>
          <w:rFonts w:ascii="Arial" w:hAnsi="Arial"/>
          <w:b w:val="0"/>
          <w:i w:val="0"/>
          <w:color w:val="62716E"/>
          <w:sz w:val="18"/>
        </w:rPr>
        <w:t>Adjunte cálculo reproducible completo y perfil FRM-05 AP-01–AP-12. Separe observaciones, calibración, supuestos y proyecciones. Indique base de materialidad y dirección conservadora de la cuenta neta completa. Conserve resultados negativos y pruebas fallidas.</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8" w:name="Section_8"/>
      <w:pPr>
        <w:pStyle w:val="Heading1"/>
        <w:keepNext/>
      </w:pPr>
      <w:r>
        <w:t>08  Fugas, riesgos, pasivos y diseño de reserva</w:t>
      </w:r>
      <w:bookmarkEnd w:id="108"/>
    </w:p>
    <w:p>
      <w:pPr>
        <w:keepNext/>
        <w:spacing w:after="180" w:line="259" w:lineRule="auto"/>
      </w:pPr>
      <w:r>
        <w:rPr>
          <w:rFonts w:ascii="Arial" w:hAnsi="Arial"/>
          <w:b w:val="0"/>
          <w:i w:val="0"/>
          <w:color w:val="62716E"/>
          <w:sz w:val="15"/>
        </w:rPr>
        <w:t>[1] Referencia: S-10; S-11; T-17; T-18; T-19; T-20; F-03; FRM-09; FRM-02/C</w:t>
      </w:r>
    </w:p>
    <w:p>
      <w:pPr>
        <w:pStyle w:val="Heading2"/>
        <w:keepNext/>
      </w:pPr>
      <w:r>
        <w:t>Expediente de fugas y riesgo residual</w:t>
      </w:r>
    </w:p>
    <w:p>
      <w:pPr>
        <w:keepNext/>
        <w:spacing w:before="40" w:after="60"/>
      </w:pPr>
      <w:r>
        <w:rPr>
          <w:rFonts w:ascii="Lato" w:hAnsi="Lato"/>
          <w:color w:val="315B50"/>
          <w:sz w:val="18"/>
        </w:rPr>
        <w:t>FEASIBILITY-T15 / Notación del cálculo</w:t>
      </w:r>
    </w:p>
    <w:p>
      <w:pPr>
        <w:keepNext/>
        <w:spacing w:before="40" w:after="60"/>
      </w:pPr>
      <m:oMath>
        <m:sSub>
          <m:e>
            <m:acc>
              <m:accPr>
                <m:chr m:val="̂"/>
              </m:accPr>
              <m:e>
                <m:r>
                  <w:rPr>
                    <w:sz w:val="18"/>
                  </w:rPr>
                  <m:t>L</m:t>
                </m:r>
              </m:e>
            </m:acc>
          </m:e>
          <m:sub>
            <m:r>
              <w:rPr>
                <w:sz w:val="18"/>
              </w:rPr>
              <m:t>t</m:t>
            </m:r>
          </m:sub>
        </m:sSub>
        <m:r>
          <w:rPr>
            <w:sz w:val="18"/>
          </w:rPr>
          <m:rPr>
            <m:sty m:val="p"/>
          </m:rPr>
          <m:t>=</m:t>
        </m:r>
        <m:sSub>
          <m:e>
            <m:r>
              <w:rPr>
                <w:sz w:val="18"/>
              </w:rPr>
              <m:t>N</m:t>
            </m:r>
          </m:e>
          <m:sub>
            <m:r>
              <w:rPr>
                <w:sz w:val="18"/>
              </w:rPr>
              <m:rPr>
                <m:sty m:val="p"/>
              </m:rPr>
              <m:t>P</m:t>
            </m:r>
            <m:r>
              <w:rPr>
                <w:sz w:val="18"/>
              </w:rPr>
              <m:rPr>
                <m:sty m:val="p"/>
              </m:rPr>
              <m:t>L</m:t>
            </m:r>
            <m:r>
              <w:rPr>
                <w:sz w:val="18"/>
              </w:rPr>
              <m:rPr>
                <m:sty m:val="p"/>
              </m:rPr>
              <m:t>K</m:t>
            </m:r>
            <m:r>
              <w:rPr>
                <w:sz w:val="18"/>
              </w:rPr>
              <m:rPr>
                <m:sty m:val="p"/>
              </m:rPr>
              <m:t>A</m:t>
            </m:r>
            <m:r>
              <w:rPr>
                <w:sz w:val="18"/>
              </w:rPr>
              <m:rPr>
                <m:sty m:val="p"/>
              </m:rPr>
              <m:t>,</m:t>
            </m:r>
            <m:r>
              <w:rPr>
                <w:sz w:val="18"/>
              </w:rPr>
              <m:rPr>
                <m:sty m:val="p"/>
              </m:rPr>
              <m:t>w</m:t>
            </m:r>
            <m:r>
              <w:rPr>
                <w:sz w:val="18"/>
              </w:rPr>
              <m:rPr>
                <m:sty m:val="p"/>
              </m:rPr>
              <m:t>i</m:t>
            </m:r>
            <m:r>
              <w:rPr>
                <w:sz w:val="18"/>
              </w:rPr>
              <m:rPr>
                <m:sty m:val="p"/>
              </m:rPr>
              <m:t>t</m:t>
            </m:r>
            <m:r>
              <w:rPr>
                <w:sz w:val="18"/>
              </w:rPr>
              <m:rPr>
                <m:sty m:val="p"/>
              </m:rPr>
              <m:t>h</m:t>
            </m:r>
            <m:r>
              <w:rPr>
                <w:sz w:val="18"/>
              </w:rPr>
              <m:rPr>
                <m:sty m:val="p"/>
              </m:rPr>
              <m:t>,</m:t>
            </m:r>
            <m:r>
              <w:rPr>
                <w:sz w:val="18"/>
              </w:rPr>
              <m:t>t</m:t>
            </m:r>
          </m:sub>
        </m:sSub>
        <m:r>
          <w:rPr>
            <w:sz w:val="18"/>
          </w:rPr>
          <m:rPr>
            <m:sty m:val="p"/>
          </m:rPr>
          <m:t>−</m:t>
        </m:r>
        <m:sSub>
          <m:e>
            <m:r>
              <w:rPr>
                <w:sz w:val="18"/>
              </w:rPr>
              <m:t>N</m:t>
            </m:r>
          </m:e>
          <m:sub>
            <m:r>
              <w:rPr>
                <w:sz w:val="18"/>
              </w:rPr>
              <m:rPr>
                <m:sty m:val="p"/>
              </m:rPr>
              <m:t>P</m:t>
            </m:r>
            <m:r>
              <w:rPr>
                <w:sz w:val="18"/>
              </w:rPr>
              <m:rPr>
                <m:sty m:val="p"/>
              </m:rPr>
              <m:t>L</m:t>
            </m:r>
            <m:r>
              <w:rPr>
                <w:sz w:val="18"/>
              </w:rPr>
              <m:rPr>
                <m:sty m:val="p"/>
              </m:rPr>
              <m:t>K</m:t>
            </m:r>
            <m:r>
              <w:rPr>
                <w:sz w:val="18"/>
              </w:rPr>
              <m:rPr>
                <m:sty m:val="p"/>
              </m:rPr>
              <m:t>A</m:t>
            </m:r>
            <m:r>
              <w:rPr>
                <w:sz w:val="18"/>
              </w:rPr>
              <m:rPr>
                <m:sty m:val="p"/>
              </m:rPr>
              <m:t>,</m:t>
            </m:r>
            <m:r>
              <w:rPr>
                <w:sz w:val="18"/>
              </w:rPr>
              <m:rPr>
                <m:sty m:val="p"/>
              </m:rPr>
              <m:t>w</m:t>
            </m:r>
            <m:r>
              <w:rPr>
                <w:sz w:val="18"/>
              </w:rPr>
              <m:rPr>
                <m:sty m:val="p"/>
              </m:rPr>
              <m:t>i</m:t>
            </m:r>
            <m:r>
              <w:rPr>
                <w:sz w:val="18"/>
              </w:rPr>
              <m:rPr>
                <m:sty m:val="p"/>
              </m:rPr>
              <m:t>t</m:t>
            </m:r>
            <m:r>
              <w:rPr>
                <w:sz w:val="18"/>
              </w:rPr>
              <m:rPr>
                <m:sty m:val="p"/>
              </m:rPr>
              <m:t>h</m:t>
            </m:r>
            <m:r>
              <w:rPr>
                <w:sz w:val="18"/>
              </w:rPr>
              <m:rPr>
                <m:sty m:val="p"/>
              </m:rPr>
              <m:t>o</m:t>
            </m:r>
            <m:r>
              <w:rPr>
                <w:sz w:val="18"/>
              </w:rPr>
              <m:rPr>
                <m:sty m:val="p"/>
              </m:rPr>
              <m:t>u</m:t>
            </m:r>
            <m:r>
              <w:rPr>
                <w:sz w:val="18"/>
              </w:rPr>
              <m:rPr>
                <m:sty m:val="p"/>
              </m:rPr>
              <m:t>t</m:t>
            </m:r>
            <m:r>
              <w:rPr>
                <w:sz w:val="18"/>
              </w:rPr>
              <m:rPr>
                <m:sty m:val="p"/>
              </m:rPr>
              <m:t>,</m:t>
            </m:r>
            <m:r>
              <w:rPr>
                <w:sz w:val="18"/>
              </w:rPr>
              <m:t>t</m:t>
            </m:r>
          </m:sub>
        </m:sSub>
      </m:oMath>
    </w:p>
    <w:p>
      <w:pPr>
        <w:keepNext/>
        <w:spacing w:before="40" w:after="60"/>
      </w:pPr>
      <w:r>
        <w:rPr>
          <w:rFonts w:ascii="Lato" w:hAnsi="Lato"/>
          <w:color w:val="315B50"/>
          <w:sz w:val="16"/>
        </w:rPr>
        <w:t>Las cuentas comparten geografía, actividades, gases e intervalos. Toda razón fuente conserva numerador/denominador explícitos, no porcentaje supuesto. Un diagnóstico con signo no autoriza automáticamente beneficio extra; rige el perfil de atribución aplicable.</w:t>
      </w:r>
    </w:p>
    <w:p>
      <w:pPr>
        <w:keepNext/>
        <w:spacing w:before="40" w:after="60"/>
      </w:pPr>
      <w:r>
        <w:rPr>
          <w:rFonts w:ascii="Lato" w:hAnsi="Lato"/>
          <w:color w:val="315B50"/>
          <w:sz w:val="14"/>
        </w:rPr>
        <w:t>Base: F-L01; T-08 | Libro: Components!D=LK; ExAnte!H; ExPost!H</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412"/>
        <w:gridCol w:w="3315"/>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Fuente / exposición / horizonte</w:t>
            </w:r>
          </w:p>
          <w:p>
            <w:pPr>
              <w:spacing w:before="40" w:after="40"/>
            </w:pPr>
            <m:oMath>
              <m:r>
                <w:rPr>
                  <w:sz w:val="16"/>
                  <w:color w:val="173E34"/>
                </w:rPr>
                <m:t>t</m:t>
              </m:r>
              <m:r>
                <w:rPr>
                  <w:sz w:val="16"/>
                  <w:color w:val="173E34"/>
                </w:rPr>
                <m:rPr>
                  <m:sty m:val="p"/>
                </m:rPr>
                <m:t>,</m:t>
              </m:r>
              <m:r>
                <w:rPr>
                  <w:sz w:val="16"/>
                  <w:color w:val="173E34"/>
                </w:rPr>
                <m:t> </m:t>
              </m:r>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Evidencia, modelo o estrés</w:t>
            </w:r>
          </w:p>
          <w:p>
            <w:pPr>
              <w:spacing w:before="40" w:after="40"/>
            </w:pPr>
            <m:oMath>
              <m:sSub>
                <m:e>
                  <m:r>
                    <w:rPr>
                      <w:sz w:val="16"/>
                      <w:color w:val="173E34"/>
                    </w:rPr>
                    <m:t>N</m:t>
                  </m:r>
                </m:e>
                <m:sub>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r>
                    <w:rPr>
                      <w:sz w:val="16"/>
                      <w:color w:val="173E34"/>
                    </w:rPr>
                    <m:rPr>
                      <m:sty m:val="p"/>
                    </m:rPr>
                    <m:t>,</m:t>
                  </m:r>
                  <m:r>
                    <w:rPr>
                      <w:sz w:val="16"/>
                      <w:color w:val="173E34"/>
                    </w:rPr>
                    <m:rPr>
                      <m:sty m:val="p"/>
                    </m:rPr>
                    <m:t>w</m:t>
                  </m:r>
                  <m:r>
                    <w:rPr>
                      <w:sz w:val="16"/>
                      <w:color w:val="173E34"/>
                    </w:rPr>
                    <m:rPr>
                      <m:sty m:val="p"/>
                    </m:rPr>
                    <m:t>i</m:t>
                  </m:r>
                  <m:r>
                    <w:rPr>
                      <w:sz w:val="16"/>
                      <w:color w:val="173E34"/>
                    </w:rPr>
                    <m:rPr>
                      <m:sty m:val="p"/>
                    </m:rPr>
                    <m:t>t</m:t>
                  </m:r>
                  <m:r>
                    <w:rPr>
                      <w:sz w:val="16"/>
                      <w:color w:val="173E34"/>
                    </w:rPr>
                    <m:rPr>
                      <m:sty m:val="p"/>
                    </m:rPr>
                    <m:t>h</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r>
                    <w:rPr>
                      <w:sz w:val="16"/>
                      <w:color w:val="173E34"/>
                    </w:rPr>
                    <m:rPr>
                      <m:sty m:val="p"/>
                    </m:rPr>
                    <m:t>,</m:t>
                  </m:r>
                  <m:r>
                    <w:rPr>
                      <w:sz w:val="16"/>
                      <w:color w:val="173E34"/>
                    </w:rPr>
                    <m:rPr>
                      <m:sty m:val="p"/>
                    </m:rPr>
                    <m:t>w</m:t>
                  </m:r>
                  <m:r>
                    <w:rPr>
                      <w:sz w:val="16"/>
                      <w:color w:val="173E34"/>
                    </w:rPr>
                    <m:rPr>
                      <m:sty m:val="p"/>
                    </m:rPr>
                    <m:t>i</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u</m:t>
                  </m:r>
                  <m:r>
                    <w:rPr>
                      <w:sz w:val="16"/>
                      <w:color w:val="173E34"/>
                    </w:rPr>
                    <m:rPr>
                      <m:sty m:val="p"/>
                    </m:rPr>
                    <m:t>t</m:t>
                  </m:r>
                  <m:r>
                    <w:rPr>
                      <w:sz w:val="16"/>
                      <w:color w:val="173E34"/>
                    </w:rPr>
                    <m:rPr>
                      <m:sty m:val="p"/>
                    </m:rPr>
                    <m:t>,</m:t>
                  </m:r>
                  <m:r>
                    <w:rPr>
                      <w:sz w:val="16"/>
                      <w:color w:val="173E34"/>
                    </w:rPr>
                    <m:t>t</m:t>
                  </m:r>
                </m:sub>
              </m:sSub>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Control, responsable y pérdida residual</w:t>
            </w:r>
          </w:p>
          <w:p>
            <w:pPr>
              <w:spacing w:before="40" w:after="40"/>
            </w:pPr>
            <m:oMath>
              <m:sSub>
                <m:e>
                  <m:acc>
                    <m:accPr>
                      <m:chr m:val="̂"/>
                    </m:accPr>
                    <m:e>
                      <m:r>
                        <w:rPr>
                          <w:sz w:val="16"/>
                          <w:color w:val="173E34"/>
                        </w:rPr>
                        <m:t>L</m:t>
                      </m:r>
                    </m:e>
                  </m:acc>
                </m:e>
                <m:sub>
                  <m:r>
                    <w:rPr>
                      <w:sz w:val="16"/>
                      <w:color w:val="173E34"/>
                    </w:rPr>
                    <m:t>t</m:t>
                  </m:r>
                </m:sub>
              </m:sSub>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Perfil de pasivos y reserva</w:t>
      </w:r>
    </w:p>
    <w:p>
      <w:pPr>
        <w:keepNext/>
        <w:spacing w:before="40" w:after="60"/>
      </w:pPr>
      <w:r>
        <w:rPr>
          <w:rFonts w:ascii="Lato" w:hAnsi="Lato"/>
          <w:color w:val="315B50"/>
          <w:sz w:val="18"/>
        </w:rPr>
        <w:t>FEASIBILITY-T16 / Notación del cálculo</w:t>
      </w:r>
    </w:p>
    <w:p>
      <w:pPr>
        <w:keepNext/>
        <w:spacing w:before="40" w:after="60"/>
      </w:pPr>
      <m:oMath>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r>
          <w:rPr>
            <w:sz w:val="18"/>
          </w:rPr>
          <m:rPr>
            <m:sty m:val="p"/>
          </m:rPr>
          <m:t>=</m:t>
        </m:r>
        <m:r>
          <w:rPr>
            <w:sz w:val="18"/>
          </w:rPr>
          <m:rPr>
            <m:sty m:val="p"/>
          </m:rPr>
          <m:t>max</m:t>
        </m:r>
        <m:d>
          <m:dPr>
            <m:begChr m:val="("/>
            <m:endChr m:val=")"/>
            <m:sepChr m:val=""/>
            <m:grow/>
          </m:dPr>
          <m:e>
            <m:r>
              <w:rPr>
                <w:sz w:val="18"/>
              </w:rPr>
              <m:t>0</m:t>
            </m:r>
            <m:r>
              <w:rPr>
                <w:sz w:val="18"/>
              </w:rPr>
              <m:rPr>
                <m:sty m:val="p"/>
              </m:rPr>
              <m:t>,</m:t>
            </m:r>
            <m:sSubSup>
              <m:e>
                <m:r>
                  <w:rPr>
                    <w:sz w:val="18"/>
                  </w:rPr>
                  <m:t>Q</m:t>
                </m:r>
              </m:e>
              <m:sub>
                <m:r>
                  <w:rPr>
                    <w:sz w:val="18"/>
                  </w:rPr>
                  <m:t>t</m:t>
                </m:r>
              </m:sub>
              <m:sup>
                <m:r>
                  <w:rPr>
                    <w:sz w:val="18"/>
                  </w:rPr>
                  <m:rPr>
                    <m:sty m:val="p"/>
                  </m:rPr>
                  <m:t>l</m:t>
                </m:r>
                <m:r>
                  <w:rPr>
                    <w:sz w:val="18"/>
                  </w:rPr>
                  <m:rPr>
                    <m:sty m:val="p"/>
                  </m:rPr>
                  <m:t>o</m:t>
                </m:r>
                <m:r>
                  <w:rPr>
                    <w:sz w:val="18"/>
                  </w:rPr>
                  <m:rPr>
                    <m:sty m:val="p"/>
                  </m:rPr>
                  <m:t>w</m:t>
                </m:r>
              </m:sup>
            </m:sSubSup>
          </m:e>
        </m:d>
        <m:r>
          <w:rPr>
            <w:sz w:val="18"/>
          </w:rPr>
          <m:rPr>
            <m:sty m:val="p"/>
          </m:rPr>
          <m:t>,</m:t>
        </m:r>
        <m:r>
          <w:rPr>
            <w:sz w:val="18"/>
          </w:rPr>
          <m:t> </m:t>
        </m:r>
        <m:sSubSup>
          <m:e>
            <m:r>
              <w:rPr>
                <w:sz w:val="18"/>
              </w:rPr>
              <m:t>D</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rPr>
            <m:sty m:val="p"/>
          </m:rPr>
          <m:t>min</m:t>
        </m:r>
        <m:d>
          <m:dPr>
            <m:begChr m:val="("/>
            <m:endChr m:val=")"/>
            <m:sepChr m:val=""/>
            <m:grow/>
          </m:dPr>
          <m:e>
            <m:sSub>
              <m:e>
                <m:r>
                  <w:rPr>
                    <w:sz w:val="18"/>
                  </w:rPr>
                  <m:t>D</m:t>
                </m:r>
              </m:e>
              <m:sub>
                <m:r>
                  <w:rPr>
                    <w:sz w:val="18"/>
                  </w:rPr>
                  <m:t>t</m:t>
                </m:r>
              </m:sub>
            </m:sSub>
            <m:r>
              <w:rPr>
                <w:sz w:val="18"/>
              </w:rPr>
              <m:rPr>
                <m:sty m:val="p"/>
              </m:rPr>
              <m:t>,</m:t>
            </m:r>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e>
        </m:d>
      </m:oMath>
    </w:p>
    <w:p>
      <w:pPr>
        <w:keepNext/>
        <w:spacing w:before="40" w:after="60"/>
      </w:pPr>
      <m:oMath>
        <m:sSubSup>
          <m:e>
            <m:r>
              <w:rPr>
                <w:sz w:val="18"/>
              </w:rPr>
              <m:t>Q</m:t>
            </m:r>
          </m:e>
          <m:sub>
            <m:r>
              <w:rPr>
                <w:sz w:val="18"/>
              </w:rPr>
              <m:t>t</m:t>
            </m:r>
          </m:sub>
          <m:sup>
            <m:r>
              <w:rPr>
                <w:sz w:val="18"/>
              </w:rPr>
              <m:rPr>
                <m:sty m:val="p"/>
              </m:rPr>
              <m:t>b</m:t>
            </m:r>
            <m:r>
              <w:rPr>
                <w:sz w:val="18"/>
              </w:rPr>
              <m:rPr>
                <m:sty m:val="p"/>
              </m:rPr>
              <m:t>a</m:t>
            </m:r>
            <m:r>
              <w:rPr>
                <w:sz w:val="18"/>
              </w:rPr>
              <m:rPr>
                <m:sty m:val="p"/>
              </m:rPr>
              <m:t>s</m:t>
            </m:r>
            <m:r>
              <w:rPr>
                <w:sz w:val="18"/>
              </w:rPr>
              <m:rPr>
                <m:sty m:val="p"/>
              </m:rPr>
              <m:t>e</m:t>
            </m:r>
            <m:r>
              <w:rPr>
                <w:sz w:val="18"/>
              </w:rPr>
              <m:rPr>
                <m:sty m:val="p"/>
              </m:rPr>
              <m:t>,</m:t>
            </m:r>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r>
          <w:rPr>
            <w:sz w:val="18"/>
          </w:rPr>
          <m:rPr>
            <m:sty m:val="p"/>
          </m:rPr>
          <m:t>−</m:t>
        </m:r>
        <m:sSubSup>
          <m:e>
            <m:r>
              <w:rPr>
                <w:sz w:val="18"/>
              </w:rPr>
              <m:t>D</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t> </m:t>
        </m:r>
        <m:sSubSup>
          <m:e>
            <m:r>
              <w:rPr>
                <w:sz w:val="18"/>
              </w:rPr>
              <m:t>J</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Sup>
          <m:e>
            <m:r>
              <w:rPr>
                <w:sz w:val="18"/>
              </w:rPr>
              <m:t>Q</m:t>
            </m:r>
          </m:e>
          <m:sub>
            <m:r>
              <w:rPr>
                <w:sz w:val="18"/>
              </w:rPr>
              <m:t>t</m:t>
            </m:r>
          </m:sub>
          <m:sup>
            <m:r>
              <w:rPr>
                <w:sz w:val="18"/>
              </w:rPr>
              <m:rPr>
                <m:sty m:val="p"/>
              </m:rPr>
              <m:t>b</m:t>
            </m:r>
            <m:r>
              <w:rPr>
                <w:sz w:val="18"/>
              </w:rPr>
              <m:rPr>
                <m:sty m:val="p"/>
              </m:rPr>
              <m:t>a</m:t>
            </m:r>
            <m:r>
              <w:rPr>
                <w:sz w:val="18"/>
              </w:rPr>
              <m:rPr>
                <m:sty m:val="p"/>
              </m:rPr>
              <m:t>s</m:t>
            </m:r>
            <m:r>
              <w:rPr>
                <w:sz w:val="18"/>
              </w:rPr>
              <m:rPr>
                <m:sty m:val="p"/>
              </m:rPr>
              <m:t>e</m:t>
            </m:r>
            <m:r>
              <w:rPr>
                <w:sz w:val="18"/>
              </w:rPr>
              <m:rPr>
                <m:sty m:val="p"/>
              </m:rPr>
              <m:t>,</m:t>
            </m:r>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
          <m:e>
            <m:r>
              <w:rPr>
                <w:sz w:val="18"/>
              </w:rPr>
              <m:t>B</m:t>
            </m:r>
          </m:e>
          <m:sub>
            <m:r>
              <w:rPr>
                <w:sz w:val="18"/>
              </w:rPr>
              <m:t>t</m:t>
            </m:r>
          </m:sub>
        </m:sSub>
      </m:oMath>
    </w:p>
    <w:p>
      <w:pPr>
        <w:keepNext/>
        <w:spacing w:before="40" w:after="60"/>
      </w:pPr>
      <w:r>
        <w:rPr>
          <w:rFonts w:ascii="Lato" w:hAnsi="Lato"/>
          <w:color w:val="315B50"/>
          <w:sz w:val="16"/>
        </w:rPr>
        <w:t>cand distingue propuesta del libro de registro ejecutado. D_set es liquidación real sustentada; D_rem = D - D_set. No reducir obligación registrada por D_cand. Reserva requerida superior a la base candidata es déficit, no protección financiada. No se presume redondeo.</w:t>
      </w:r>
    </w:p>
    <w:p>
      <w:pPr>
        <w:keepNext/>
        <w:spacing w:before="40" w:after="60"/>
      </w:pPr>
      <w:r>
        <w:rPr>
          <w:rFonts w:ascii="Lato" w:hAnsi="Lato"/>
          <w:color w:val="315B50"/>
          <w:sz w:val="14"/>
        </w:rPr>
        <w:t>Base: M05.4; M05.5; F-R03 | Libro: Settlement!B:L; ExAnte!M:O (solo pronóstico)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412"/>
        <w:gridCol w:w="3217"/>
        <w:gridCol w:w="3120"/>
      </w:tblGrid>
      <w:tr>
        <w:trPr>
          <w:trHeight w:val="446" w:hRule="atLeast"/>
          <w:tblHeader/>
        </w:trPr>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Concepto</w:t>
            </w:r>
          </w:p>
          <w:p>
            <w:pPr>
              <w:spacing w:before="40" w:after="40"/>
            </w:pPr>
            <m:oMath>
              <m:sSub>
                <m:e>
                  <m:r>
                    <w:rPr>
                      <w:sz w:val="16"/>
                      <w:color w:val="173E34"/>
                    </w:rPr>
                    <m:t>D</m:t>
                  </m:r>
                </m:e>
                <m:sub>
                  <m:r>
                    <w:rPr>
                      <w:sz w:val="16"/>
                      <w:color w:val="173E34"/>
                    </w:rPr>
                    <m:t>t</m:t>
                  </m:r>
                </m:sub>
              </m:sSub>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Regla y evidencia</w:t>
            </w:r>
          </w:p>
          <w:p>
            <w:pPr>
              <w:spacing w:before="40" w:after="40"/>
            </w:pPr>
            <m:oMath>
              <m:sSubSup>
                <m:e>
                  <m:r>
                    <w:rPr>
                      <w:sz w:val="16"/>
                      <w:color w:val="173E34"/>
                    </w:rPr>
                    <m:t>D</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Sup>
                <m:e>
                  <m:r>
                    <w:rPr>
                      <w:sz w:val="16"/>
                      <w:color w:val="173E34"/>
                    </w:rPr>
                    <m:t>D</m:t>
                  </m:r>
                </m:e>
                <m:sub>
                  <m:r>
                    <w:rPr>
                      <w:sz w:val="16"/>
                      <w:color w:val="173E34"/>
                    </w:rPr>
                    <m:t>t</m:t>
                  </m:r>
                </m:sub>
                <m:sup>
                  <m:r>
                    <w:rPr>
                      <w:sz w:val="16"/>
                      <w:color w:val="173E34"/>
                    </w:rPr>
                    <m:rPr>
                      <m:sty m:val="p"/>
                    </m:rPr>
                    <m:t>s</m:t>
                  </m:r>
                  <m:r>
                    <w:rPr>
                      <w:sz w:val="16"/>
                      <w:color w:val="173E34"/>
                    </w:rPr>
                    <m:rPr>
                      <m:sty m:val="p"/>
                    </m:rPr>
                    <m:t>e</m:t>
                  </m:r>
                  <m:r>
                    <w:rPr>
                      <w:sz w:val="16"/>
                      <w:color w:val="173E34"/>
                    </w:rPr>
                    <m:rPr>
                      <m:sty m:val="p"/>
                    </m:rPr>
                    <m:t>t</m:t>
                  </m:r>
                </m:sup>
              </m:sSubSup>
            </m:oMath>
          </w:p>
        </w:tc>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Autorización / decisión pendiente</w:t>
            </w:r>
          </w:p>
          <w:p>
            <w:pPr>
              <w:spacing w:before="40" w:after="40"/>
            </w:pPr>
            <m:oMath>
              <m:sSubSup>
                <m:e>
                  <m:r>
                    <w:rPr>
                      <w:sz w:val="16"/>
                      <w:color w:val="173E34"/>
                    </w:rPr>
                    <m:t>Q</m:t>
                  </m:r>
                </m:e>
                <m:sub>
                  <m:r>
                    <w:rPr>
                      <w:sz w:val="16"/>
                      <w:color w:val="173E34"/>
                    </w:rPr>
                    <m:t>t</m:t>
                  </m:r>
                </m:sub>
                <m:sup>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e</m:t>
                  </m:r>
                  <m:r>
                    <w:rPr>
                      <w:sz w:val="16"/>
                      <w:color w:val="173E34"/>
                    </w:rPr>
                    <m:rPr>
                      <m:sty m:val="p"/>
                    </m:rPr>
                    <m:t>,</m:t>
                  </m:r>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
                <m:e>
                  <m:r>
                    <w:rPr>
                      <w:sz w:val="16"/>
                      <w:color w:val="173E34"/>
                    </w:rPr>
                    <m:t>B</m:t>
                  </m:r>
                </m:e>
                <m:sub>
                  <m:r>
                    <w:rPr>
                      <w:sz w:val="16"/>
                      <w:color w:val="173E34"/>
                    </w:rPr>
                    <m:t>t</m:t>
                  </m:r>
                </m:sub>
              </m:sSub>
              <m:r>
                <w:rPr>
                  <w:sz w:val="16"/>
                  <w:color w:val="173E34"/>
                </w:rPr>
                <m:rPr>
                  <m:sty m:val="p"/>
                </m:rPr>
                <m:t>,</m:t>
              </m:r>
              <m:r>
                <w:rPr>
                  <w:sz w:val="16"/>
                  <w:color w:val="173E34"/>
                </w:rPr>
                <m:t> </m:t>
              </m:r>
              <m:sSubSup>
                <m:e>
                  <m:r>
                    <w:rPr>
                      <w:sz w:val="16"/>
                      <w:color w:val="173E34"/>
                    </w:rPr>
                    <m:t>J</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oMath>
          </w:p>
        </w:tc>
      </w:tr>
      <w:tr>
        <w:trPr>
          <w:trHeight w:val="446" w:hRule="atLeast"/>
        </w:trPr>
        <w:tc>
          <w:tcPr>
            <w:tcW w:type="dxa" w:w="341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Pasivos compatibles previos</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412"/>
            <w:vAlign w:val="center"/>
            <w:tcMar>
              <w:top w:w="70" w:type="dxa"/>
              <w:start w:w="85" w:type="dxa"/>
              <w:bottom w:w="70" w:type="dxa"/>
              <w:end w:w="85" w:type="dxa"/>
            </w:tcMar>
          </w:tcPr>
          <w:p>
            <w:pPr>
              <w:spacing w:after="0" w:line="250" w:lineRule="auto"/>
            </w:pPr>
            <w:r>
              <w:rPr>
                <w:rFonts w:ascii="Arial" w:hAnsi="Arial"/>
                <w:b w:val="0"/>
                <w:i w:val="0"/>
                <w:color w:val="243A36"/>
                <w:sz w:val="16"/>
              </w:rPr>
              <w:t>Base pospasivo / F-R03</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41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Tratamiento negativo / F-R05a/b</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412"/>
            <w:vAlign w:val="center"/>
            <w:tcMar>
              <w:top w:w="70" w:type="dxa"/>
              <w:start w:w="85" w:type="dxa"/>
              <w:bottom w:w="70" w:type="dxa"/>
              <w:end w:w="85" w:type="dxa"/>
            </w:tcMar>
          </w:tcPr>
          <w:p>
            <w:pPr>
              <w:spacing w:after="0" w:line="250" w:lineRule="auto"/>
            </w:pPr>
            <w:r>
              <w:rPr>
                <w:rFonts w:ascii="Arial" w:hAnsi="Arial"/>
                <w:b w:val="0"/>
                <w:i w:val="0"/>
                <w:color w:val="243A36"/>
                <w:sz w:val="16"/>
              </w:rPr>
              <w:t>Protección, reparación y reposición</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Distinga conservadurismo por incertidumbre de reversión física, y protección requerida de reserva nueva financiada. La liquidación candidata no equivale a ejecución. Registre decisión AP-09; aquí no se fija porcentaje de reserva.</w:t>
      </w:r>
    </w:p>
    <w:p>
      <w:r>
        <w:br w:type="page"/>
      </w:r>
    </w:p>
    <w:p>
      <w:bookmarkStart w:id="109" w:name="Section_9"/>
      <w:pPr>
        <w:pStyle w:val="Heading1"/>
        <w:keepNext/>
      </w:pPr>
      <w:r>
        <w:t>09  Salvaguardas, consentimiento, beneficios y afirmaciones superpuestas</w:t>
      </w:r>
      <w:bookmarkEnd w:id="109"/>
    </w:p>
    <w:p>
      <w:pPr>
        <w:keepNext/>
        <w:spacing w:after="180" w:line="259" w:lineRule="auto"/>
      </w:pPr>
      <w:r>
        <w:rPr>
          <w:rFonts w:ascii="Arial" w:hAnsi="Arial"/>
          <w:b w:val="0"/>
          <w:i w:val="0"/>
          <w:color w:val="62716E"/>
          <w:sz w:val="15"/>
        </w:rPr>
        <w:t>[1] Referencia: S-12; S-13; S-17; AO-03; AO-04; AO-09; AO-10; AO-12; FRM-04/AO</w:t>
      </w:r>
    </w:p>
    <w:p>
      <w:pPr>
        <w:pStyle w:val="Heading2"/>
        <w:keepNext/>
      </w:pPr>
      <w:r>
        <w:t>Evidencia de participación, consentimiento y salvaguardas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3900"/>
        <w:gridCol w:w="2925"/>
      </w:tblGrid>
      <w:tr>
        <w:trPr>
          <w:trHeight w:val="446"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Parte afectada / asunto</w:t>
            </w:r>
          </w:p>
        </w:tc>
        <w:tc>
          <w:tcPr>
            <w:tcW w:type="dxa" w:w="390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Evidencia, método y prueba independiente</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Acuerdo, queja y acción</w:t>
            </w:r>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Tratamiento de traslapes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412"/>
        <w:gridCol w:w="3120"/>
        <w:gridCol w:w="3217"/>
      </w:tblGrid>
      <w:tr>
        <w:trPr>
          <w:trHeight w:val="446" w:hRule="atLeast"/>
          <w:tblHeader/>
        </w:trPr>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Intersección de área, período y resultado</w:t>
            </w:r>
          </w:p>
        </w:tc>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Facultades e intervenciones previas</w:t>
            </w:r>
          </w:p>
        </w:tc>
        <w:tc>
          <w:tcPr>
            <w:tcW w:type="dxa" w:w="321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Resolución / retención delimitada / evidencia</w:t>
            </w:r>
          </w:p>
        </w:tc>
      </w:tr>
      <w:tr>
        <w:trPr>
          <w:trHeight w:val="446" w:hRule="atLeast"/>
        </w:trPr>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Beneficios, impactos adversos y compromisos de monitoreo</w:t>
      </w:r>
    </w:p>
    <w:p>
      <w:pPr>
        <w:keepNext/>
        <w:spacing w:after="100" w:line="259" w:lineRule="auto"/>
      </w:pPr>
      <w:r>
        <w:rPr>
          <w:rFonts w:ascii="Arial" w:hAnsi="Arial"/>
          <w:b w:val="0"/>
          <w:i w:val="0"/>
          <w:color w:val="62716E"/>
          <w:sz w:val="18"/>
        </w:rPr>
        <w:t>Documente reparto acordado, prevención de impactos adversos, canal de quejas y acceso a evaluación independiente. Distinga resultados observados de beneficios previstos; no equipare atributos distintos.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10" w:name="Section_10"/>
      <w:pPr>
        <w:pStyle w:val="Heading1"/>
        <w:keepNext/>
      </w:pPr>
      <w:r>
        <w:t>10  Implementación, monitoreo y factibilidad operativa</w:t>
      </w:r>
      <w:bookmarkEnd w:id="110"/>
    </w:p>
    <w:p>
      <w:pPr>
        <w:keepNext/>
        <w:spacing w:after="180" w:line="259" w:lineRule="auto"/>
      </w:pPr>
      <w:r>
        <w:rPr>
          <w:rFonts w:ascii="Arial" w:hAnsi="Arial"/>
          <w:b w:val="0"/>
          <w:i w:val="0"/>
          <w:color w:val="62716E"/>
          <w:sz w:val="15"/>
        </w:rPr>
        <w:t>[1] Referencia: S-25; P-02; P-03; P-04; CYC-04; CYC-06</w:t>
      </w:r>
    </w:p>
    <w:p>
      <w:pPr>
        <w:pStyle w:val="Heading2"/>
        <w:keepNext/>
      </w:pPr>
      <w:r>
        <w:t>Implementación y recursos</w:t>
      </w:r>
    </w:p>
    <w:p>
      <w:pPr>
        <w:keepNext/>
        <w:spacing w:before="40" w:after="60"/>
      </w:pPr>
      <w:r>
        <w:rPr>
          <w:rFonts w:ascii="Lato" w:hAnsi="Lato"/>
          <w:color w:val="315B50"/>
          <w:sz w:val="18"/>
        </w:rPr>
        <w:t>FEASIBILITY-T19 / Notación del cálculo</w:t>
      </w:r>
    </w:p>
    <w:p>
      <w:pPr>
        <w:keepNext/>
        <w:spacing w:before="40" w:after="60"/>
      </w:pPr>
      <m:oMath>
        <m:sSub>
          <m:e>
            <m:r>
              <w:rPr>
                <w:sz w:val="18"/>
              </w:rPr>
              <m:t>c</m:t>
            </m:r>
          </m:e>
          <m:sub>
            <m:r>
              <w:rPr>
                <w:sz w:val="18"/>
              </w:rPr>
              <m:t>j</m:t>
            </m:r>
            <m:r>
              <w:rPr>
                <w:sz w:val="18"/>
              </w:rPr>
              <m:rPr>
                <m:sty m:val="p"/>
              </m:rPr>
              <m:t>,</m:t>
            </m:r>
            <m:r>
              <w:rPr>
                <w:sz w:val="18"/>
              </w:rPr>
              <m:t>t</m:t>
            </m:r>
          </m:sub>
        </m:sSub>
        <m:r>
          <w:rPr>
            <w:sz w:val="18"/>
          </w:rPr>
          <m:t> </m:t>
        </m:r>
        <m:d>
          <m:dPr>
            <m:begChr m:val="["/>
            <m:endChr m:val="]"/>
            <m:sepChr m:val=""/>
            <m:grow/>
          </m:dPr>
          <m:e>
            <m:sSub>
              <m:e>
                <m:r>
                  <w:rPr>
                    <w:sz w:val="18"/>
                  </w:rPr>
                  <m:t>u</m:t>
                </m:r>
              </m:e>
              <m:sub>
                <m:r>
                  <w:rPr>
                    <w:sz w:val="18"/>
                  </w:rPr>
                  <m:t>c</m:t>
                </m:r>
              </m:sub>
            </m:sSub>
          </m:e>
        </m:d>
      </m:oMath>
    </w:p>
    <w:p>
      <w:pPr>
        <w:keepNext/>
        <w:spacing w:before="40" w:after="60"/>
      </w:pPr>
      <w:r>
        <w:rPr>
          <w:rFonts w:ascii="Lato" w:hAnsi="Lato"/>
          <w:color w:val="315B50"/>
          <w:sz w:val="16"/>
        </w:rPr>
        <w:t>c es costo o recurso registrado en moneda y fecha de precios explícitas. Si se calcula, ingresar ecuación presupuestal real y fuente. La etiqueta no aporta precio, tasa de descuento, fórmula financiera ni factor de emisión.</w:t>
      </w:r>
    </w:p>
    <w:p>
      <w:pPr>
        <w:keepNext/>
        <w:spacing w:before="40" w:after="60"/>
      </w:pPr>
      <w:r>
        <w:rPr>
          <w:rFonts w:ascii="Lato" w:hAnsi="Lato"/>
          <w:color w:val="315B50"/>
          <w:sz w:val="14"/>
        </w:rPr>
        <w:t>Base: CYC-03; CYC-04; CYC-05; etiqueta de dato | Libro: Anexo presupuestal; Evidence!G</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510"/>
        <w:gridCol w:w="3120"/>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Actividad / hito</w:t>
            </w:r>
          </w:p>
          <w:p>
            <w:pPr>
              <w:spacing w:before="40" w:after="40"/>
            </w:pPr>
            <m:oMath>
              <m:r>
                <w:rPr>
                  <w:sz w:val="16"/>
                  <w:color w:val="173E34"/>
                </w:rPr>
                <m:t>j</m:t>
              </m:r>
              <m:r>
                <w:rPr>
                  <w:sz w:val="16"/>
                  <w:color w:val="173E34"/>
                </w:rPr>
                <m:rPr>
                  <m:sty m:val="p"/>
                </m:rPr>
                <m:t>,</m:t>
              </m:r>
              <m:r>
                <w:rPr>
                  <w:sz w:val="16"/>
                  <w:color w:val="173E34"/>
                </w:rPr>
                <m:t> </m:t>
              </m:r>
              <m:r>
                <w:rPr>
                  <w:sz w:val="16"/>
                  <w:color w:val="173E34"/>
                </w:rPr>
                <m:t>t</m:t>
              </m:r>
            </m:oMath>
          </w:p>
        </w:tc>
        <w:tc>
          <w:tcPr>
            <w:tcW w:type="dxa" w:w="351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Ejecutor / compromiso de recursos</w:t>
            </w:r>
          </w:p>
          <w:p>
            <w:pPr>
              <w:spacing w:before="40" w:after="40"/>
            </w:pPr>
            <m:oMath>
              <m:sSub>
                <m:e>
                  <m:r>
                    <w:rPr>
                      <w:sz w:val="16"/>
                      <w:color w:val="173E34"/>
                    </w:rPr>
                    <m:t>c</m:t>
                  </m:r>
                </m:e>
                <m:sub>
                  <m:r>
                    <w:rPr>
                      <w:sz w:val="16"/>
                      <w:color w:val="173E34"/>
                    </w:rPr>
                    <m:t>j</m:t>
                  </m:r>
                  <m:r>
                    <w:rPr>
                      <w:sz w:val="16"/>
                      <w:color w:val="173E34"/>
                    </w:rPr>
                    <m:rPr>
                      <m:sty m:val="p"/>
                    </m:rPr>
                    <m:t>,</m:t>
                  </m:r>
                  <m:r>
                    <w:rPr>
                      <w:sz w:val="16"/>
                      <w:color w:val="173E34"/>
                    </w:rPr>
                    <m:t>t</m:t>
                  </m:r>
                </m:sub>
              </m:sSub>
            </m:oMath>
          </w:p>
        </w:tc>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Cronograma / restricción / evidencia</w:t>
            </w:r>
          </w:p>
          <w:p>
            <w:pPr>
              <w:spacing w:before="40" w:after="40"/>
            </w:pPr>
            <m:oMath>
              <m:r>
                <w:rPr>
                  <w:sz w:val="16"/>
                  <w:color w:val="173E34"/>
                </w:rPr>
                <m:rPr>
                  <m:nor/>
                  <m:sty m:val="p"/>
                </m:rPr>
                <m:t>source</m:t>
              </m:r>
              <m:d>
                <m:dPr>
                  <m:begChr m:val="("/>
                  <m:endChr m:val=")"/>
                  <m:sepChr m:val=""/>
                  <m:grow/>
                </m:dPr>
                <m:e>
                  <m:sSub>
                    <m:e>
                      <m:r>
                        <w:rPr>
                          <w:sz w:val="16"/>
                          <w:color w:val="173E34"/>
                        </w:rPr>
                        <m:t>c</m:t>
                      </m:r>
                    </m:e>
                    <m:sub>
                      <m:r>
                        <w:rPr>
                          <w:sz w:val="16"/>
                          <w:color w:val="173E34"/>
                        </w:rPr>
                        <m:t>j</m:t>
                      </m:r>
                      <m:r>
                        <w:rPr>
                          <w:sz w:val="16"/>
                          <w:color w:val="173E34"/>
                        </w:rPr>
                        <m:rPr>
                          <m:sty m:val="p"/>
                        </m:rPr>
                        <m:t>,</m:t>
                      </m:r>
                      <m:r>
                        <w:rPr>
                          <w:sz w:val="16"/>
                          <w:color w:val="173E34"/>
                        </w:rPr>
                        <m:t>t</m:t>
                      </m:r>
                    </m:sub>
                  </m:sSub>
                </m:e>
              </m:d>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Registro de variables de monitoreo</w:t>
      </w:r>
    </w:p>
    <w:p>
      <w:pPr>
        <w:keepNext/>
        <w:spacing w:before="40" w:after="60"/>
      </w:pPr>
      <w:r>
        <w:rPr>
          <w:rFonts w:ascii="Lato" w:hAnsi="Lato"/>
          <w:color w:val="315B50"/>
          <w:sz w:val="18"/>
        </w:rPr>
        <w:t>FEASIBILITY-T20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3802"/>
        <w:gridCol w:w="3022"/>
      </w:tblGrid>
      <w:tr>
        <w:trPr>
          <w:trHeight w:val="446" w:hRule="atLeast"/>
          <w:tblHeader/>
        </w:trPr>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Variable / ecuación / ámbito</w:t>
            </w:r>
          </w:p>
          <w:p>
            <w:pPr>
              <w:spacing w:before="40" w:after="40"/>
            </w:pPr>
            <m:oMath>
              <m:sSub>
                <m:e>
                  <m:r>
                    <w:rPr>
                      <w:sz w:val="16"/>
                      <w:color w:val="173E34"/>
                    </w:rPr>
                    <m:t>x</m:t>
                  </m:r>
                </m:e>
                <m:sub>
                  <m:r>
                    <w:rPr>
                      <w:sz w:val="16"/>
                      <w:color w:val="173E34"/>
                    </w:rPr>
                    <m:rPr>
                      <m:sty m:val="p"/>
                    </m:rPr>
                    <m:t>ℓ</m:t>
                  </m:r>
                </m:sub>
              </m:sSub>
            </m:oMath>
          </w:p>
        </w:tc>
        <w:tc>
          <w:tcPr>
            <w:tcW w:type="dxa" w:w="380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Método, frecuencia y responsable</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Calibración, calidad y vacíos</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80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Factibilidad demostrada y contingencia</w:t>
      </w:r>
    </w:p>
    <w:p>
      <w:pPr>
        <w:keepNext/>
        <w:spacing w:after="100" w:line="259" w:lineRule="auto"/>
      </w:pPr>
      <w:r>
        <w:rPr>
          <w:rFonts w:ascii="Arial" w:hAnsi="Arial"/>
          <w:b w:val="0"/>
          <w:i w:val="0"/>
          <w:color w:val="62716E"/>
          <w:sz w:val="18"/>
        </w:rPr>
        <w:t>Evalúe por separado factibilidad técnica, ambiental, social, jurídica, operativa y de recursos. Registre seguridad, acceso, estacionalidad, contingencias, respuesta a eventos y supuestos financieros de ejecución.</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11" w:name="Section_11"/>
      <w:pPr>
        <w:pStyle w:val="Heading1"/>
        <w:keepNext/>
      </w:pPr>
      <w:r>
        <w:t>11  Entrega a Descripción del Proyecto y condiciones pendientes</w:t>
      </w:r>
      <w:bookmarkEnd w:id="111"/>
    </w:p>
    <w:p>
      <w:pPr>
        <w:keepNext/>
        <w:spacing w:after="180" w:line="259" w:lineRule="auto"/>
      </w:pPr>
      <w:r>
        <w:rPr>
          <w:rFonts w:ascii="Arial" w:hAnsi="Arial"/>
          <w:b w:val="0"/>
          <w:i w:val="0"/>
          <w:color w:val="62716E"/>
          <w:sz w:val="15"/>
        </w:rPr>
        <w:t>[1] Referencia: CYC-04; CYC-05; S-16; S-18; MIG-01; MIG-07; U-01</w:t>
      </w:r>
    </w:p>
    <w:p>
      <w:pPr>
        <w:pStyle w:val="Heading2"/>
        <w:keepNext/>
      </w:pPr>
      <w:r>
        <w:t>Conclusiones de factibilidad por dimensión</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827"/>
        <w:gridCol w:w="3900"/>
        <w:gridCol w:w="3022"/>
      </w:tblGrid>
      <w:tr>
        <w:trPr>
          <w:trHeight w:val="446" w:hRule="atLeast"/>
          <w:tblHeader/>
        </w:trPr>
        <w:tc>
          <w:tcPr>
            <w:tcW w:type="dxa" w:w="282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Dimensión</w:t>
            </w:r>
          </w:p>
        </w:tc>
        <w:tc>
          <w:tcPr>
            <w:tcW w:type="dxa" w:w="390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Conclusión y evidencia de soporte</w:t>
            </w:r>
          </w:p>
        </w:tc>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Restricción / responsable / acción</w:t>
            </w:r>
          </w:p>
        </w:tc>
      </w:tr>
      <w:tr>
        <w:trPr>
          <w:trHeight w:val="446" w:hRule="atLeast"/>
        </w:trPr>
        <w:tc>
          <w:tcPr>
            <w:tcW w:type="dxa" w:w="282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Técnica / ambiental</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827"/>
            <w:vAlign w:val="center"/>
            <w:tcMar>
              <w:top w:w="70" w:type="dxa"/>
              <w:start w:w="85" w:type="dxa"/>
              <w:bottom w:w="70" w:type="dxa"/>
              <w:end w:w="85" w:type="dxa"/>
            </w:tcMar>
          </w:tcPr>
          <w:p>
            <w:pPr>
              <w:spacing w:after="0" w:line="250" w:lineRule="auto"/>
            </w:pPr>
            <w:r>
              <w:rPr>
                <w:rFonts w:ascii="Arial" w:hAnsi="Arial"/>
                <w:b w:val="0"/>
                <w:i w:val="0"/>
                <w:color w:val="243A36"/>
                <w:sz w:val="16"/>
              </w:rPr>
              <w:t>Social / salvaguardas</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82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Jurídica / derechos</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827"/>
            <w:vAlign w:val="center"/>
            <w:tcMar>
              <w:top w:w="70" w:type="dxa"/>
              <w:start w:w="85" w:type="dxa"/>
              <w:bottom w:w="70" w:type="dxa"/>
              <w:end w:w="85" w:type="dxa"/>
            </w:tcMar>
          </w:tcPr>
          <w:p>
            <w:pPr>
              <w:spacing w:after="0" w:line="250" w:lineRule="auto"/>
            </w:pPr>
            <w:r>
              <w:rPr>
                <w:rFonts w:ascii="Arial" w:hAnsi="Arial"/>
                <w:b w:val="0"/>
                <w:i w:val="0"/>
                <w:color w:val="243A36"/>
                <w:sz w:val="16"/>
              </w:rPr>
              <w:t>Operativa / recursos</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Paquete de entrega PD</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022"/>
        <w:gridCol w:w="3705"/>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Registro / producto</w:t>
            </w:r>
          </w:p>
        </w:tc>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Versión y custodio</w:t>
            </w:r>
          </w:p>
        </w:tc>
        <w:tc>
          <w:tcPr>
            <w:tcW w:type="dxa" w:w="370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Condición pendiente / puerta afectada</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Alcance sustentado solicitado</w:t>
      </w:r>
    </w:p>
    <w:p>
      <w:pPr>
        <w:keepNext/>
        <w:spacing w:after="100" w:line="259" w:lineRule="auto"/>
      </w:pPr>
      <w:r>
        <w:rPr>
          <w:rFonts w:ascii="Arial" w:hAnsi="Arial"/>
          <w:b w:val="0"/>
          <w:i w:val="0"/>
          <w:color w:val="62716E"/>
          <w:sz w:val="18"/>
        </w:rPr>
        <w:t>Identifique actividades, estratos y atributos sustentados para preparar PD. Registre por separado datos históricos o decisiones de migración y conserve pasivos. No presente factibilidad como verificación independiente de resultados.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12" w:name="Section_12"/>
      <w:pPr>
        <w:pStyle w:val="Heading1"/>
        <w:keepNext/>
      </w:pPr>
      <w:r>
        <w:t>12  Evidencia, anexos y referencias</w:t>
      </w:r>
      <w:bookmarkEnd w:id="112"/>
    </w:p>
    <w:p>
      <w:pPr>
        <w:keepNext/>
        <w:spacing w:after="180" w:line="259" w:lineRule="auto"/>
      </w:pPr>
      <w:r>
        <w:rPr>
          <w:rFonts w:ascii="Arial" w:hAnsi="Arial"/>
          <w:b w:val="0"/>
          <w:i w:val="0"/>
          <w:color w:val="62716E"/>
          <w:sz w:val="15"/>
        </w:rPr>
        <w:t>[1] Referencia: F-01; S-17; P-04; A-05</w:t>
      </w:r>
    </w:p>
    <w:p>
      <w:pPr>
        <w:keepNext w:val="0"/>
        <w:spacing w:after="160" w:line="259" w:lineRule="auto"/>
        <w:shd w:fill="F1F5F2"/>
      </w:pPr>
      <w:r>
        <w:rPr>
          <w:rFonts w:ascii="Arial" w:hAnsi="Arial"/>
          <w:b w:val="0"/>
          <w:i w:val="0"/>
          <w:color w:val="215F52"/>
          <w:sz w:val="18"/>
        </w:rPr>
        <w:t>Asigne a cada anexo identificador, versión, fecha, custodio y ubicación exacta. Cite la fuente de toda entrada material. Mantenga la evidencia restringida accesible por separado a los revisores autorizados; no oculte la base metodológica de una afirmación.</w:t>
      </w:r>
    </w:p>
    <w:p>
      <w:pPr>
        <w:pStyle w:val="Heading2"/>
        <w:keepNext/>
      </w:pPr>
      <w:r>
        <w:t>Registro de anexos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340"/>
        <w:gridCol w:w="4484"/>
        <w:gridCol w:w="2925"/>
      </w:tblGrid>
      <w:tr>
        <w:trPr>
          <w:trHeight w:val="446" w:hRule="atLeast"/>
          <w:tblHeader/>
        </w:trPr>
        <w:tc>
          <w:tcPr>
            <w:tcW w:type="dxa" w:w="234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ID de anexo / evidencia</w:t>
            </w:r>
          </w:p>
        </w:tc>
        <w:tc>
          <w:tcPr>
            <w:tcW w:type="dxa" w:w="448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Contenido y sección vinculada</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Custodio / acceso / versión</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34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34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Referencias específicas del proyecto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755"/>
        <w:gridCol w:w="4874"/>
        <w:gridCol w:w="3120"/>
      </w:tblGrid>
      <w:tr>
        <w:trPr>
          <w:trHeight w:val="446" w:hRule="atLeast"/>
          <w:tblHeader/>
        </w:trPr>
        <w:tc>
          <w:tcPr>
            <w:tcW w:type="dxa" w:w="175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ID de referencia</w:t>
            </w:r>
          </w:p>
        </w:tc>
        <w:tc>
          <w:tcPr>
            <w:tcW w:type="dxa" w:w="487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Cita completa / versión exacta</w:t>
            </w:r>
          </w:p>
        </w:tc>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Uso en este expediente</w:t>
            </w:r>
          </w:p>
        </w:tc>
      </w:tr>
      <w:tr>
        <w:trPr>
          <w:trHeight w:val="446" w:hRule="atLeast"/>
        </w:trPr>
        <w:tc>
          <w:tcPr>
            <w:tcW w:type="dxa" w:w="175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87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175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87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175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87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Reproducibilidad y entrega</w:t>
      </w:r>
    </w:p>
    <w:p>
      <w:pPr>
        <w:keepNext/>
        <w:spacing w:after="100" w:line="259" w:lineRule="auto"/>
      </w:pPr>
      <w:r>
        <w:rPr>
          <w:rFonts w:ascii="Arial" w:hAnsi="Arial"/>
          <w:b w:val="0"/>
          <w:i w:val="0"/>
          <w:color w:val="62716E"/>
          <w:sz w:val="18"/>
        </w:rPr>
        <w:t>Identifique el paquete de evidencia aprobado, archivos de cálculo, condiciones de acceso y custodio. Resuelva todas las referencias rotas antes de presentar.</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13" w:name="Section_13"/>
      <w:pPr>
        <w:pStyle w:val="Heading1"/>
        <w:keepNext/>
      </w:pPr>
      <w:r>
        <w:t>13  Presentación, revisión y decisión de etapa</w:t>
      </w:r>
      <w:bookmarkEnd w:id="113"/>
    </w:p>
    <w:p>
      <w:pPr>
        <w:keepNext/>
        <w:spacing w:after="180" w:line="259" w:lineRule="auto"/>
      </w:pPr>
      <w:r>
        <w:rPr>
          <w:rFonts w:ascii="Arial" w:hAnsi="Arial"/>
          <w:b w:val="0"/>
          <w:i w:val="0"/>
          <w:color w:val="62716E"/>
          <w:sz w:val="15"/>
        </w:rPr>
        <w:t>[1] Referencia: CYC-01; CYC-04; S-16; S-22; S-23; FRM-03; FRM-06; A-12; A-13</w:t>
      </w:r>
    </w:p>
    <w:p>
      <w:pPr>
        <w:keepNext w:val="0"/>
        <w:spacing w:after="160" w:line="259" w:lineRule="auto"/>
        <w:shd w:fill="F1F5F2"/>
      </w:pPr>
      <w:r>
        <w:rPr>
          <w:rFonts w:ascii="Arial" w:hAnsi="Arial"/>
          <w:b w:val="0"/>
          <w:i w:val="0"/>
          <w:color w:val="215F52"/>
          <w:sz w:val="18"/>
        </w:rPr>
        <w:t>La factibilidad establece el alcance de diseño sustentado para preparar la Descripción del Proyecto. No constituye validación independiente del diseño, registro ni emisión.</w:t>
      </w:r>
    </w:p>
    <w:p>
      <w:pPr>
        <w:pStyle w:val="Heading2"/>
        <w:keepNext/>
      </w:pPr>
      <w:r>
        <w:t>Revisión de salida de etapa</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4777"/>
        <w:gridCol w:w="2535"/>
        <w:gridCol w:w="2437"/>
      </w:tblGrid>
      <w:tr>
        <w:trPr>
          <w:trHeight w:val="446" w:hRule="atLeast"/>
          <w:tblHeader/>
        </w:trPr>
        <w:tc>
          <w:tcPr>
            <w:tcW w:type="dxa" w:w="477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Criterio</w:t>
            </w:r>
          </w:p>
        </w:tc>
        <w:tc>
          <w:tcPr>
            <w:tcW w:type="dxa" w:w="253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Evidencia / sección</w:t>
            </w:r>
          </w:p>
        </w:tc>
        <w:tc>
          <w:tcPr>
            <w:tcW w:type="dxa" w:w="243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Hallazgo de revisión</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Derechos, mandatos y acceso sustentados</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 evaluado]</w:t>
            </w:r>
          </w:p>
        </w:tc>
      </w:tr>
      <w:tr>
        <w:trPr>
          <w:trHeight w:val="446" w:hRule="atLeast"/>
        </w:trPr>
        <w:tc>
          <w:tcPr>
            <w:tcW w:type="dxa" w:w="4777"/>
            <w:vAlign w:val="center"/>
            <w:tcMar>
              <w:top w:w="70" w:type="dxa"/>
              <w:start w:w="85" w:type="dxa"/>
              <w:bottom w:w="70" w:type="dxa"/>
              <w:end w:w="85" w:type="dxa"/>
            </w:tcMar>
          </w:tcPr>
          <w:p>
            <w:pPr>
              <w:spacing w:after="0" w:line="250" w:lineRule="auto"/>
            </w:pPr>
            <w:r>
              <w:rPr>
                <w:rFonts w:ascii="Arial" w:hAnsi="Arial"/>
                <w:b w:val="0"/>
                <w:i w:val="0"/>
                <w:color w:val="243A36"/>
                <w:sz w:val="16"/>
              </w:rPr>
              <w:t>Métodos, calibración y pruebas independientes documentados</w:t>
            </w:r>
          </w:p>
        </w:tc>
        <w:tc>
          <w:tcPr>
            <w:tcW w:type="dxa" w:w="253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[No evaluado]</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Cálculo, sensibilidad, incertidumbre y riesgo conciliados</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 evaluado]</w:t>
            </w:r>
          </w:p>
        </w:tc>
      </w:tr>
      <w:tr>
        <w:trPr>
          <w:trHeight w:val="446" w:hRule="atLeast"/>
        </w:trPr>
        <w:tc>
          <w:tcPr>
            <w:tcW w:type="dxa" w:w="4777"/>
            <w:vAlign w:val="center"/>
            <w:tcMar>
              <w:top w:w="70" w:type="dxa"/>
              <w:start w:w="85" w:type="dxa"/>
              <w:bottom w:w="70" w:type="dxa"/>
              <w:end w:w="85" w:type="dxa"/>
            </w:tcMar>
          </w:tcPr>
          <w:p>
            <w:pPr>
              <w:spacing w:after="0" w:line="250" w:lineRule="auto"/>
            </w:pPr>
            <w:r>
              <w:rPr>
                <w:rFonts w:ascii="Arial" w:hAnsi="Arial"/>
                <w:b w:val="0"/>
                <w:i w:val="0"/>
                <w:color w:val="243A36"/>
                <w:sz w:val="16"/>
              </w:rPr>
              <w:t>Salvaguardas y recursos de ejecución establecidos</w:t>
            </w:r>
          </w:p>
        </w:tc>
        <w:tc>
          <w:tcPr>
            <w:tcW w:type="dxa" w:w="253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[No evaluado]</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Protocolo de monitoreo y entrega PD completos</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 evaluado]</w:t>
            </w:r>
          </w:p>
        </w:tc>
      </w:tr>
    </w:tbl>
    <w:p>
      <w:pPr>
        <w:keepNext w:val="0"/>
        <w:spacing w:after="60" w:line="259" w:lineRule="auto"/>
      </w:pPr>
      <w:r>
        <w:rPr>
          <w:rFonts w:ascii="Arial" w:hAnsi="Arial"/>
          <w:b w:val="0"/>
          <w:i w:val="0"/>
          <w:color w:val="243A36"/>
          <w:sz w:val="2"/>
        </w:rPr>
      </w:r>
    </w:p>
    <w:p>
      <w:pPr>
        <w:pStyle w:val="Heading2"/>
        <w:keepNext/>
      </w:pPr>
      <w:r>
        <w:t>Registros y firmas separados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315"/>
        <w:gridCol w:w="3412"/>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Actuación / función responsable</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Nombre, fecha y firma</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Decisión / alcance / registro</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Presentación / proponente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val="0"/>
                <w:color w:val="243A36"/>
                <w:sz w:val="16"/>
              </w:rPr>
              <w:t>Preparación técnica</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Revisión sin conflicto</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val="0"/>
                <w:color w:val="243A36"/>
                <w:sz w:val="16"/>
              </w:rPr>
              <w:t>Decisión autorizada de etapa</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[Avanzar / corregir / aplazar / rechazar]</w:t>
            </w:r>
          </w:p>
        </w:tc>
      </w:tr>
    </w:tbl>
    <w:p>
      <w:pPr>
        <w:keepNext w:val="0"/>
        <w:spacing w:after="60" w:line="259" w:lineRule="auto"/>
      </w:pPr>
      <w:r>
        <w:rPr>
          <w:rFonts w:ascii="Arial" w:hAnsi="Arial"/>
          <w:b w:val="0"/>
          <w:i w:val="0"/>
          <w:color w:val="243A36"/>
          <w:sz w:val="2"/>
        </w:rPr>
      </w:r>
    </w:p>
    <w:p>
      <w:pPr>
        <w:pStyle w:val="Heading2"/>
        <w:keepNext/>
      </w:pPr>
      <w:r>
        <w:t>Condiciones, hallazgos abiertos y entrega a la etapa siguiente</w:t>
      </w:r>
    </w:p>
    <w:p>
      <w:pPr>
        <w:keepNext/>
        <w:spacing w:after="100" w:line="259" w:lineRule="auto"/>
      </w:pPr>
      <w:r>
        <w:rPr>
          <w:rFonts w:ascii="Arial" w:hAnsi="Arial"/>
          <w:b w:val="0"/>
          <w:i w:val="0"/>
          <w:color w:val="62716E"/>
          <w:sz w:val="18"/>
        </w:rPr>
        <w:t>Indique alcance permitido, actividades o afirmaciones bloqueadas, responsable de corrección, evidencia requerida, plazo según perfil aprobado y receptor. Una firma en blanco no equivale a aprobación.</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bookmarkStart w:id="3999" w:name="account_annex"/>
      <w:pPr>
        <w:pStyle w:val="Heading1"/>
        <w:keepNext/>
        <w:pageBreakBefore/>
      </w:pPr>
      <w:r>
        <w:t>A  Anexos de cuentas ex ante, ex post y migración</w:t>
      </w:r>
      <w:bookmarkEnd w:id="3999"/>
    </w:p>
    <w:p>
      <w:pPr>
        <w:spacing w:after="120"/>
      </w:pPr>
      <w:r>
        <w:rPr>
          <w:rFonts w:ascii="Lato" w:hAnsi="Lato"/>
          <w:b w:val="0"/>
          <w:color w:val="62716E"/>
          <w:sz w:val="16"/>
        </w:rPr>
        <w:t>[1] Referencia: CYC-01; CYC-05; F-01; F-03; P-13; MIG-05; FRM-02; FRM-04; FRM-05</w:t>
      </w:r>
    </w:p>
    <w:p>
      <w:pPr>
        <w:pStyle w:val="Heading2"/>
        <w:keepNext/>
      </w:pPr>
      <w:r>
        <w:t>Uso según etapa</w:t>
      </w:r>
    </w:p>
    <w:p>
      <w:pPr>
        <w:spacing w:after="80"/>
      </w:pPr>
      <w:r>
        <w:rPr>
          <w:rFonts w:ascii="Lato" w:hAnsi="Lato"/>
          <w:b w:val="0"/>
          <w:color w:val="62716E"/>
          <w:sz w:val="18"/>
        </w:rPr>
        <w:t>Completar cuenta ex ante sustentada y ruta de evidencia. Para un proyecto existente o migrado, adjuntar conciliaciones ex post y de migración aplicables, con sus estados distintos.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account_annex-0-ES"/>
                <w:tag w:val="account_annex-0-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Registro de anexos de cuentas</w:t>
      </w:r>
    </w:p>
    <w:p>
      <w:pPr>
        <w:keepNext/>
        <w:spacing w:before="40" w:after="60"/>
      </w:pPr>
      <w:r>
        <w:rPr>
          <w:rFonts w:ascii="Lato" w:hAnsi="Lato"/>
          <w:color w:val="315B50"/>
          <w:sz w:val="18"/>
        </w:rPr>
        <w:t>FEASIBILITY-T27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Producto / alcance aplicable</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Versión, libro y ubicación de evidencia</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Estado / revisor / restricción pendiente</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account_annex-1-ES-1-1"/>
                <w:tag w:val="account_annex-1-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account_annex-1-ES-1-2"/>
                <w:tag w:val="account_annex-1-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account_annex-1-ES-1-3"/>
                <w:tag w:val="account_annex-1-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account_annex-1-ES-2-1"/>
                <w:tag w:val="account_annex-1-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account_annex-1-ES-2-2"/>
                <w:tag w:val="account_annex-1-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account_annex-1-ES-2-3"/>
                <w:tag w:val="account_annex-1-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account_annex-1-ES-3-1"/>
                <w:tag w:val="account_annex-1-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account_annex-1-ES-3-2"/>
                <w:tag w:val="account_annex-1-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account_annex-1-ES-3-3"/>
                <w:tag w:val="account_annex-1-ES-3-3"/>
                <w:text/>
              </w:sdtPr>
              <w:sdtContent>
                <w:r>
                  <w:rPr>
                    <w:rFonts w:ascii="Lato" w:hAnsi="Lato"/>
                    <w:sz w:val="18"/>
                    <w:color w:val="62716E"/>
                  </w:rPr>
                  <w:t>[Completar]</w:t>
                </w:r>
              </w:sdtContent>
            </w:sdt>
          </w:p>
        </w:tc>
      </w:tr>
    </w:tbl>
    <w:p>
      <w:pPr>
        <w:spacing w:after="0"/>
      </w:pPr>
    </w:p>
    <w:p>
      <w:pPr>
        <w:pStyle w:val="Heading2"/>
        <w:keepNext/>
      </w:pPr>
      <w:r>
        <w:t>Contrato común de la cuenta</w:t>
      </w:r>
    </w:p>
    <w:p>
      <w:pPr>
        <w:spacing w:after="80"/>
      </w:pPr>
      <w:r>
        <w:rPr>
          <w:rFonts w:ascii="Lato" w:hAnsi="Lato"/>
          <w:b w:val="0"/>
          <w:color w:val="62716E"/>
          <w:sz w:val="18"/>
        </w:rPr>
        <w:t>Usar los formatos bilingües Estimación ex ante, Informe de resultados ex post y Conciliación de migración junto con el libro de cálculo cuando correspondan. Identificar períodos, bandas, unidades, faltantes y celdas exactas. Separar proyecciones, observaciones, contrafactual, resultados verificados y NVEU autorizadas. Ninguna tasa o campo vacío establece política, emisión nula ni emisión de unidades.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account_annex-2-ES"/>
                <w:tag w:val="account_annex-2-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Conciliación requerida</w:t>
      </w:r>
    </w:p>
    <w:p>
      <w:pPr>
        <w:keepNext/>
        <w:spacing w:before="40" w:after="60"/>
      </w:pPr>
      <w:r>
        <w:rPr>
          <w:rFonts w:ascii="Lato" w:hAnsi="Lato"/>
          <w:color w:val="315B50"/>
          <w:sz w:val="18"/>
        </w:rPr>
        <w:t>FEASIBILITY-T28 / Notación del cálculo</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conserva resultado original; harm aplica método original a base comparable acordada; NEB es resultado receptor sobre esa base. La identidad telescópica explica diferencias, no elegibilidad. No forzar diferencia metodológica cero.</w:t>
      </w:r>
    </w:p>
    <w:p>
      <w:pPr>
        <w:keepNext/>
        <w:spacing w:before="40" w:after="60"/>
      </w:pPr>
      <w:r>
        <w:rPr>
          <w:rFonts w:ascii="Lato" w:hAnsi="Lato"/>
          <w:color w:val="315B50"/>
          <w:sz w:val="14"/>
        </w:rPr>
        <w:t>Base: MIG-05; P-13; identidad de conciliación | Libro: Migration!E:K</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pPr>
              <w:keepNext/>
            </w:pPr>
            <w:r>
              <w:rPr>
                <w:rFonts w:ascii="Lato" w:hAnsi="Lato"/>
                <w:b/>
                <w:color w:val="173E34"/>
                <w:sz w:val="17"/>
              </w:rPr>
              <w:t>Dimensión / registro original</w:t>
            </w:r>
          </w:p>
          <w:p>
            <w:pPr>
              <w:keepNext/>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250"/>
            <w:tcMar>
              <w:top w:w="90" w:type="dxa"/>
              <w:bottom w:w="90" w:type="dxa"/>
              <w:left w:w="100" w:type="dxa"/>
              <w:right w:w="100" w:type="dxa"/>
            </w:tcMar>
            <w:vAlign w:val="center"/>
            <w:shd w:fill="E6F0EB"/>
          </w:tcPr>
          <w:p>
            <w:pPr>
              <w:keepNext/>
            </w:pPr>
            <w:r>
              <w:rPr>
                <w:rFonts w:ascii="Lato" w:hAnsi="Lato"/>
                <w:b/>
                <w:color w:val="173E34"/>
                <w:sz w:val="17"/>
              </w:rPr>
              <w:t>Tratamiento receptor o monitoreado</w:t>
            </w:r>
          </w:p>
          <w:p>
            <w:pPr>
              <w:keepNext/>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250"/>
            <w:tcMar>
              <w:top w:w="90" w:type="dxa"/>
              <w:bottom w:w="90" w:type="dxa"/>
              <w:left w:w="100" w:type="dxa"/>
              <w:right w:w="100" w:type="dxa"/>
            </w:tcMar>
            <w:vAlign w:val="center"/>
            <w:shd w:fill="E6F0EB"/>
          </w:tcPr>
          <w:p>
            <w:pPr>
              <w:keepNext/>
            </w:pPr>
            <w:r>
              <w:rPr>
                <w:rFonts w:ascii="Lato" w:hAnsi="Lato"/>
                <w:b/>
                <w:color w:val="173E34"/>
                <w:sz w:val="17"/>
              </w:rPr>
              <w:t>Evidencia y referencia decisoria</w:t>
            </w:r>
          </w:p>
          <w:p>
            <w:pPr>
              <w:keepNext/>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510"/>
        </w:trPr>
        <w:tc>
          <w:tcPr>
            <w:tcW w:type="dxa" w:w="3250"/>
            <w:tcMar>
              <w:top w:w="90" w:type="dxa"/>
              <w:bottom w:w="90" w:type="dxa"/>
              <w:left w:w="100" w:type="dxa"/>
              <w:right w:w="100" w:type="dxa"/>
            </w:tcMar>
            <w:shd w:fill="F1F5F2"/>
          </w:tcPr>
          <w:p>
            <w:pPr>
              <w:keepNext/>
              <w:spacing w:after="20"/>
            </w:pPr>
            <w:sdt>
              <w:sdtPr>
                <w:alias w:val="account_annex-3-ES-1-1"/>
                <w:tag w:val="account_annex-3-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keepNext/>
              <w:spacing w:after="20"/>
            </w:pPr>
            <w:sdt>
              <w:sdtPr>
                <w:alias w:val="account_annex-3-ES-1-2"/>
                <w:tag w:val="account_annex-3-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keepNext/>
              <w:spacing w:after="20"/>
            </w:pPr>
            <w:sdt>
              <w:sdtPr>
                <w:alias w:val="account_annex-3-ES-1-3"/>
                <w:tag w:val="account_annex-3-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keepNext w:val="0"/>
              <w:spacing w:after="20"/>
            </w:pPr>
            <w:sdt>
              <w:sdtPr>
                <w:alias w:val="account_annex-3-ES-2-1"/>
                <w:tag w:val="account_annex-3-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keepNext w:val="0"/>
              <w:spacing w:after="20"/>
            </w:pPr>
            <w:sdt>
              <w:sdtPr>
                <w:alias w:val="account_annex-3-ES-2-2"/>
                <w:tag w:val="account_annex-3-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keepNext w:val="0"/>
              <w:spacing w:after="20"/>
            </w:pPr>
            <w:sdt>
              <w:sdtPr>
                <w:alias w:val="account_annex-3-ES-2-3"/>
                <w:tag w:val="account_annex-3-ES-2-3"/>
                <w:text/>
              </w:sdtPr>
              <w:sdtContent>
                <w:r>
                  <w:rPr>
                    <w:rFonts w:ascii="Lato" w:hAnsi="Lato"/>
                    <w:sz w:val="18"/>
                    <w:color w:val="62716E"/>
                  </w:rPr>
                  <w:t>[Completar]</w:t>
                </w:r>
              </w:sdtContent>
            </w:sdt>
          </w:p>
        </w:tc>
      </w:tr>
    </w:tbl>
    <w:p>
      <w:bookmarkStart w:id="99001" w:name="calc_register"/>
      <w:pPr>
        <w:pStyle w:val="Heading1"/>
        <w:keepNext/>
        <w:pageBreakBefore/>
      </w:pPr>
      <w:r>
        <w:t>CALC — Trazabilidad y notación del cálculo</w:t>
      </w:r>
      <w:bookmarkEnd w:id="99001"/>
    </w:p>
    <w:p>
      <w:pPr>
        <w:spacing w:after="100"/>
      </w:pPr>
      <w:r>
        <w:t>Registrar cada cantidad calculada como una fila identificada de forma única. Conservar la expresión fuente exacta y una expresión separada para toda adaptación a NEBIOT. Traducir una etiqueta no cambia una fórmula. Unidades, reservorios incluidos, signo, período, estado de entrada y dominio matemático forman parte del registro. Una tabla administrativa no necesita ecuación inventada. Variables fuente ambiguas requieren aclaración, no significado supuesto.</w:t>
      </w:r>
    </w:p>
    <w:p>
      <w:pPr>
        <w:pStyle w:val="Heading2"/>
        <w:keepNext/>
        <w:spacing w:after="100"/>
      </w:pPr>
      <w:r>
        <w:t>Índices y estado</w:t>
      </w:r>
    </w:p>
    <w:p>
      <w:pPr>
        <w:spacing w:after="100"/>
      </w:pPr>
      <w:r>
        <w:t>EA = pronóstico fechado; EP = cuenta del período reportado; t = intervalo; i,j = estratos o clases declarados; o = órgano o reservorio disjunto; g = gas; tau = cohorte de perturbación; l = fila de cálculo/componente.</w:t>
      </w:r>
    </w:p>
    <w:p>
      <w:pPr>
        <w:pStyle w:val="Heading2"/>
        <w:keepNext/>
        <w:spacing w:after="100"/>
      </w:pPr>
      <w:r>
        <w:t>Registro de un cálculo — repetir por resultado</w:t>
      </w:r>
    </w:p>
    <w:tbl>
      <w:tblPr>
        <w:tblW w:type="auto" w:w="0"/>
        <w:tblLayout w:type="fixed"/>
        <w:tblLook w:firstColumn="1" w:firstRow="1" w:lastColumn="0" w:lastRow="0" w:noHBand="0" w:noVBand="1" w:val="04A0"/>
      </w:tblPr>
      <w:tblGrid>
        <w:gridCol w:w="3240"/>
        <w:gridCol w:w="6120"/>
      </w:tblGrid>
      <w:tr>
        <w:trPr/>
        <w:tc>
          <w:tcPr>
            <w:tcW w:type="dxa" w:w="4873"/>
            <w:shd w:fill="215F52"/>
          </w:tcPr>
          <w:p>
            <w:pPr>
              <w:spacing w:after="80"/>
            </w:pPr>
            <w:r>
              <w:rPr>
                <w:rFonts w:ascii="Lato" w:hAnsi="Lato"/>
                <w:b/>
                <w:color w:val="FFFFFF"/>
                <w:sz w:val="18"/>
              </w:rPr>
              <w:t>Campo</w:t>
            </w:r>
          </w:p>
        </w:tc>
        <w:tc>
          <w:tcPr>
            <w:tcW w:type="dxa" w:w="4873"/>
            <w:shd w:fill="215F52"/>
          </w:tcPr>
          <w:p>
            <w:pPr>
              <w:spacing w:after="80"/>
            </w:pPr>
            <w:r>
              <w:rPr>
                <w:rFonts w:ascii="Lato" w:hAnsi="Lato"/>
                <w:b/>
                <w:color w:val="FFFFFF"/>
                <w:sz w:val="18"/>
              </w:rPr>
              <w:t>Registro</w:t>
            </w:r>
          </w:p>
        </w:tc>
      </w:tr>
      <w:tr>
        <w:trPr/>
        <w:tc>
          <w:tcPr>
            <w:tcW w:type="dxa" w:w="3240"/>
          </w:tcPr>
          <w:p>
            <w:pPr>
              <w:spacing w:after="80"/>
            </w:pPr>
            <w:r>
              <w:rPr>
                <w:rFonts w:ascii="Lato" w:hAnsi="Lato"/>
                <w:sz w:val="18"/>
              </w:rPr>
              <w:t>Fila de cálculo / símbolo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Definición y uso previsto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Archivo fuente / versión / huella exactos</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Hoja / celda o ID del registro bruto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Expresión original y unidad original</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Entradas: símbolos, valores, unidades y períodos</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Ecuación receptora / identificador del estándar</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Transformación, conversión y justificación</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Valores intermedios y finales sin redondear</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Tabla / fila / ubicación de salida en informe</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Diferencia de recálculo / base de tolerancia</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Revisor independiente / hallazgo / decisión</w:t>
            </w:r>
          </w:p>
        </w:tc>
        <w:tc>
          <w:tcPr>
            <w:tcW w:type="dxa" w:w="6120"/>
          </w:tcPr>
          <w:p>
            <w:pPr>
              <w:spacing w:after="80"/>
            </w:pPr>
            <w:r>
              <w:rPr>
                <w:rFonts w:ascii="Lato" w:hAnsi="Lato"/>
                <w:sz w:val="18"/>
              </w:rPr>
              <w:t>[Completar]</w:t>
            </w:r>
          </w:p>
        </w:tc>
      </w:tr>
    </w:tbl>
    <w:p>
      <w:pPr>
        <w:pStyle w:val="Heading2"/>
        <w:keepNext/>
        <w:spacing w:after="100"/>
      </w:pPr>
      <w:r>
        <w:t>Comparación aritmética, no materialidad</w:t>
      </w:r>
    </w:p>
    <w:p>
      <w:pPr>
        <w:spacing w:after="100"/>
      </w:pPr>
      <m:oMath>
        <m:sSub>
          <m:e>
            <m:r>
              <w:rPr>
                <w:sz w:val="20"/>
              </w:rPr>
              <m:t>δ</m:t>
            </m:r>
          </m:e>
          <m:sub>
            <m:r>
              <w:rPr>
                <w:sz w:val="20"/>
              </w:rPr>
              <m:rPr>
                <m:sty m:val="p"/>
              </m:rPr>
              <m:t>ℓ</m:t>
            </m:r>
          </m:sub>
        </m:sSub>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c</m:t>
            </m:r>
            <m:r>
              <w:rPr>
                <w:sz w:val="20"/>
              </w:rPr>
              <m:rPr>
                <m:sty m:val="p"/>
              </m:rPr>
              <m:t>a</m:t>
            </m:r>
            <m:r>
              <w:rPr>
                <w:sz w:val="20"/>
              </w:rPr>
              <m:rPr>
                <m:sty m:val="p"/>
              </m:rPr>
              <m:t>l</m:t>
            </m:r>
            <m:r>
              <w:rPr>
                <w:sz w:val="20"/>
              </w:rPr>
              <m:rPr>
                <m:sty m:val="p"/>
              </m:rPr>
              <m:t>c</m:t>
            </m:r>
          </m:sup>
        </m:sSubSup>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oMath>
    </w:p>
    <w:p>
      <w:pPr>
        <w:spacing w:after="100"/>
      </w:pPr>
      <m:oMath>
        <m:d>
          <m:dPr>
            <m:begChr m:val="|"/>
            <m:endChr m:val="|"/>
            <m:sepChr m:val=""/>
            <m:grow/>
          </m:dPr>
          <m:e>
            <m:sSub>
              <m:e>
                <m:r>
                  <w:rPr>
                    <w:sz w:val="20"/>
                  </w:rPr>
                  <m:t>δ</m:t>
                </m:r>
              </m:e>
              <m:sub>
                <m:r>
                  <w:rPr>
                    <w:sz w:val="20"/>
                  </w:rPr>
                  <m:rPr>
                    <m:sty m:val="p"/>
                  </m:rPr>
                  <m:t>ℓ</m:t>
                </m:r>
              </m:sub>
            </m:sSub>
          </m:e>
        </m:d>
        <m:r>
          <w:rPr>
            <w:sz w:val="20"/>
          </w:rPr>
          <m:rPr>
            <m:sty m:val="p"/>
          </m:rPr>
          <m:t>≤</m:t>
        </m:r>
        <m:sSub>
          <m:e>
            <m:r>
              <w:rPr>
                <w:sz w:val="20"/>
              </w:rPr>
              <m:t>ε</m:t>
            </m:r>
          </m:e>
          <m:sub>
            <m:r>
              <w:rPr>
                <w:sz w:val="20"/>
              </w:rPr>
              <m:t>a</m:t>
            </m:r>
          </m:sub>
        </m:sSub>
        <m:r>
          <w:rPr>
            <w:sz w:val="20"/>
          </w:rPr>
          <m:rPr>
            <m:sty m:val="p"/>
          </m:rPr>
          <m:t>+</m:t>
        </m:r>
        <m:sSub>
          <m:e>
            <m:r>
              <w:rPr>
                <w:sz w:val="20"/>
              </w:rPr>
              <m:t>ε</m:t>
            </m:r>
          </m:e>
          <m:sub>
            <m:r>
              <w:rPr>
                <w:sz w:val="20"/>
              </w:rPr>
              <m:t>r</m:t>
            </m:r>
          </m:sub>
        </m:sSub>
        <m:d>
          <m:dPr>
            <m:begChr m:val="|"/>
            <m:endChr m:val="|"/>
            <m:sepChr m:val=""/>
            <m:grow/>
          </m:dPr>
          <m:e>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e>
        </m:d>
      </m:oMath>
    </w:p>
    <w:p>
      <w:pPr>
        <w:spacing w:after="100"/>
      </w:pPr>
      <w:r>
        <w:t>La tolerancia absoluta tiene la unidad del resultado; la relativa es adimensional. Son parámetros de comparación informática, no materialidad. Comparar valores sin redondear. Reproducir primero el método fuente y registrar por separado armonización o cambio metodológico.</w:t>
      </w:r>
    </w:p>
    <w:sectPr w:rsidR="00FC693F" w:rsidRPr="0006063C" w:rsidSect="00034616">
      <w:headerReference w:type="default" r:id="rId9"/>
      <w:footerReference w:type="default" r:id="rId10"/>
      <w:pgSz w:w="11906" w:h="16838"/>
      <w:pgMar w:top="936" w:right="1080" w:bottom="950"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before="60"/>
      <w:pBdr>
        <w:top w:val="single" w:sz="4" w:color="C9D5CE" w:space="5"/>
      </w:pBdr>
    </w:pPr>
    <w:r>
      <w:rPr>
        <w:rFonts w:ascii="Arial" w:hAnsi="Arial"/>
        <w:b w:val="0"/>
        <w:i w:val="0"/>
        <w:color w:val="62716E"/>
        <w:sz w:val="14"/>
      </w:rPr>
      <w:t>PLANTILLA 1.2  /  FEASIBILITY  /  NEBIOT 0.8.2</w:t>
    </w:r>
    <w:r>
      <w:tab/>
    </w:r>
    <w:r>
      <w:rPr>
        <w:rFonts w:ascii="Arial" w:hAnsi="Arial"/>
        <w:b w:val="0"/>
        <w:i w:val="0"/>
        <w:color w:val="62716E"/>
        <w:sz w:val="14"/>
      </w:rPr>
      <w:t xml:space="preserve">Página </w:t>
    </w:r>
    <w:fldSimple w:instr="PAGE">
      <w:r>
        <w:t>1</w:t>
      </w:r>
    </w:fldSimple>
    <w: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60"/>
      <w:pBdr>
        <w:bottom w:val="single" w:sz="4" w:color="C9D5CE" w:space="5"/>
      </w:pBdr>
    </w:pPr>
    <w:r>
      <w:rPr>
        <w:rFonts w:ascii="Arial" w:hAnsi="Arial"/>
        <w:b/>
        <w:i w:val="0"/>
        <w:color w:val="215F52"/>
        <w:sz w:val="16"/>
      </w:rPr>
      <w:t>NEBIOT   /   ESTUDIO DE FACTIBILIDAD</w:t>
    </w:r>
    <w:r>
      <w:tab/>
    </w:r>
    <w:r>
      <w:rPr>
        <w:rFonts w:ascii="Arial" w:hAnsi="Arial"/>
        <w:b w:val="0"/>
        <w:i w:val="0"/>
        <w:color w:val="62716E"/>
        <w:sz w:val="16"/>
      </w:rPr>
      <w:t>ES   |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Georgia" w:hAnsi="Georgia"/>
      <w:b/>
      <w:bCs/>
      <w:color w:val="215F52"/>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215F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Georgia" w:hAnsi="Georgia"/>
      <w:color w:val="215F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factibilidad — NEBIOT template 1.0</dc:title>
  <dc:subject>NEBIOT Standard 0.8.2 — Feasibility — ES</dc:subject>
  <dc:creator>Henry Arellano-Peña</dc:creator>
  <cp:keywords>NEBIOT, Feasibility, template</cp:keywords>
  <dc:description/>
  <cp:lastModifiedBy>NEBIOT</cp:lastModifiedBy>
  <cp:revision>1</cp:revision>
  <dcterms:created xsi:type="dcterms:W3CDTF">2026-09-25T00:00:00Z</dcterms:created>
  <dcterms:modified xsi:type="dcterms:W3CDTF">2026-09-25T00:00:00Z</dcterms:modified>
  <cp:category>Project documentation template</cp:category>
  <cp:version>1.2</cp:version>
</cp:coreProperties>
</file>