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240" w:line="259" w:lineRule="auto"/>
      </w:pPr>
      <w:r>
        <w:rPr>
          <w:rFonts w:ascii="Arial" w:hAnsi="Arial"/>
          <w:b w:val="0"/>
          <w:i w:val="0"/>
          <w:color w:val="A6813D"/>
          <w:sz w:val="17"/>
        </w:rPr>
        <w:t>NEBIOT  /  PROJECT DOCUMENTATION</w:t>
      </w:r>
    </w:p>
    <w:p>
      <w:pPr>
        <w:jc w:val="center"/>
      </w:pPr>
      <w:r>
        <w:drawing>
          <wp:inline xmlns:a="http://schemas.openxmlformats.org/drawingml/2006/main" xmlns:pic="http://schemas.openxmlformats.org/drawingml/2006/picture">
            <wp:extent cx="5760720" cy="1918365"/>
            <wp:docPr id="1" name="Picture 1" descr="NEBIOT — English"/>
            <wp:cNvGraphicFramePr>
              <a:graphicFrameLocks noChangeAspect="1"/>
            </wp:cNvGraphicFramePr>
            <a:graphic>
              <a:graphicData uri="http://schemas.openxmlformats.org/drawingml/2006/picture">
                <pic:pic>
                  <pic:nvPicPr>
                    <pic:cNvPr id="0" name="NEBIOT-English-6000px.png"/>
                    <pic:cNvPicPr/>
                  </pic:nvPicPr>
                  <pic:blipFill>
                    <a:blip r:embed="rId11"/>
                    <a:stretch>
                      <a:fillRect/>
                    </a:stretch>
                  </pic:blipFill>
                  <pic:spPr>
                    <a:xfrm>
                      <a:off x="0" y="0"/>
                      <a:ext cx="5760720" cy="1918365"/>
                    </a:xfrm>
                    <a:prstGeom prst="rect"/>
                  </pic:spPr>
                </pic:pic>
              </a:graphicData>
            </a:graphic>
          </wp:inline>
        </w:drawing>
      </w:r>
    </w:p>
    <w:p>
      <w:pPr>
        <w:keepNext w:val="0"/>
        <w:spacing w:after="180" w:line="259" w:lineRule="auto"/>
      </w:pPr>
      <w:r>
        <w:rPr>
          <w:rFonts w:ascii="Arial" w:hAnsi="Arial"/>
          <w:b w:val="0"/>
          <w:i w:val="0"/>
          <w:color w:val="62716E"/>
          <w:sz w:val="16"/>
        </w:rPr>
        <w:t>Program authority: Nuevo Estándar Biotropical — NEBIOT S.A.S.</w:t>
      </w:r>
    </w:p>
    <w:p>
      <w:pPr>
        <w:pStyle w:val="Title"/>
        <w:spacing w:after="160"/>
        <w:pBdr>
          <w:bottom w:val="single" w:sz="8" w:color="A6813D" w:space="5"/>
        </w:pBdr>
      </w:pPr>
      <w:r>
        <w:t>Migration Reconciliation</w:t>
      </w:r>
    </w:p>
    <w:p>
      <w:pPr>
        <w:keepNext w:val="0"/>
        <w:spacing w:after="180" w:line="259" w:lineRule="auto"/>
      </w:pPr>
      <w:r>
        <w:rPr>
          <w:rFonts w:ascii="Arial" w:hAnsi="Arial"/>
          <w:b w:val="0"/>
          <w:i/>
          <w:color w:val="215F52"/>
          <w:sz w:val="21"/>
        </w:rPr>
        <w:t>Original, harmonized and NEBIOT outcome accounts</w:t>
      </w:r>
    </w:p>
    <w:p>
      <w:pPr>
        <w:keepNext w:val="0"/>
        <w:spacing w:after="260" w:line="259" w:lineRule="auto"/>
      </w:pPr>
      <w:r>
        <w:rPr>
          <w:rFonts w:ascii="Arial" w:hAnsi="Arial"/>
          <w:b w:val="0"/>
          <w:i w:val="0"/>
          <w:color w:val="62716E"/>
          <w:sz w:val="17"/>
        </w:rPr>
        <w:t>Governing standard: NEBIOT 0.8.2   |   Template edition 1.2</w:t>
      </w:r>
    </w:p>
    <w:p>
      <w:pPr>
        <w:keepNext w:val="0"/>
        <w:spacing w:after="200" w:line="259" w:lineRule="auto"/>
      </w:pPr>
      <w:r>
        <w:rPr>
          <w:rFonts w:ascii="Arial" w:hAnsi="Arial"/>
          <w:b w:val="0"/>
          <w:i/>
          <w:color w:val="215F52"/>
          <w:sz w:val="32"/>
        </w:rPr>
        <w:t>[PROJECT NAME]</w:t>
      </w:r>
    </w:p>
    <w:p>
      <w:pPr>
        <w:spacing w:after="80"/>
      </w:pPr>
      <w:r>
        <w:rPr>
          <w:rFonts w:ascii="Arial" w:hAnsi="Arial"/>
          <w:b/>
          <w:i w:val="0"/>
          <w:color w:val="243A36"/>
          <w:sz w:val="18"/>
        </w:rPr>
        <w:t xml:space="preserve">Project ID: </w:t>
      </w:r>
      <w:r>
        <w:rPr>
          <w:rFonts w:ascii="Arial" w:hAnsi="Arial"/>
          <w:b w:val="0"/>
          <w:i/>
          <w:color w:val="62716E"/>
          <w:sz w:val="18"/>
        </w:rPr>
        <w:t>[Enter]</w:t>
      </w:r>
    </w:p>
    <w:p>
      <w:pPr>
        <w:spacing w:after="80"/>
      </w:pPr>
      <w:r>
        <w:rPr>
          <w:rFonts w:ascii="Arial" w:hAnsi="Arial"/>
          <w:b/>
          <w:i w:val="0"/>
          <w:color w:val="243A36"/>
          <w:sz w:val="18"/>
        </w:rPr>
        <w:t xml:space="preserve">Country / jurisdiction: </w:t>
      </w:r>
      <w:r>
        <w:rPr>
          <w:rFonts w:ascii="Arial" w:hAnsi="Arial"/>
          <w:b w:val="0"/>
          <w:i/>
          <w:color w:val="62716E"/>
          <w:sz w:val="18"/>
        </w:rPr>
        <w:t>[Enter]</w:t>
      </w:r>
    </w:p>
    <w:p>
      <w:pPr>
        <w:spacing w:after="80"/>
      </w:pPr>
      <w:r>
        <w:rPr>
          <w:rFonts w:ascii="Arial" w:hAnsi="Arial"/>
          <w:b/>
          <w:i w:val="0"/>
          <w:color w:val="243A36"/>
          <w:sz w:val="18"/>
        </w:rPr>
        <w:t xml:space="preserve">Project document version: </w:t>
      </w:r>
      <w:r>
        <w:rPr>
          <w:rFonts w:ascii="Arial" w:hAnsi="Arial"/>
          <w:b w:val="0"/>
          <w:i/>
          <w:color w:val="62716E"/>
          <w:sz w:val="18"/>
        </w:rPr>
        <w:t>[Enter]</w:t>
      </w:r>
    </w:p>
    <w:p>
      <w:pPr>
        <w:spacing w:after="80"/>
      </w:pPr>
      <w:r>
        <w:rPr>
          <w:rFonts w:ascii="Arial" w:hAnsi="Arial"/>
          <w:b/>
          <w:i w:val="0"/>
          <w:color w:val="243A36"/>
          <w:sz w:val="18"/>
        </w:rPr>
        <w:t xml:space="preserve">Issue date (YYYY-MM-DD): </w:t>
      </w:r>
      <w:r>
        <w:rPr>
          <w:rFonts w:ascii="Arial" w:hAnsi="Arial"/>
          <w:b w:val="0"/>
          <w:i/>
          <w:color w:val="62716E"/>
          <w:sz w:val="18"/>
        </w:rPr>
        <w:t>[Enter]</w:t>
      </w:r>
    </w:p>
    <w:p>
      <w:pPr>
        <w:keepNext w:val="0"/>
        <w:spacing w:after="100" w:line="259" w:lineRule="auto"/>
      </w:pPr>
      <w:r>
        <w:rPr>
          <w:rFonts w:ascii="Arial" w:hAnsi="Arial"/>
          <w:b w:val="0"/>
          <w:i w:val="0"/>
          <w:color w:val="215F52"/>
          <w:sz w:val="21"/>
        </w:rPr>
        <w:t>Implementing organizations and stakeholders</w:t>
      </w:r>
    </w:p>
    <w:tbl>
      <w:tblPr>
        <w:tblW w:type="auto" w:w="0"/>
        <w:jc w:val="center"/>
        <w:tblLayout w:type="fixed"/>
        <w:tblLook w:firstColumn="1" w:firstRow="1" w:lastColumn="0" w:lastRow="0" w:noHBand="0" w:noVBand="1" w:val="04A0"/>
      </w:tblPr>
      <w:tblGrid>
        <w:gridCol w:w="3249"/>
        <w:gridCol w:w="3249"/>
        <w:gridCol w:w="3249"/>
      </w:tblGrid>
      <w:tr>
        <w:trPr>
          <w:trHeight w:val="1296" w:hRule="atLeast"/>
        </w:trPr>
        <w:tc>
          <w:tcPr>
            <w:tcW w:type="dxa" w:w="3249"/>
            <w:vAlign w:val="center"/>
            <w:tcMar>
              <w:top w:w="120" w:type="dxa"/>
              <w:start w:w="100" w:type="dxa"/>
              <w:bottom w:w="120" w:type="dxa"/>
              <w:end w:w="100" w:type="dxa"/>
            </w:tcMar>
            <w:tcBorders>
              <w:top w:val="single" w:sz="5" w:color="C9D5CE"/>
              <w:bottom w:val="single" w:sz="5" w:color="C9D5CE"/>
              <w:left w:val="single" w:sz="5" w:color="C9D5CE"/>
              <w:right w:val="single" w:sz="5" w:color="C9D5CE"/>
            </w:tcBorders>
          </w:tcPr>
          <w:p>
            <w:pPr>
              <w:jc w:val="center"/>
            </w:pPr>
            <w:r>
              <w:rPr>
                <w:rFonts w:ascii="Arial" w:hAnsi="Arial"/>
                <w:b/>
                <w:i w:val="0"/>
                <w:color w:val="215F52"/>
                <w:sz w:val="16"/>
              </w:rPr>
              <w:t>IMPLEMENTING ENTITY</w:t>
            </w:r>
          </w:p>
          <w:p>
            <w:pPr>
              <w:jc w:val="center"/>
            </w:pPr>
            <w:r>
              <w:rPr>
                <w:rFonts w:ascii="Arial" w:hAnsi="Arial"/>
                <w:b w:val="0"/>
                <w:i w:val="0"/>
                <w:color w:val="62716E"/>
                <w:sz w:val="16"/>
              </w:rPr>
              <w:t>[Insert authorized logo]</w:t>
            </w:r>
          </w:p>
          <w:p>
            <w:pPr>
              <w:jc w:val="center"/>
            </w:pPr>
            <w:r>
              <w:rPr>
                <w:rFonts w:ascii="Arial" w:hAnsi="Arial"/>
                <w:b w:val="0"/>
                <w:i/>
                <w:color w:val="62716E"/>
                <w:sz w:val="16"/>
              </w:rPr>
              <w:t>[Organization / role]</w:t>
            </w:r>
          </w:p>
        </w:tc>
        <w:tc>
          <w:tcPr>
            <w:tcW w:type="dxa" w:w="3249"/>
            <w:vAlign w:val="center"/>
            <w:tcMar>
              <w:top w:w="120" w:type="dxa"/>
              <w:start w:w="100" w:type="dxa"/>
              <w:bottom w:w="120" w:type="dxa"/>
              <w:end w:w="100" w:type="dxa"/>
            </w:tcMar>
            <w:tcBorders>
              <w:top w:val="single" w:sz="5" w:color="C9D5CE"/>
              <w:bottom w:val="single" w:sz="5" w:color="C9D5CE"/>
              <w:left w:val="single" w:sz="5" w:color="C9D5CE"/>
              <w:right w:val="single" w:sz="5" w:color="C9D5CE"/>
            </w:tcBorders>
          </w:tcPr>
          <w:p>
            <w:pPr>
              <w:jc w:val="center"/>
            </w:pPr>
            <w:r>
              <w:rPr>
                <w:rFonts w:ascii="Arial" w:hAnsi="Arial"/>
                <w:b/>
                <w:i w:val="0"/>
                <w:color w:val="215F52"/>
                <w:sz w:val="16"/>
              </w:rPr>
              <w:t>PROJECT PROPONENT</w:t>
            </w:r>
          </w:p>
          <w:p>
            <w:pPr>
              <w:jc w:val="center"/>
            </w:pPr>
            <w:r>
              <w:rPr>
                <w:rFonts w:ascii="Arial" w:hAnsi="Arial"/>
                <w:b w:val="0"/>
                <w:i w:val="0"/>
                <w:color w:val="62716E"/>
                <w:sz w:val="16"/>
              </w:rPr>
              <w:t>[Insert authorized logo]</w:t>
            </w:r>
          </w:p>
          <w:p>
            <w:pPr>
              <w:jc w:val="center"/>
            </w:pPr>
            <w:r>
              <w:rPr>
                <w:rFonts w:ascii="Arial" w:hAnsi="Arial"/>
                <w:b w:val="0"/>
                <w:i/>
                <w:color w:val="62716E"/>
                <w:sz w:val="16"/>
              </w:rPr>
              <w:t>[Organization / role]</w:t>
            </w:r>
          </w:p>
        </w:tc>
        <w:tc>
          <w:tcPr>
            <w:tcW w:type="dxa" w:w="3249"/>
            <w:vAlign w:val="center"/>
            <w:tcMar>
              <w:top w:w="120" w:type="dxa"/>
              <w:start w:w="100" w:type="dxa"/>
              <w:bottom w:w="120" w:type="dxa"/>
              <w:end w:w="100" w:type="dxa"/>
            </w:tcMar>
            <w:tcBorders>
              <w:top w:val="single" w:sz="5" w:color="C9D5CE"/>
              <w:bottom w:val="single" w:sz="5" w:color="C9D5CE"/>
              <w:left w:val="single" w:sz="5" w:color="C9D5CE"/>
              <w:right w:val="single" w:sz="5" w:color="C9D5CE"/>
            </w:tcBorders>
          </w:tcPr>
          <w:p>
            <w:pPr>
              <w:jc w:val="center"/>
            </w:pPr>
            <w:r>
              <w:rPr>
                <w:rFonts w:ascii="Arial" w:hAnsi="Arial"/>
                <w:b/>
                <w:i w:val="0"/>
                <w:color w:val="215F52"/>
                <w:sz w:val="16"/>
              </w:rPr>
              <w:t>RIGHTS HOLDERS / STAKEHOLDERS</w:t>
            </w:r>
          </w:p>
          <w:p>
            <w:pPr>
              <w:jc w:val="center"/>
            </w:pPr>
            <w:r>
              <w:rPr>
                <w:rFonts w:ascii="Arial" w:hAnsi="Arial"/>
                <w:b w:val="0"/>
                <w:i w:val="0"/>
                <w:color w:val="62716E"/>
                <w:sz w:val="16"/>
              </w:rPr>
              <w:t>[Insert authorized logo]</w:t>
            </w:r>
          </w:p>
          <w:p>
            <w:pPr>
              <w:jc w:val="center"/>
            </w:pPr>
            <w:r>
              <w:rPr>
                <w:rFonts w:ascii="Arial" w:hAnsi="Arial"/>
                <w:b w:val="0"/>
                <w:i/>
                <w:color w:val="62716E"/>
                <w:sz w:val="16"/>
              </w:rPr>
              <w:t>[Organization / role]</w:t>
            </w:r>
          </w:p>
        </w:tc>
      </w:tr>
    </w:tbl>
    <w:p>
      <w:pPr>
        <w:keepNext w:val="0"/>
        <w:spacing w:after="160" w:line="259" w:lineRule="auto"/>
      </w:pPr>
      <w:r>
        <w:rPr>
          <w:rFonts w:ascii="Arial" w:hAnsi="Arial"/>
          <w:b w:val="0"/>
          <w:i w:val="0"/>
          <w:color w:val="62716E"/>
          <w:sz w:val="16"/>
        </w:rPr>
        <w:t>Use authorized logos and identify each organization’s actual role. Logo display does not establish consent, project ownership, endorsement, validation or admission. Remove unused partner spaces from the completed submission.</w:t>
      </w:r>
    </w:p>
    <w:p>
      <w:pPr>
        <w:keepNext w:val="0"/>
        <w:spacing w:after="100" w:line="259" w:lineRule="auto"/>
      </w:pPr>
      <w:r>
        <w:rPr>
          <w:rFonts w:ascii="Arial" w:hAnsi="Arial"/>
          <w:b w:val="0"/>
          <w:i w:val="0"/>
          <w:color w:val="62716E"/>
          <w:sz w:val="15"/>
        </w:rPr>
        <w:t>The English logo wording is a translation, not a separate legal entity.</w:t>
      </w:r>
    </w:p>
    <w:p>
      <w:r>
        <w:br w:type="page"/>
      </w:r>
    </w:p>
    <w:p>
      <w:pPr>
        <w:pStyle w:val="Heading1"/>
        <w:keepNext/>
      </w:pPr>
      <w:r>
        <w:t>License and use of this template</w:t>
      </w:r>
    </w:p>
    <w:p>
      <w:pPr>
        <w:keepNext w:val="0"/>
        <w:spacing w:after="220" w:line="259" w:lineRule="auto"/>
      </w:pPr>
      <w:r>
        <w:rPr>
          <w:rFonts w:ascii="Arial" w:hAnsi="Arial"/>
          <w:b w:val="0"/>
          <w:i w:val="0"/>
          <w:color w:val="243A36"/>
          <w:sz w:val="19"/>
        </w:rPr>
        <w:t>This document is issued by Nuevo Estándar Biotropical—NEBIOT S.A.S. Henry Arellano-Peña is the methodological author of NEB001 and NEB002. Rights in NEBIOT's protected materials remain with their respective rights holders. Commercial use, reproduction, adaptation, redistribution, and sublicensing of protected material are subject to the applicable license or specific written permission from the authorized rights holder; permissions for use within the NEBIOT program shall be recorded in FRM-07 under S-21. Access to this document does not itself grant a commercial license, transfer ownership, authorize sublicensing, confer program admission, or authorize certification or issuance of environmental units. Supporting publications and third-party data, software, and images retain their respective licenses and attribution requirements; existing lawful permissions and uses permitted by applicable law remain unaffected. Authorized independent reviewers shall receive the access necessary for inspection, recalculation, and reporting under S-22, subject to the applicable permissions and confidentiality safeguards.</w:t>
      </w:r>
    </w:p>
    <w:p>
      <w:pPr>
        <w:pStyle w:val="Heading2"/>
        <w:keepNext/>
      </w:pPr>
      <w:r>
        <w:t>Completion instructions</w:t>
      </w:r>
    </w:p>
    <w:p>
      <w:pPr>
        <w:keepNext w:val="0"/>
        <w:spacing w:after="180" w:line="259" w:lineRule="auto"/>
      </w:pPr>
      <w:r>
        <w:rPr>
          <w:rFonts w:ascii="Arial" w:hAnsi="Arial"/>
          <w:b w:val="0"/>
          <w:i w:val="0"/>
          <w:color w:val="243A36"/>
          <w:sz w:val="19"/>
        </w:rPr>
        <w:t>This template organizes the evidence required for its project stage under NEBIOT Standard version 0.8.2. It does not replace the standard, its applicable methods, the approved case profile or the controlled forms. Complete the bracketed fields and expand tables or narrative areas as needed. For an inapplicable item, record a reason and the reviewer’s disposition; do not silently delete it. Identify unknown information as missing, not zero. Keep observations, assumptions, projections, verified outcomes and authorized NVEUs distinct. Requirements are assessed at the stage to which they apply; later-stage fields do not imply earlier completion.</w:t>
      </w:r>
    </w:p>
    <w:p>
      <w:pPr>
        <w:pStyle w:val="Heading2"/>
        <w:keepNext/>
      </w:pPr>
      <w:r>
        <w:t>Reference and scope</w:t>
      </w:r>
    </w:p>
    <w:p>
      <w:pPr>
        <w:keepNext w:val="0"/>
        <w:spacing w:after="200" w:line="259" w:lineRule="auto"/>
      </w:pPr>
      <w:r>
        <w:rPr>
          <w:rFonts w:ascii="Arial" w:hAnsi="Arial"/>
          <w:b w:val="0"/>
          <w:i w:val="0"/>
          <w:color w:val="243A36"/>
          <w:sz w:val="17"/>
        </w:rPr>
        <w:t>[1] NEBIOT. NEBIOT Standard, controlled version 0.8.2. NEB-DOC-000, integrated edition. Principal dependencies: NEB-CYC-001; NEB-STD-001 and Annex A; NEB-MTH-001/002; NEB-UNT-001; NEB-PRO-001; NEB-MIG-001; NEB-AUD-001; and NEB-FRM-001. All clause, equation, AP and FRM references in this template refer to that version. They are external normative dependencies, not missing sections of this template.</w:t>
      </w:r>
    </w:p>
    <w:p>
      <w:pPr>
        <w:keepNext w:val="0"/>
        <w:spacing w:after="140" w:line="259" w:lineRule="auto"/>
      </w:pPr>
      <w:r>
        <w:rPr>
          <w:rFonts w:ascii="Arial" w:hAnsi="Arial"/>
          <w:b w:val="0"/>
          <w:i w:val="0"/>
          <w:color w:val="243A36"/>
          <w:sz w:val="18"/>
        </w:rPr>
        <w:t>NIP retains the source name Nota de Idea de proyecto; “Project Idea Note” is an explanatory English rendering. PD means Migration Reconciliation.</w:t>
      </w:r>
    </w:p>
    <w:p>
      <w:pPr>
        <w:keepNext w:val="0"/>
        <w:spacing w:after="0" w:line="259" w:lineRule="auto"/>
      </w:pPr>
      <w:r>
        <w:rPr>
          <w:rFonts w:ascii="Arial" w:hAnsi="Arial"/>
          <w:b w:val="0"/>
          <w:i w:val="0"/>
          <w:color w:val="243A36"/>
          <w:sz w:val="18"/>
        </w:rPr>
        <w:t>NEBIOT provides the contracted technical assessment, design and monitoring services. The named proponent and implementing entity retain project execution responsibilities under S-25; exceptional NEBIOT interests follow S-26.</w:t>
      </w:r>
    </w:p>
    <w:p>
      <w:r>
        <w:br w:type="page"/>
      </w:r>
    </w:p>
    <w:p>
      <w:pPr>
        <w:pStyle w:val="Heading1"/>
        <w:keepNext/>
      </w:pPr>
      <w:r>
        <w:t>Document control and contents</w:t>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2925"/>
        <w:gridCol w:w="6824"/>
      </w:tblGrid>
      <w:tr>
        <w:trPr>
          <w:trHeight w:val="374" w:hRule="atLeast"/>
          <w:tblHeader/>
        </w:trPr>
        <w:tc>
          <w:tcPr>
            <w:tcW w:type="dxa" w:w="2925"/>
            <w:vAlign w:val="center"/>
            <w:tcMar>
              <w:top w:w="70" w:type="dxa"/>
              <w:start w:w="85" w:type="dxa"/>
              <w:bottom w:w="70" w:type="dxa"/>
              <w:end w:w="85" w:type="dxa"/>
            </w:tcMar>
            <w:shd w:fill="215F52"/>
          </w:tcPr>
          <w:p>
            <w:pPr>
              <w:spacing w:after="0" w:line="250" w:lineRule="auto"/>
            </w:pPr>
            <w:r>
              <w:rPr>
                <w:rFonts w:ascii="Arial" w:hAnsi="Arial"/>
                <w:b/>
                <w:i w:val="0"/>
                <w:color w:val="FFFFFF"/>
                <w:sz w:val="16"/>
              </w:rPr>
              <w:t>Control</w:t>
            </w:r>
          </w:p>
        </w:tc>
        <w:tc>
          <w:tcPr>
            <w:tcW w:type="dxa" w:w="6824"/>
            <w:vAlign w:val="center"/>
            <w:tcMar>
              <w:top w:w="70" w:type="dxa"/>
              <w:start w:w="85" w:type="dxa"/>
              <w:bottom w:w="70" w:type="dxa"/>
              <w:end w:w="85" w:type="dxa"/>
            </w:tcMar>
            <w:shd w:fill="215F52"/>
          </w:tcPr>
          <w:p>
            <w:pPr>
              <w:spacing w:after="0" w:line="250" w:lineRule="auto"/>
            </w:pPr>
            <w:r>
              <w:rPr>
                <w:rFonts w:ascii="Arial" w:hAnsi="Arial"/>
                <w:b/>
                <w:i w:val="0"/>
                <w:color w:val="FFFFFF"/>
                <w:sz w:val="16"/>
              </w:rPr>
              <w:t>Record</w:t>
            </w:r>
          </w:p>
        </w:tc>
      </w:tr>
      <w:tr>
        <w:trPr>
          <w:trHeight w:val="374" w:hRule="atLeast"/>
        </w:trPr>
        <w:tc>
          <w:tcPr>
            <w:tcW w:type="dxa" w:w="2925"/>
            <w:vAlign w:val="center"/>
            <w:tcMar>
              <w:top w:w="70" w:type="dxa"/>
              <w:start w:w="85" w:type="dxa"/>
              <w:bottom w:w="70" w:type="dxa"/>
              <w:end w:w="85" w:type="dxa"/>
            </w:tcMar>
            <w:shd w:fill="F6F8F6"/>
          </w:tcPr>
          <w:p>
            <w:pPr>
              <w:spacing w:after="0" w:line="250" w:lineRule="auto"/>
            </w:pPr>
            <w:r>
              <w:rPr>
                <w:rFonts w:ascii="Arial" w:hAnsi="Arial"/>
                <w:b w:val="0"/>
                <w:i w:val="0"/>
                <w:color w:val="243A36"/>
                <w:sz w:val="16"/>
              </w:rPr>
              <w:t>Template</w:t>
            </w:r>
          </w:p>
        </w:tc>
        <w:tc>
          <w:tcPr>
            <w:tcW w:type="dxa" w:w="6824"/>
            <w:vAlign w:val="center"/>
            <w:tcMar>
              <w:top w:w="70" w:type="dxa"/>
              <w:start w:w="85" w:type="dxa"/>
              <w:bottom w:w="70" w:type="dxa"/>
              <w:end w:w="85" w:type="dxa"/>
            </w:tcMar>
            <w:shd w:fill="F6F8F6"/>
          </w:tcPr>
          <w:p>
            <w:pPr>
              <w:spacing w:after="0" w:line="250" w:lineRule="auto"/>
            </w:pPr>
            <w:r>
              <w:rPr>
                <w:rFonts w:ascii="Arial" w:hAnsi="Arial"/>
                <w:b w:val="0"/>
                <w:i w:val="0"/>
                <w:color w:val="243A36"/>
                <w:sz w:val="16"/>
              </w:rPr>
              <w:t>MIG-REC / 1.2 / EN</w:t>
            </w:r>
          </w:p>
        </w:tc>
      </w:tr>
      <w:tr>
        <w:trPr>
          <w:trHeight w:val="374" w:hRule="atLeast"/>
        </w:trPr>
        <w:tc>
          <w:tcPr>
            <w:tcW w:type="dxa" w:w="2925"/>
            <w:vAlign w:val="center"/>
            <w:tcMar>
              <w:top w:w="70" w:type="dxa"/>
              <w:start w:w="85" w:type="dxa"/>
              <w:bottom w:w="70" w:type="dxa"/>
              <w:end w:w="85" w:type="dxa"/>
            </w:tcMar>
          </w:tcPr>
          <w:p>
            <w:pPr>
              <w:spacing w:after="0" w:line="250" w:lineRule="auto"/>
            </w:pPr>
            <w:r>
              <w:rPr>
                <w:rFonts w:ascii="Arial" w:hAnsi="Arial"/>
                <w:b w:val="0"/>
                <w:i w:val="0"/>
                <w:color w:val="243A36"/>
                <w:sz w:val="16"/>
              </w:rPr>
              <w:t>Standard basis</w:t>
            </w:r>
          </w:p>
        </w:tc>
        <w:tc>
          <w:tcPr>
            <w:tcW w:type="dxa" w:w="6824"/>
            <w:vAlign w:val="center"/>
            <w:tcMar>
              <w:top w:w="70" w:type="dxa"/>
              <w:start w:w="85" w:type="dxa"/>
              <w:bottom w:w="70" w:type="dxa"/>
              <w:end w:w="85" w:type="dxa"/>
            </w:tcMar>
          </w:tcPr>
          <w:p>
            <w:pPr>
              <w:spacing w:after="0" w:line="250" w:lineRule="auto"/>
            </w:pPr>
            <w:r>
              <w:rPr>
                <w:rFonts w:ascii="Arial" w:hAnsi="Arial"/>
                <w:b w:val="0"/>
                <w:i w:val="0"/>
                <w:color w:val="243A36"/>
                <w:sz w:val="16"/>
              </w:rPr>
              <w:t>NEBIOT 0.8.2 / MIG-03</w:t>
            </w:r>
          </w:p>
        </w:tc>
      </w:tr>
      <w:tr>
        <w:trPr>
          <w:trHeight w:val="374" w:hRule="atLeast"/>
        </w:trPr>
        <w:tc>
          <w:tcPr>
            <w:tcW w:type="dxa" w:w="2925"/>
            <w:vAlign w:val="center"/>
            <w:tcMar>
              <w:top w:w="70" w:type="dxa"/>
              <w:start w:w="85" w:type="dxa"/>
              <w:bottom w:w="70" w:type="dxa"/>
              <w:end w:w="85" w:type="dxa"/>
            </w:tcMar>
            <w:shd w:fill="F6F8F6"/>
          </w:tcPr>
          <w:p>
            <w:pPr>
              <w:spacing w:after="0" w:line="250" w:lineRule="auto"/>
            </w:pPr>
            <w:r>
              <w:rPr>
                <w:rFonts w:ascii="Arial" w:hAnsi="Arial"/>
                <w:b w:val="0"/>
                <w:i w:val="0"/>
                <w:color w:val="243A36"/>
                <w:sz w:val="16"/>
              </w:rPr>
              <w:t>Preparer / reviewer</w:t>
            </w:r>
          </w:p>
        </w:tc>
        <w:tc>
          <w:tcPr>
            <w:tcW w:type="dxa" w:w="6824"/>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r>
      <w:tr>
        <w:trPr>
          <w:trHeight w:val="374" w:hRule="atLeast"/>
        </w:trPr>
        <w:tc>
          <w:tcPr>
            <w:tcW w:type="dxa" w:w="2925"/>
            <w:vAlign w:val="center"/>
            <w:tcMar>
              <w:top w:w="70" w:type="dxa"/>
              <w:start w:w="85" w:type="dxa"/>
              <w:bottom w:w="70" w:type="dxa"/>
              <w:end w:w="85" w:type="dxa"/>
            </w:tcMar>
          </w:tcPr>
          <w:p>
            <w:pPr>
              <w:spacing w:after="0" w:line="250" w:lineRule="auto"/>
            </w:pPr>
            <w:r>
              <w:rPr>
                <w:rFonts w:ascii="Arial" w:hAnsi="Arial"/>
                <w:b w:val="0"/>
                <w:i w:val="0"/>
                <w:color w:val="243A36"/>
                <w:sz w:val="16"/>
              </w:rPr>
              <w:t>Distribution / restrictions</w:t>
            </w:r>
          </w:p>
        </w:tc>
        <w:tc>
          <w:tcPr>
            <w:tcW w:type="dxa" w:w="6824"/>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r>
    </w:tbl>
    <w:p>
      <w:pPr>
        <w:keepNext w:val="0"/>
        <w:spacing w:after="60" w:line="259" w:lineRule="auto"/>
      </w:pPr>
      <w:r>
        <w:rPr>
          <w:rFonts w:ascii="Arial" w:hAnsi="Arial"/>
          <w:b w:val="0"/>
          <w:i w:val="0"/>
          <w:color w:val="243A36"/>
          <w:sz w:val="2"/>
        </w:rPr>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1852"/>
        <w:gridCol w:w="2242"/>
        <w:gridCol w:w="5654"/>
      </w:tblGrid>
      <w:tr>
        <w:trPr>
          <w:trHeight w:val="360" w:hRule="atLeast"/>
          <w:tblHeader/>
        </w:trPr>
        <w:tc>
          <w:tcPr>
            <w:tcW w:type="dxa" w:w="1852"/>
            <w:vAlign w:val="center"/>
            <w:tcMar>
              <w:top w:w="70" w:type="dxa"/>
              <w:start w:w="85" w:type="dxa"/>
              <w:bottom w:w="70" w:type="dxa"/>
              <w:end w:w="85" w:type="dxa"/>
            </w:tcMar>
            <w:shd w:fill="215F52"/>
          </w:tcPr>
          <w:p>
            <w:pPr>
              <w:spacing w:after="0" w:line="250" w:lineRule="auto"/>
            </w:pPr>
            <w:r>
              <w:rPr>
                <w:rFonts w:ascii="Arial" w:hAnsi="Arial"/>
                <w:b/>
                <w:i w:val="0"/>
                <w:color w:val="FFFFFF"/>
                <w:sz w:val="16"/>
              </w:rPr>
              <w:t>Version</w:t>
            </w:r>
          </w:p>
        </w:tc>
        <w:tc>
          <w:tcPr>
            <w:tcW w:type="dxa" w:w="2242"/>
            <w:vAlign w:val="center"/>
            <w:tcMar>
              <w:top w:w="70" w:type="dxa"/>
              <w:start w:w="85" w:type="dxa"/>
              <w:bottom w:w="70" w:type="dxa"/>
              <w:end w:w="85" w:type="dxa"/>
            </w:tcMar>
            <w:shd w:fill="215F52"/>
          </w:tcPr>
          <w:p>
            <w:pPr>
              <w:spacing w:after="0" w:line="250" w:lineRule="auto"/>
            </w:pPr>
            <w:r>
              <w:rPr>
                <w:rFonts w:ascii="Arial" w:hAnsi="Arial"/>
                <w:b/>
                <w:i w:val="0"/>
                <w:color w:val="FFFFFF"/>
                <w:sz w:val="16"/>
              </w:rPr>
              <w:t>Date</w:t>
            </w:r>
          </w:p>
        </w:tc>
        <w:tc>
          <w:tcPr>
            <w:tcW w:type="dxa" w:w="5654"/>
            <w:vAlign w:val="center"/>
            <w:tcMar>
              <w:top w:w="70" w:type="dxa"/>
              <w:start w:w="85" w:type="dxa"/>
              <w:bottom w:w="70" w:type="dxa"/>
              <w:end w:w="85" w:type="dxa"/>
            </w:tcMar>
            <w:shd w:fill="215F52"/>
          </w:tcPr>
          <w:p>
            <w:pPr>
              <w:spacing w:after="0" w:line="250" w:lineRule="auto"/>
            </w:pPr>
            <w:r>
              <w:rPr>
                <w:rFonts w:ascii="Arial" w:hAnsi="Arial"/>
                <w:b/>
                <w:i w:val="0"/>
                <w:color w:val="FFFFFF"/>
                <w:sz w:val="16"/>
              </w:rPr>
              <w:t>Change and authority</w:t>
            </w:r>
          </w:p>
        </w:tc>
      </w:tr>
      <w:tr>
        <w:trPr>
          <w:trHeight w:val="360" w:hRule="atLeast"/>
        </w:trPr>
        <w:tc>
          <w:tcPr>
            <w:tcW w:type="dxa" w:w="185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 ]</w:t>
            </w:r>
          </w:p>
        </w:tc>
        <w:tc>
          <w:tcPr>
            <w:tcW w:type="dxa" w:w="224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 ]</w:t>
            </w:r>
          </w:p>
        </w:tc>
        <w:tc>
          <w:tcPr>
            <w:tcW w:type="dxa" w:w="5654"/>
            <w:vAlign w:val="center"/>
            <w:tcMar>
              <w:top w:w="70" w:type="dxa"/>
              <w:start w:w="85" w:type="dxa"/>
              <w:bottom w:w="70" w:type="dxa"/>
              <w:end w:w="85" w:type="dxa"/>
            </w:tcMar>
            <w:shd w:fill="F6F8F6"/>
          </w:tcPr>
          <w:p>
            <w:pPr>
              <w:spacing w:after="0" w:line="250" w:lineRule="auto"/>
            </w:pPr>
            <w:r>
              <w:rPr>
                <w:rFonts w:ascii="Arial" w:hAnsi="Arial"/>
                <w:b w:val="0"/>
                <w:i/>
                <w:color w:val="62716E"/>
                <w:sz w:val="16"/>
              </w:rPr>
              <w:t>[ ]</w:t>
            </w:r>
          </w:p>
        </w:tc>
      </w:tr>
    </w:tbl>
    <w:p>
      <w:pPr>
        <w:keepNext w:val="0"/>
        <w:spacing w:after="60" w:line="259" w:lineRule="auto"/>
      </w:pPr>
      <w:r>
        <w:rPr>
          <w:rFonts w:ascii="Arial" w:hAnsi="Arial"/>
          <w:b w:val="0"/>
          <w:i w:val="0"/>
          <w:color w:val="243A36"/>
          <w:sz w:val="2"/>
        </w:rPr>
      </w:r>
    </w:p>
    <w:p>
      <w:pPr>
        <w:keepNext w:val="0"/>
        <w:spacing w:after="100" w:line="259" w:lineRule="auto"/>
      </w:pPr>
      <w:r>
        <w:rPr>
          <w:rFonts w:ascii="Arial" w:hAnsi="Arial"/>
          <w:b/>
          <w:i w:val="0"/>
          <w:color w:val="215F52"/>
          <w:sz w:val="22"/>
        </w:rPr>
        <w:t>Contents</w:t>
      </w:r>
    </w:p>
    <w:p>
      <w:pPr>
        <w:spacing w:after="60"/>
      </w:pPr>
      <w:hyperlink w:anchor="sec_01">
        <w:r>
          <w:rPr>
            <w:color w:val="215F52"/>
          </w:rPr>
          <w:t>01  Origin, mandate and migration route</w:t>
        </w:r>
      </w:hyperlink>
    </w:p>
    <w:p>
      <w:pPr>
        <w:spacing w:after="60"/>
      </w:pPr>
      <w:hyperlink w:anchor="sec_02">
        <w:r>
          <w:rPr>
            <w:color w:val="215F52"/>
          </w:rPr>
          <w:t>02  Spatial, temporal and measurand crosswalk</w:t>
        </w:r>
      </w:hyperlink>
    </w:p>
    <w:p>
      <w:pPr>
        <w:spacing w:after="60"/>
      </w:pPr>
      <w:hyperlink w:anchor="sec_03">
        <w:r>
          <w:rPr>
            <w:color w:val="215F52"/>
          </w:rPr>
          <w:t>03  Method and formula correspondence</w:t>
        </w:r>
      </w:hyperlink>
    </w:p>
    <w:p>
      <w:pPr>
        <w:spacing w:after="60"/>
      </w:pPr>
      <w:hyperlink w:anchor="sec_04">
        <w:r>
          <w:rPr>
            <w:color w:val="215F52"/>
          </w:rPr>
          <w:t>04  Original, harmonized and receiving quantities</w:t>
        </w:r>
      </w:hyperlink>
    </w:p>
    <w:p>
      <w:pPr>
        <w:spacing w:after="60"/>
      </w:pPr>
      <w:hyperlink w:anchor="sec_05">
        <w:r>
          <w:rPr>
            <w:color w:val="215F52"/>
          </w:rPr>
          <w:t>05  Historical claim status and continuing obligations</w:t>
        </w:r>
      </w:hyperlink>
    </w:p>
    <w:p>
      <w:pPr>
        <w:spacing w:after="60"/>
      </w:pPr>
      <w:hyperlink w:anchor="sec_06">
        <w:r>
          <w:rPr>
            <w:color w:val="215F52"/>
          </w:rPr>
          <w:t>06  Forecast, monitored and verified records</w:t>
        </w:r>
      </w:hyperlink>
    </w:p>
    <w:p>
      <w:pPr>
        <w:spacing w:after="60"/>
      </w:pPr>
      <w:hyperlink w:anchor="sec_07">
        <w:r>
          <w:rPr>
            <w:color w:val="215F52"/>
          </w:rPr>
          <w:t>07  Additionality, overlap and safeguard continuity</w:t>
        </w:r>
      </w:hyperlink>
    </w:p>
    <w:p>
      <w:pPr>
        <w:spacing w:after="60"/>
      </w:pPr>
      <w:hyperlink w:anchor="sec_08">
        <w:r>
          <w:rPr>
            <w:color w:val="215F52"/>
          </w:rPr>
          <w:t>08  Receiving decision and monitoring handover</w:t>
        </w:r>
      </w:hyperlink>
    </w:p>
    <w:p>
      <w:pPr>
        <w:spacing w:after="80"/>
      </w:pPr>
      <w:hyperlink w:anchor="calc_register" w:history="1">
        <w:r>
          <w:rPr>
            <w:color w:val="215F52"/>
          </w:rPr>
          <w:t>CALC  Calculation traceability and notation</w:t>
        </w:r>
      </w:hyperlink>
    </w:p>
    <w:p>
      <w:bookmarkStart w:id="3001" w:name="sec_01"/>
      <w:pPr>
        <w:pStyle w:val="Heading1"/>
        <w:keepNext/>
        <w:pageBreakBefore/>
      </w:pPr>
      <w:r>
        <w:t>01  Origin, mandate and migration route</w:t>
      </w:r>
      <w:bookmarkEnd w:id="3001"/>
    </w:p>
    <w:p>
      <w:pPr>
        <w:spacing w:after="120"/>
      </w:pPr>
      <w:r>
        <w:rPr>
          <w:rFonts w:ascii="Lato" w:hAnsi="Lato"/>
          <w:b w:val="0"/>
          <w:color w:val="62716E"/>
          <w:sz w:val="16"/>
        </w:rPr>
        <w:t>[1] Basis: MIG-01; MIG-02; MIG-03; S-21; S-25; FRM-04; FRM-07</w:t>
      </w:r>
    </w:p>
    <w:p>
      <w:pPr>
        <w:pStyle w:val="Heading2"/>
        <w:keepNext/>
      </w:pPr>
      <w:r>
        <w:t>Original record identity</w:t>
      </w:r>
    </w:p>
    <w:tbl>
      <w:tblPr>
        <w:tblW w:type="auto" w:w="0"/>
        <w:jc w:val="center"/>
        <w:tblLayout w:type="fixed"/>
        <w:tblLook w:firstColumn="1" w:firstRow="1" w:lastColumn="0" w:lastRow="0" w:noHBand="0" w:noVBand="1" w:val="04A0"/>
      </w:tblPr>
      <w:tblGrid>
        <w:gridCol w:w="3250"/>
        <w:gridCol w:w="3250"/>
        <w:gridCol w:w="3250"/>
      </w:tblGrid>
      <w:tr>
        <w:trPr>
          <w:tblHeader/>
        </w:trPr>
        <w:tc>
          <w:tcPr>
            <w:tcW w:type="dxa" w:w="3250"/>
            <w:shd w:fill="215F52"/>
            <w:tcMar>
              <w:top w:w="90" w:type="dxa"/>
              <w:bottom w:w="90" w:type="dxa"/>
              <w:left w:w="100" w:type="dxa"/>
              <w:right w:w="100" w:type="dxa"/>
            </w:tcMar>
            <w:vAlign w:val="center"/>
          </w:tcPr>
          <w:p>
            <w:r>
              <w:rPr>
                <w:rFonts w:ascii="Lato" w:hAnsi="Lato"/>
                <w:b/>
                <w:color w:val="FFFFFF"/>
                <w:sz w:val="17"/>
              </w:rPr>
              <w:t>Program / project / methodology version</w:t>
            </w:r>
          </w:p>
        </w:tc>
        <w:tc>
          <w:tcPr>
            <w:tcW w:type="dxa" w:w="3250"/>
            <w:shd w:fill="215F52"/>
            <w:tcMar>
              <w:top w:w="90" w:type="dxa"/>
              <w:bottom w:w="90" w:type="dxa"/>
              <w:left w:w="100" w:type="dxa"/>
              <w:right w:w="100" w:type="dxa"/>
            </w:tcMar>
            <w:vAlign w:val="center"/>
          </w:tcPr>
          <w:p>
            <w:r>
              <w:rPr>
                <w:rFonts w:ascii="Lato" w:hAnsi="Lato"/>
                <w:b/>
                <w:color w:val="FFFFFF"/>
                <w:sz w:val="17"/>
              </w:rPr>
              <w:t>Original document, workbook and date</w:t>
            </w:r>
          </w:p>
        </w:tc>
        <w:tc>
          <w:tcPr>
            <w:tcW w:type="dxa" w:w="3250"/>
            <w:shd w:fill="215F52"/>
            <w:tcMar>
              <w:top w:w="90" w:type="dxa"/>
              <w:bottom w:w="90" w:type="dxa"/>
              <w:left w:w="100" w:type="dxa"/>
              <w:right w:w="100" w:type="dxa"/>
            </w:tcMar>
            <w:vAlign w:val="center"/>
          </w:tcPr>
          <w:p>
            <w:r>
              <w:rPr>
                <w:rFonts w:ascii="Lato" w:hAnsi="Lato"/>
                <w:b/>
                <w:color w:val="FFFFFF"/>
                <w:sz w:val="17"/>
              </w:rPr>
              <w:t>Authority, right of use and status</w:t>
            </w:r>
          </w:p>
        </w:tc>
      </w:tr>
      <w:tr>
        <w:trPr>
          <w:trHeight w:val="510"/>
        </w:trPr>
        <w:tc>
          <w:tcPr>
            <w:tcW w:type="dxa" w:w="3250"/>
            <w:tcMar>
              <w:top w:w="90" w:type="dxa"/>
              <w:bottom w:w="90" w:type="dxa"/>
              <w:left w:w="100" w:type="dxa"/>
              <w:right w:w="100" w:type="dxa"/>
            </w:tcMar>
            <w:shd w:fill="F1F5F2"/>
          </w:tcPr>
          <w:p>
            <w:pPr>
              <w:spacing w:after="20"/>
            </w:pPr>
            <w:sdt>
              <w:sdtPr>
                <w:alias w:val="sec_01-0-EN-1-1"/>
                <w:tag w:val="sec_01-0-EN-1-1"/>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01-0-EN-1-2"/>
                <w:tag w:val="sec_01-0-EN-1-2"/>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01-0-EN-1-3"/>
                <w:tag w:val="sec_01-0-EN-1-3"/>
                <w:text/>
              </w:sdtPr>
              <w:sdtContent>
                <w:r>
                  <w:rPr>
                    <w:rFonts w:ascii="Lato" w:hAnsi="Lato"/>
                    <w:sz w:val="18"/>
                    <w:color w:val="62716E"/>
                  </w:rPr>
                  <w:t>[Complete]</w:t>
                </w:r>
              </w:sdtContent>
            </w:sdt>
          </w:p>
        </w:tc>
      </w:tr>
      <w:tr>
        <w:trPr>
          <w:trHeight w:val="510"/>
        </w:trPr>
        <w:tc>
          <w:tcPr>
            <w:tcW w:type="dxa" w:w="3250"/>
            <w:tcMar>
              <w:top w:w="90" w:type="dxa"/>
              <w:bottom w:w="90" w:type="dxa"/>
              <w:left w:w="100" w:type="dxa"/>
              <w:right w:w="100" w:type="dxa"/>
            </w:tcMar>
            <w:shd w:fill="FFFFFF"/>
          </w:tcPr>
          <w:p>
            <w:pPr>
              <w:spacing w:after="20"/>
            </w:pPr>
            <w:sdt>
              <w:sdtPr>
                <w:alias w:val="sec_01-0-EN-2-1"/>
                <w:tag w:val="sec_01-0-EN-2-1"/>
                <w:text/>
              </w:sdtPr>
              <w:sdtContent>
                <w:r>
                  <w:rPr>
                    <w:rFonts w:ascii="Lato" w:hAnsi="Lato"/>
                    <w:sz w:val="18"/>
                    <w:color w:val="62716E"/>
                  </w:rPr>
                  <w:t>[Complete]</w:t>
                </w:r>
              </w:sdtContent>
            </w:sdt>
          </w:p>
        </w:tc>
        <w:tc>
          <w:tcPr>
            <w:tcW w:type="dxa" w:w="3250"/>
            <w:tcMar>
              <w:top w:w="90" w:type="dxa"/>
              <w:bottom w:w="90" w:type="dxa"/>
              <w:left w:w="100" w:type="dxa"/>
              <w:right w:w="100" w:type="dxa"/>
            </w:tcMar>
            <w:shd w:fill="FFFFFF"/>
          </w:tcPr>
          <w:p>
            <w:pPr>
              <w:spacing w:after="20"/>
            </w:pPr>
            <w:sdt>
              <w:sdtPr>
                <w:alias w:val="sec_01-0-EN-2-2"/>
                <w:tag w:val="sec_01-0-EN-2-2"/>
                <w:text/>
              </w:sdtPr>
              <w:sdtContent>
                <w:r>
                  <w:rPr>
                    <w:rFonts w:ascii="Lato" w:hAnsi="Lato"/>
                    <w:sz w:val="18"/>
                    <w:color w:val="62716E"/>
                  </w:rPr>
                  <w:t>[Complete]</w:t>
                </w:r>
              </w:sdtContent>
            </w:sdt>
          </w:p>
        </w:tc>
        <w:tc>
          <w:tcPr>
            <w:tcW w:type="dxa" w:w="3250"/>
            <w:tcMar>
              <w:top w:w="90" w:type="dxa"/>
              <w:bottom w:w="90" w:type="dxa"/>
              <w:left w:w="100" w:type="dxa"/>
              <w:right w:w="100" w:type="dxa"/>
            </w:tcMar>
            <w:shd w:fill="FFFFFF"/>
          </w:tcPr>
          <w:p>
            <w:pPr>
              <w:spacing w:after="20"/>
            </w:pPr>
            <w:sdt>
              <w:sdtPr>
                <w:alias w:val="sec_01-0-EN-2-3"/>
                <w:tag w:val="sec_01-0-EN-2-3"/>
                <w:text/>
              </w:sdtPr>
              <w:sdtContent>
                <w:r>
                  <w:rPr>
                    <w:rFonts w:ascii="Lato" w:hAnsi="Lato"/>
                    <w:sz w:val="18"/>
                    <w:color w:val="62716E"/>
                  </w:rPr>
                  <w:t>[Complete]</w:t>
                </w:r>
              </w:sdtContent>
            </w:sdt>
          </w:p>
        </w:tc>
      </w:tr>
      <w:tr>
        <w:trPr>
          <w:trHeight w:val="510"/>
        </w:trPr>
        <w:tc>
          <w:tcPr>
            <w:tcW w:type="dxa" w:w="3250"/>
            <w:tcMar>
              <w:top w:w="90" w:type="dxa"/>
              <w:bottom w:w="90" w:type="dxa"/>
              <w:left w:w="100" w:type="dxa"/>
              <w:right w:w="100" w:type="dxa"/>
            </w:tcMar>
            <w:shd w:fill="F1F5F2"/>
          </w:tcPr>
          <w:p>
            <w:pPr>
              <w:spacing w:after="20"/>
            </w:pPr>
            <w:sdt>
              <w:sdtPr>
                <w:alias w:val="sec_01-0-EN-3-1"/>
                <w:tag w:val="sec_01-0-EN-3-1"/>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01-0-EN-3-2"/>
                <w:tag w:val="sec_01-0-EN-3-2"/>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01-0-EN-3-3"/>
                <w:tag w:val="sec_01-0-EN-3-3"/>
                <w:text/>
              </w:sdtPr>
              <w:sdtContent>
                <w:r>
                  <w:rPr>
                    <w:rFonts w:ascii="Lato" w:hAnsi="Lato"/>
                    <w:sz w:val="18"/>
                    <w:color w:val="62716E"/>
                  </w:rPr>
                  <w:t>[Complete]</w:t>
                </w:r>
              </w:sdtContent>
            </w:sdt>
          </w:p>
        </w:tc>
      </w:tr>
    </w:tbl>
    <w:p>
      <w:pPr>
        <w:spacing w:after="0"/>
      </w:pPr>
    </w:p>
    <w:p>
      <w:pPr>
        <w:pStyle w:val="Heading2"/>
        <w:keepNext/>
      </w:pPr>
      <w:r>
        <w:t>Requested change</w:t>
      </w:r>
    </w:p>
    <w:p>
      <w:pPr>
        <w:spacing w:after="80"/>
      </w:pPr>
      <w:r>
        <w:rPr>
          <w:rFonts w:ascii="Lato" w:hAnsi="Lato"/>
          <w:b w:val="0"/>
          <w:color w:val="62716E"/>
          <w:sz w:val="18"/>
        </w:rPr>
        <w:t>Distinguish project transfer, methodology change, historical-data reuse, reassessment of an unissued outcome and treatment of already issued other external carbon units. Identify exact responsibility, rights, original restrictions and the requested NEBIOT decision.</w:t>
      </w:r>
    </w:p>
    <w:tbl>
      <w:tblPr>
        <w:tblW w:type="auto" w:w="0"/>
        <w:tblLayout w:type="fixed"/>
        <w:tblLook w:firstColumn="1" w:firstRow="1" w:lastColumn="0" w:lastRow="0" w:noHBand="0" w:noVBand="1" w:val="04A0"/>
      </w:tblPr>
      <w:tblGrid>
        <w:gridCol w:w="9751"/>
      </w:tblGrid>
      <w:tr>
        <w:trPr>
          <w:trHeight w:val="964"/>
        </w:trPr>
        <w:tc>
          <w:tcPr>
            <w:tcW w:type="dxa" w:w="9746"/>
            <w:shd w:fill="F1F5F2"/>
            <w:tcMar>
              <w:top w:w="90" w:type="dxa"/>
              <w:bottom w:w="90" w:type="dxa"/>
              <w:left w:w="100" w:type="dxa"/>
              <w:right w:w="100" w:type="dxa"/>
            </w:tcMar>
          </w:tcPr>
          <w:p>
            <w:pPr>
              <w:spacing w:after="20"/>
            </w:pPr>
            <w:sdt>
              <w:sdtPr>
                <w:alias w:val="sec_01-1-EN"/>
                <w:tag w:val="sec_01-1-EN"/>
                <w:text/>
              </w:sdtPr>
              <w:sdtContent>
                <w:r>
                  <w:rPr>
                    <w:rFonts w:ascii="Lato" w:hAnsi="Lato"/>
                    <w:sz w:val="18"/>
                    <w:color w:val="62716E"/>
                  </w:rPr>
                  <w:t>[Enter response and exact evidence references.]</w:t>
                </w:r>
              </w:sdtContent>
            </w:sdt>
          </w:p>
        </w:tc>
      </w:tr>
    </w:tbl>
    <w:p>
      <w:pPr>
        <w:spacing w:after="20" w:before="0" w:line="96" w:lineRule="auto"/>
      </w:pPr>
    </w:p>
    <w:p>
      <w:pPr>
        <w:pStyle w:val="Heading2"/>
        <w:keepNext/>
      </w:pPr>
      <w:r>
        <w:t>Dates and scope</w:t>
      </w:r>
    </w:p>
    <w:tbl>
      <w:tblPr>
        <w:tblW w:type="auto" w:w="0"/>
        <w:jc w:val="center"/>
        <w:tblLayout w:type="fixed"/>
        <w:tblLook w:firstColumn="1" w:firstRow="1" w:lastColumn="0" w:lastRow="0" w:noHBand="0" w:noVBand="1" w:val="04A0"/>
      </w:tblPr>
      <w:tblGrid>
        <w:gridCol w:w="3250"/>
        <w:gridCol w:w="3250"/>
        <w:gridCol w:w="3250"/>
      </w:tblGrid>
      <w:tr>
        <w:trPr>
          <w:tblHeader/>
        </w:trPr>
        <w:tc>
          <w:tcPr>
            <w:tcW w:type="dxa" w:w="3250"/>
            <w:shd w:fill="215F52"/>
            <w:tcMar>
              <w:top w:w="90" w:type="dxa"/>
              <w:bottom w:w="90" w:type="dxa"/>
              <w:left w:w="100" w:type="dxa"/>
              <w:right w:w="100" w:type="dxa"/>
            </w:tcMar>
            <w:vAlign w:val="center"/>
          </w:tcPr>
          <w:p>
            <w:r>
              <w:rPr>
                <w:rFonts w:ascii="Lato" w:hAnsi="Lato"/>
                <w:b/>
                <w:color w:val="FFFFFF"/>
                <w:sz w:val="17"/>
              </w:rPr>
              <w:t>Original start / reporting history</w:t>
            </w:r>
          </w:p>
        </w:tc>
        <w:tc>
          <w:tcPr>
            <w:tcW w:type="dxa" w:w="3250"/>
            <w:shd w:fill="215F52"/>
            <w:tcMar>
              <w:top w:w="90" w:type="dxa"/>
              <w:bottom w:w="90" w:type="dxa"/>
              <w:left w:w="100" w:type="dxa"/>
              <w:right w:w="100" w:type="dxa"/>
            </w:tcMar>
            <w:vAlign w:val="center"/>
          </w:tcPr>
          <w:p>
            <w:r>
              <w:rPr>
                <w:rFonts w:ascii="Lato" w:hAnsi="Lato"/>
                <w:b/>
                <w:color w:val="FFFFFF"/>
                <w:sz w:val="17"/>
              </w:rPr>
              <w:t>Transition date and historical eligibility</w:t>
            </w:r>
          </w:p>
        </w:tc>
        <w:tc>
          <w:tcPr>
            <w:tcW w:type="dxa" w:w="3250"/>
            <w:shd w:fill="215F52"/>
            <w:tcMar>
              <w:top w:w="90" w:type="dxa"/>
              <w:bottom w:w="90" w:type="dxa"/>
              <w:left w:w="100" w:type="dxa"/>
              <w:right w:w="100" w:type="dxa"/>
            </w:tcMar>
            <w:vAlign w:val="center"/>
          </w:tcPr>
          <w:p>
            <w:r>
              <w:rPr>
                <w:rFonts w:ascii="Lato" w:hAnsi="Lato"/>
                <w:b/>
                <w:color w:val="FFFFFF"/>
                <w:sz w:val="17"/>
              </w:rPr>
              <w:t>Future monitoring scope / unresolved restriction</w:t>
            </w:r>
          </w:p>
        </w:tc>
      </w:tr>
      <w:tr>
        <w:trPr>
          <w:trHeight w:val="510"/>
        </w:trPr>
        <w:tc>
          <w:tcPr>
            <w:tcW w:type="dxa" w:w="3250"/>
            <w:tcMar>
              <w:top w:w="90" w:type="dxa"/>
              <w:bottom w:w="90" w:type="dxa"/>
              <w:left w:w="100" w:type="dxa"/>
              <w:right w:w="100" w:type="dxa"/>
            </w:tcMar>
            <w:shd w:fill="F1F5F2"/>
          </w:tcPr>
          <w:p>
            <w:pPr>
              <w:spacing w:after="20"/>
            </w:pPr>
            <w:sdt>
              <w:sdtPr>
                <w:alias w:val="sec_01-2-EN-1-1"/>
                <w:tag w:val="sec_01-2-EN-1-1"/>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01-2-EN-1-2"/>
                <w:tag w:val="sec_01-2-EN-1-2"/>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01-2-EN-1-3"/>
                <w:tag w:val="sec_01-2-EN-1-3"/>
                <w:text/>
              </w:sdtPr>
              <w:sdtContent>
                <w:r>
                  <w:rPr>
                    <w:rFonts w:ascii="Lato" w:hAnsi="Lato"/>
                    <w:sz w:val="18"/>
                    <w:color w:val="62716E"/>
                  </w:rPr>
                  <w:t>[Complete]</w:t>
                </w:r>
              </w:sdtContent>
            </w:sdt>
          </w:p>
        </w:tc>
      </w:tr>
      <w:tr>
        <w:trPr>
          <w:trHeight w:val="510"/>
        </w:trPr>
        <w:tc>
          <w:tcPr>
            <w:tcW w:type="dxa" w:w="3250"/>
            <w:tcMar>
              <w:top w:w="90" w:type="dxa"/>
              <w:bottom w:w="90" w:type="dxa"/>
              <w:left w:w="100" w:type="dxa"/>
              <w:right w:w="100" w:type="dxa"/>
            </w:tcMar>
            <w:shd w:fill="FFFFFF"/>
          </w:tcPr>
          <w:p>
            <w:pPr>
              <w:spacing w:after="20"/>
            </w:pPr>
            <w:sdt>
              <w:sdtPr>
                <w:alias w:val="sec_01-2-EN-2-1"/>
                <w:tag w:val="sec_01-2-EN-2-1"/>
                <w:text/>
              </w:sdtPr>
              <w:sdtContent>
                <w:r>
                  <w:rPr>
                    <w:rFonts w:ascii="Lato" w:hAnsi="Lato"/>
                    <w:sz w:val="18"/>
                    <w:color w:val="62716E"/>
                  </w:rPr>
                  <w:t>[Complete]</w:t>
                </w:r>
              </w:sdtContent>
            </w:sdt>
          </w:p>
        </w:tc>
        <w:tc>
          <w:tcPr>
            <w:tcW w:type="dxa" w:w="3250"/>
            <w:tcMar>
              <w:top w:w="90" w:type="dxa"/>
              <w:bottom w:w="90" w:type="dxa"/>
              <w:left w:w="100" w:type="dxa"/>
              <w:right w:w="100" w:type="dxa"/>
            </w:tcMar>
            <w:shd w:fill="FFFFFF"/>
          </w:tcPr>
          <w:p>
            <w:pPr>
              <w:spacing w:after="20"/>
            </w:pPr>
            <w:sdt>
              <w:sdtPr>
                <w:alias w:val="sec_01-2-EN-2-2"/>
                <w:tag w:val="sec_01-2-EN-2-2"/>
                <w:text/>
              </w:sdtPr>
              <w:sdtContent>
                <w:r>
                  <w:rPr>
                    <w:rFonts w:ascii="Lato" w:hAnsi="Lato"/>
                    <w:sz w:val="18"/>
                    <w:color w:val="62716E"/>
                  </w:rPr>
                  <w:t>[Complete]</w:t>
                </w:r>
              </w:sdtContent>
            </w:sdt>
          </w:p>
        </w:tc>
        <w:tc>
          <w:tcPr>
            <w:tcW w:type="dxa" w:w="3250"/>
            <w:tcMar>
              <w:top w:w="90" w:type="dxa"/>
              <w:bottom w:w="90" w:type="dxa"/>
              <w:left w:w="100" w:type="dxa"/>
              <w:right w:w="100" w:type="dxa"/>
            </w:tcMar>
            <w:shd w:fill="FFFFFF"/>
          </w:tcPr>
          <w:p>
            <w:pPr>
              <w:spacing w:after="20"/>
            </w:pPr>
            <w:sdt>
              <w:sdtPr>
                <w:alias w:val="sec_01-2-EN-2-3"/>
                <w:tag w:val="sec_01-2-EN-2-3"/>
                <w:text/>
              </w:sdtPr>
              <w:sdtContent>
                <w:r>
                  <w:rPr>
                    <w:rFonts w:ascii="Lato" w:hAnsi="Lato"/>
                    <w:sz w:val="18"/>
                    <w:color w:val="62716E"/>
                  </w:rPr>
                  <w:t>[Complete]</w:t>
                </w:r>
              </w:sdtContent>
            </w:sdt>
          </w:p>
        </w:tc>
      </w:tr>
      <w:tr>
        <w:trPr>
          <w:trHeight w:val="510"/>
        </w:trPr>
        <w:tc>
          <w:tcPr>
            <w:tcW w:type="dxa" w:w="3250"/>
            <w:tcMar>
              <w:top w:w="90" w:type="dxa"/>
              <w:bottom w:w="90" w:type="dxa"/>
              <w:left w:w="100" w:type="dxa"/>
              <w:right w:w="100" w:type="dxa"/>
            </w:tcMar>
            <w:shd w:fill="F1F5F2"/>
          </w:tcPr>
          <w:p>
            <w:pPr>
              <w:spacing w:after="20"/>
            </w:pPr>
            <w:sdt>
              <w:sdtPr>
                <w:alias w:val="sec_01-2-EN-3-1"/>
                <w:tag w:val="sec_01-2-EN-3-1"/>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01-2-EN-3-2"/>
                <w:tag w:val="sec_01-2-EN-3-2"/>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01-2-EN-3-3"/>
                <w:tag w:val="sec_01-2-EN-3-3"/>
                <w:text/>
              </w:sdtPr>
              <w:sdtContent>
                <w:r>
                  <w:rPr>
                    <w:rFonts w:ascii="Lato" w:hAnsi="Lato"/>
                    <w:sz w:val="18"/>
                    <w:color w:val="62716E"/>
                  </w:rPr>
                  <w:t>[Complete]</w:t>
                </w:r>
              </w:sdtContent>
            </w:sdt>
          </w:p>
        </w:tc>
      </w:tr>
    </w:tbl>
    <w:p>
      <w:pPr>
        <w:spacing w:after="0"/>
      </w:pPr>
    </w:p>
    <w:p>
      <w:bookmarkStart w:id="3002" w:name="sec_02"/>
      <w:pPr>
        <w:pStyle w:val="Heading1"/>
        <w:keepNext/>
        <w:pageBreakBefore/>
      </w:pPr>
      <w:r>
        <w:t>02  Spatial, temporal and measurand crosswalk</w:t>
      </w:r>
      <w:bookmarkEnd w:id="3002"/>
    </w:p>
    <w:p>
      <w:pPr>
        <w:spacing w:after="120"/>
      </w:pPr>
      <w:r>
        <w:rPr>
          <w:rFonts w:ascii="Lato" w:hAnsi="Lato"/>
          <w:b w:val="0"/>
          <w:color w:val="62716E"/>
          <w:sz w:val="16"/>
        </w:rPr>
        <w:t>[1] Basis: MIG-03; MIG-04; MIG-13; MIG-14; P-13; AO-09</w:t>
      </w:r>
    </w:p>
    <w:p>
      <w:pPr>
        <w:pStyle w:val="Heading2"/>
        <w:keepNext/>
      </w:pPr>
      <w:r>
        <w:t>Compatibility matrix</w:t>
      </w:r>
    </w:p>
    <w:p>
      <w:pPr>
        <w:keepNext/>
        <w:spacing w:before="40" w:after="60"/>
      </w:pPr>
      <w:r>
        <w:rPr>
          <w:rFonts w:ascii="Lato" w:hAnsi="Lato"/>
          <w:color w:val="315B50"/>
          <w:sz w:val="18"/>
        </w:rPr>
        <w:t>MIGRATION-RECONCILIATION-T05 / Calculation notation</w:t>
      </w:r>
    </w:p>
    <w:p>
      <w:pPr>
        <w:keepNext/>
        <w:spacing w:before="40" w:after="60"/>
      </w:pPr>
      <m:oMath>
        <m:sSub>
          <m:e>
            <m:r>
              <w:rPr>
                <w:sz w:val="18"/>
              </w:rPr>
              <m:t>x</m:t>
            </m:r>
          </m:e>
          <m:sub>
            <m:r>
              <w:rPr>
                <w:sz w:val="18"/>
              </w:rPr>
              <m:rPr>
                <m:sty m:val="p"/>
              </m:rPr>
              <m:t>ℓ</m:t>
            </m:r>
          </m:sub>
        </m:sSub>
        <m:r>
          <w:rPr>
            <w:sz w:val="18"/>
          </w:rPr>
          <m:t> </m:t>
        </m:r>
        <m:d>
          <m:dPr>
            <m:begChr m:val="["/>
            <m:endChr m:val="]"/>
            <m:sepChr m:val=""/>
            <m:grow/>
          </m:dPr>
          <m:e>
            <m:sSub>
              <m:e>
                <m:r>
                  <w:rPr>
                    <w:sz w:val="18"/>
                  </w:rPr>
                  <m:t>u</m:t>
                </m:r>
              </m:e>
              <m:sub>
                <m:r>
                  <w:rPr>
                    <w:sz w:val="18"/>
                  </w:rPr>
                  <m:rPr>
                    <m:sty m:val="p"/>
                  </m:rPr>
                  <m:t>ℓ</m:t>
                </m:r>
              </m:sub>
            </m:sSub>
          </m:e>
        </m:d>
      </m:oMath>
    </w:p>
    <w:p>
      <w:pPr>
        <w:keepNext/>
        <w:spacing w:before="40" w:after="60"/>
      </w:pPr>
      <w:r>
        <w:rPr>
          <w:rFonts w:ascii="Lato" w:hAnsi="Lato"/>
          <w:color w:val="315B50"/>
          <w:sz w:val="16"/>
        </w:rPr>
        <w:t>x_l is the identified observation, input, or output; u_l is its declared unit. Record the exact equation and source file, worksheet, cell/range, period, and status. This notation does not prescribe an estimator.</w:t>
      </w:r>
    </w:p>
    <w:p>
      <w:pPr>
        <w:keepNext/>
        <w:spacing w:before="40" w:after="60"/>
      </w:pPr>
      <w:r>
        <w:rPr>
          <w:rFonts w:ascii="Lato" w:hAnsi="Lato"/>
          <w:color w:val="315B50"/>
          <w:sz w:val="14"/>
        </w:rPr>
        <w:t>Basis: F-01; T-01 | Workbook: Evidence!A:J; Components!F:L</w:t>
      </w:r>
    </w:p>
    <w:tbl>
      <w:tblPr>
        <w:tblW w:type="auto" w:w="0"/>
        <w:jc w:val="center"/>
        <w:tblLayout w:type="fixed"/>
        <w:tblLook w:firstColumn="1" w:firstRow="1" w:lastColumn="0" w:lastRow="0" w:noHBand="0" w:noVBand="1" w:val="04A0"/>
      </w:tblPr>
      <w:tblGrid>
        <w:gridCol w:w="3250"/>
        <w:gridCol w:w="3250"/>
        <w:gridCol w:w="3250"/>
      </w:tblGrid>
      <w:tr>
        <w:trPr>
          <w:tblHeader/>
        </w:trPr>
        <w:tc>
          <w:tcPr>
            <w:tcW w:type="dxa" w:w="3250"/>
            <w:tcMar>
              <w:top w:w="90" w:type="dxa"/>
              <w:bottom w:w="90" w:type="dxa"/>
              <w:left w:w="100" w:type="dxa"/>
              <w:right w:w="100" w:type="dxa"/>
            </w:tcMar>
            <w:vAlign w:val="center"/>
            <w:shd w:fill="E6F0EB"/>
          </w:tcPr>
          <w:p>
            <w:r>
              <w:rPr>
                <w:rFonts w:ascii="Lato" w:hAnsi="Lato"/>
                <w:b/>
                <w:color w:val="173E34"/>
                <w:sz w:val="17"/>
              </w:rPr>
              <w:t>Dimension / original definition</w:t>
            </w:r>
          </w:p>
          <w:p>
            <w:pPr>
              <w:spacing w:before="40" w:after="40"/>
            </w:pPr>
            <m:oMath>
              <m:sSub>
                <m:e>
                  <m:r>
                    <w:rPr>
                      <w:sz w:val="16"/>
                      <w:color w:val="173E34"/>
                    </w:rPr>
                    <m:t>x</m:t>
                  </m:r>
                </m:e>
                <m:sub>
                  <m:r>
                    <w:rPr>
                      <w:sz w:val="16"/>
                      <w:color w:val="173E34"/>
                    </w:rPr>
                    <m:rPr>
                      <m:sty m:val="p"/>
                    </m:rPr>
                    <m:t>ℓ</m:t>
                  </m:r>
                </m:sub>
              </m:sSub>
            </m:oMath>
          </w:p>
        </w:tc>
        <w:tc>
          <w:tcPr>
            <w:tcW w:type="dxa" w:w="3250"/>
            <w:tcMar>
              <w:top w:w="90" w:type="dxa"/>
              <w:bottom w:w="90" w:type="dxa"/>
              <w:left w:w="100" w:type="dxa"/>
              <w:right w:w="100" w:type="dxa"/>
            </w:tcMar>
            <w:vAlign w:val="center"/>
            <w:shd w:fill="E6F0EB"/>
          </w:tcPr>
          <w:p>
            <w:r>
              <w:rPr>
                <w:rFonts w:ascii="Lato" w:hAnsi="Lato"/>
                <w:b/>
                <w:color w:val="173E34"/>
                <w:sz w:val="17"/>
              </w:rPr>
              <w:t>Receiving definition / difference</w:t>
            </w:r>
          </w:p>
          <w:p>
            <w:pPr>
              <w:spacing w:before="40" w:after="40"/>
            </w:pPr>
            <m:oMath>
              <m:sSub>
                <m:e>
                  <m:r>
                    <w:rPr>
                      <w:sz w:val="16"/>
                      <w:color w:val="173E34"/>
                    </w:rPr>
                    <m:t>u</m:t>
                  </m:r>
                </m:e>
                <m:sub>
                  <m:r>
                    <w:rPr>
                      <w:sz w:val="16"/>
                      <w:color w:val="173E34"/>
                    </w:rPr>
                    <m:rPr>
                      <m:sty m:val="p"/>
                    </m:rPr>
                    <m:t>ℓ</m:t>
                  </m:r>
                </m:sub>
              </m:sSub>
              <m:r>
                <w:rPr>
                  <w:sz w:val="16"/>
                  <w:color w:val="173E34"/>
                </w:rPr>
                <m:rPr>
                  <m:sty m:val="p"/>
                </m:rPr>
                <m:t>,</m:t>
              </m:r>
              <m:r>
                <w:rPr>
                  <w:sz w:val="16"/>
                  <w:color w:val="173E34"/>
                </w:rPr>
                <m:t> </m:t>
              </m:r>
              <m:r>
                <w:rPr>
                  <w:sz w:val="16"/>
                  <w:color w:val="173E34"/>
                </w:rPr>
                <m:t>t</m:t>
              </m:r>
            </m:oMath>
          </w:p>
        </w:tc>
        <w:tc>
          <w:tcPr>
            <w:tcW w:type="dxa" w:w="3250"/>
            <w:tcMar>
              <w:top w:w="90" w:type="dxa"/>
              <w:bottom w:w="90" w:type="dxa"/>
              <w:left w:w="100" w:type="dxa"/>
              <w:right w:w="100" w:type="dxa"/>
            </w:tcMar>
            <w:vAlign w:val="center"/>
            <w:shd w:fill="E6F0EB"/>
          </w:tcPr>
          <w:p>
            <w:r>
              <w:rPr>
                <w:rFonts w:ascii="Lato" w:hAnsi="Lato"/>
                <w:b/>
                <w:color w:val="173E34"/>
                <w:sz w:val="17"/>
              </w:rPr>
              <w:t>Evidence / correction / accepted scope</w:t>
            </w:r>
          </w:p>
          <w:p>
            <w:pPr>
              <w:spacing w:before="40" w:after="40"/>
            </w:pPr>
            <m:oMath>
              <m:r>
                <w:rPr>
                  <w:sz w:val="16"/>
                  <w:color w:val="173E34"/>
                </w:rPr>
                <m:rPr>
                  <m:nor/>
                  <m:sty m:val="p"/>
                </m:rPr>
                <m:t>source</m:t>
              </m:r>
              <m:d>
                <m:dPr>
                  <m:begChr m:val="("/>
                  <m:endChr m:val=")"/>
                  <m:sepChr m:val=""/>
                  <m:grow/>
                </m:dPr>
                <m:e>
                  <m:sSub>
                    <m:e>
                      <m:r>
                        <w:rPr>
                          <w:sz w:val="16"/>
                          <w:color w:val="173E34"/>
                        </w:rPr>
                        <m:t>x</m:t>
                      </m:r>
                    </m:e>
                    <m:sub>
                      <m:r>
                        <w:rPr>
                          <w:sz w:val="16"/>
                          <w:color w:val="173E34"/>
                        </w:rPr>
                        <m:rPr>
                          <m:sty m:val="p"/>
                        </m:rPr>
                        <m:t>ℓ</m:t>
                      </m:r>
                    </m:sub>
                  </m:sSub>
                </m:e>
              </m:d>
            </m:oMath>
          </w:p>
        </w:tc>
      </w:tr>
      <w:tr>
        <w:trPr>
          <w:trHeight w:val="510"/>
        </w:trPr>
        <w:tc>
          <w:tcPr>
            <w:tcW w:type="dxa" w:w="3250"/>
            <w:tcMar>
              <w:top w:w="90" w:type="dxa"/>
              <w:bottom w:w="90" w:type="dxa"/>
              <w:left w:w="100" w:type="dxa"/>
              <w:right w:w="100" w:type="dxa"/>
            </w:tcMar>
            <w:shd w:fill="F1F5F2"/>
          </w:tcPr>
          <w:p>
            <w:pPr>
              <w:spacing w:after="20"/>
            </w:pPr>
            <w:sdt>
              <w:sdtPr>
                <w:alias w:val="sec_02-0-EN-1-1"/>
                <w:tag w:val="sec_02-0-EN-1-1"/>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02-0-EN-1-2"/>
                <w:tag w:val="sec_02-0-EN-1-2"/>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02-0-EN-1-3"/>
                <w:tag w:val="sec_02-0-EN-1-3"/>
                <w:text/>
              </w:sdtPr>
              <w:sdtContent>
                <w:r>
                  <w:rPr>
                    <w:rFonts w:ascii="Lato" w:hAnsi="Lato"/>
                    <w:sz w:val="18"/>
                    <w:color w:val="62716E"/>
                  </w:rPr>
                  <w:t>[Complete]</w:t>
                </w:r>
              </w:sdtContent>
            </w:sdt>
          </w:p>
        </w:tc>
      </w:tr>
      <w:tr>
        <w:trPr>
          <w:trHeight w:val="510"/>
        </w:trPr>
        <w:tc>
          <w:tcPr>
            <w:tcW w:type="dxa" w:w="3250"/>
            <w:tcMar>
              <w:top w:w="90" w:type="dxa"/>
              <w:bottom w:w="90" w:type="dxa"/>
              <w:left w:w="100" w:type="dxa"/>
              <w:right w:w="100" w:type="dxa"/>
            </w:tcMar>
            <w:shd w:fill="FFFFFF"/>
          </w:tcPr>
          <w:p>
            <w:pPr>
              <w:spacing w:after="20"/>
            </w:pPr>
            <w:sdt>
              <w:sdtPr>
                <w:alias w:val="sec_02-0-EN-2-1"/>
                <w:tag w:val="sec_02-0-EN-2-1"/>
                <w:text/>
              </w:sdtPr>
              <w:sdtContent>
                <w:r>
                  <w:rPr>
                    <w:rFonts w:ascii="Lato" w:hAnsi="Lato"/>
                    <w:sz w:val="18"/>
                    <w:color w:val="62716E"/>
                  </w:rPr>
                  <w:t>[Complete]</w:t>
                </w:r>
              </w:sdtContent>
            </w:sdt>
          </w:p>
        </w:tc>
        <w:tc>
          <w:tcPr>
            <w:tcW w:type="dxa" w:w="3250"/>
            <w:tcMar>
              <w:top w:w="90" w:type="dxa"/>
              <w:bottom w:w="90" w:type="dxa"/>
              <w:left w:w="100" w:type="dxa"/>
              <w:right w:w="100" w:type="dxa"/>
            </w:tcMar>
            <w:shd w:fill="FFFFFF"/>
          </w:tcPr>
          <w:p>
            <w:pPr>
              <w:spacing w:after="20"/>
            </w:pPr>
            <w:sdt>
              <w:sdtPr>
                <w:alias w:val="sec_02-0-EN-2-2"/>
                <w:tag w:val="sec_02-0-EN-2-2"/>
                <w:text/>
              </w:sdtPr>
              <w:sdtContent>
                <w:r>
                  <w:rPr>
                    <w:rFonts w:ascii="Lato" w:hAnsi="Lato"/>
                    <w:sz w:val="18"/>
                    <w:color w:val="62716E"/>
                  </w:rPr>
                  <w:t>[Complete]</w:t>
                </w:r>
              </w:sdtContent>
            </w:sdt>
          </w:p>
        </w:tc>
        <w:tc>
          <w:tcPr>
            <w:tcW w:type="dxa" w:w="3250"/>
            <w:tcMar>
              <w:top w:w="90" w:type="dxa"/>
              <w:bottom w:w="90" w:type="dxa"/>
              <w:left w:w="100" w:type="dxa"/>
              <w:right w:w="100" w:type="dxa"/>
            </w:tcMar>
            <w:shd w:fill="FFFFFF"/>
          </w:tcPr>
          <w:p>
            <w:pPr>
              <w:spacing w:after="20"/>
            </w:pPr>
            <w:sdt>
              <w:sdtPr>
                <w:alias w:val="sec_02-0-EN-2-3"/>
                <w:tag w:val="sec_02-0-EN-2-3"/>
                <w:text/>
              </w:sdtPr>
              <w:sdtContent>
                <w:r>
                  <w:rPr>
                    <w:rFonts w:ascii="Lato" w:hAnsi="Lato"/>
                    <w:sz w:val="18"/>
                    <w:color w:val="62716E"/>
                  </w:rPr>
                  <w:t>[Complete]</w:t>
                </w:r>
              </w:sdtContent>
            </w:sdt>
          </w:p>
        </w:tc>
      </w:tr>
      <w:tr>
        <w:trPr>
          <w:trHeight w:val="510"/>
        </w:trPr>
        <w:tc>
          <w:tcPr>
            <w:tcW w:type="dxa" w:w="3250"/>
            <w:tcMar>
              <w:top w:w="90" w:type="dxa"/>
              <w:bottom w:w="90" w:type="dxa"/>
              <w:left w:w="100" w:type="dxa"/>
              <w:right w:w="100" w:type="dxa"/>
            </w:tcMar>
            <w:shd w:fill="F1F5F2"/>
          </w:tcPr>
          <w:p>
            <w:pPr>
              <w:spacing w:after="20"/>
            </w:pPr>
            <w:sdt>
              <w:sdtPr>
                <w:alias w:val="sec_02-0-EN-3-1"/>
                <w:tag w:val="sec_02-0-EN-3-1"/>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02-0-EN-3-2"/>
                <w:tag w:val="sec_02-0-EN-3-2"/>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02-0-EN-3-3"/>
                <w:tag w:val="sec_02-0-EN-3-3"/>
                <w:text/>
              </w:sdtPr>
              <w:sdtContent>
                <w:r>
                  <w:rPr>
                    <w:rFonts w:ascii="Lato" w:hAnsi="Lato"/>
                    <w:sz w:val="18"/>
                    <w:color w:val="62716E"/>
                  </w:rPr>
                  <w:t>[Complete]</w:t>
                </w:r>
              </w:sdtContent>
            </w:sdt>
          </w:p>
        </w:tc>
      </w:tr>
    </w:tbl>
    <w:p>
      <w:pPr>
        <w:spacing w:after="0"/>
      </w:pPr>
    </w:p>
    <w:p>
      <w:pPr>
        <w:pStyle w:val="Heading2"/>
        <w:keepNext/>
      </w:pPr>
      <w:r>
        <w:t>Minimum matching dimensions</w:t>
      </w:r>
    </w:p>
    <w:p>
      <w:pPr>
        <w:spacing w:after="80"/>
      </w:pPr>
      <w:r>
        <w:rPr>
          <w:rFonts w:ascii="Lato" w:hAnsi="Lato"/>
          <w:b w:val="0"/>
          <w:color w:val="62716E"/>
          <w:sz w:val="18"/>
        </w:rPr>
        <w:t>Reconcile project and leakage boundaries, strata, forest/event definitions, observation dates, accounting periods, gas/GWP convention, pools, units, precision and source status. A label such as net emissions may describe different included deductions; identify the actual arithmetic before comparing totals.</w:t>
      </w:r>
    </w:p>
    <w:tbl>
      <w:tblPr>
        <w:tblW w:type="auto" w:w="0"/>
        <w:tblLayout w:type="fixed"/>
        <w:tblLook w:firstColumn="1" w:firstRow="1" w:lastColumn="0" w:lastRow="0" w:noHBand="0" w:noVBand="1" w:val="04A0"/>
      </w:tblPr>
      <w:tblGrid>
        <w:gridCol w:w="9751"/>
      </w:tblGrid>
      <w:tr>
        <w:trPr>
          <w:trHeight w:val="964"/>
        </w:trPr>
        <w:tc>
          <w:tcPr>
            <w:tcW w:type="dxa" w:w="9746"/>
            <w:shd w:fill="F1F5F2"/>
            <w:tcMar>
              <w:top w:w="90" w:type="dxa"/>
              <w:bottom w:w="90" w:type="dxa"/>
              <w:left w:w="100" w:type="dxa"/>
              <w:right w:w="100" w:type="dxa"/>
            </w:tcMar>
          </w:tcPr>
          <w:p>
            <w:pPr>
              <w:spacing w:after="20"/>
            </w:pPr>
            <w:sdt>
              <w:sdtPr>
                <w:alias w:val="sec_02-1-EN"/>
                <w:tag w:val="sec_02-1-EN"/>
                <w:text/>
              </w:sdtPr>
              <w:sdtContent>
                <w:r>
                  <w:rPr>
                    <w:rFonts w:ascii="Lato" w:hAnsi="Lato"/>
                    <w:sz w:val="18"/>
                    <w:color w:val="62716E"/>
                  </w:rPr>
                  <w:t>[Enter response and exact evidence references.]</w:t>
                </w:r>
              </w:sdtContent>
            </w:sdt>
          </w:p>
        </w:tc>
      </w:tr>
    </w:tbl>
    <w:p>
      <w:pPr>
        <w:spacing w:after="20" w:before="0" w:line="96" w:lineRule="auto"/>
      </w:pPr>
    </w:p>
    <w:p>
      <w:pPr>
        <w:pStyle w:val="Heading2"/>
        <w:keepNext/>
      </w:pPr>
      <w:r>
        <w:t>Qualified reuse decision</w:t>
      </w:r>
    </w:p>
    <w:p>
      <w:pPr>
        <w:keepNext/>
        <w:spacing w:before="40" w:after="60"/>
      </w:pPr>
      <w:r>
        <w:rPr>
          <w:rFonts w:ascii="Lato" w:hAnsi="Lato"/>
          <w:color w:val="315B50"/>
          <w:sz w:val="18"/>
        </w:rPr>
        <w:t>MIGRATION-RECONCILIATION-T06 / Calculation notation</w:t>
      </w:r>
    </w:p>
    <w:p>
      <w:pPr>
        <w:keepNext/>
        <w:spacing w:before="40" w:after="60"/>
      </w:pPr>
      <m:oMath>
        <m:sSub>
          <m:e>
            <m:r>
              <w:rPr>
                <w:sz w:val="18"/>
              </w:rPr>
              <m:t>x</m:t>
            </m:r>
          </m:e>
          <m:sub>
            <m:r>
              <w:rPr>
                <w:sz w:val="18"/>
              </w:rPr>
              <m:rPr>
                <m:sty m:val="p"/>
              </m:rPr>
              <m:t>ℓ</m:t>
            </m:r>
          </m:sub>
        </m:sSub>
        <m:r>
          <w:rPr>
            <w:sz w:val="18"/>
          </w:rPr>
          <m:t> </m:t>
        </m:r>
        <m:d>
          <m:dPr>
            <m:begChr m:val="["/>
            <m:endChr m:val="]"/>
            <m:sepChr m:val=""/>
            <m:grow/>
          </m:dPr>
          <m:e>
            <m:sSub>
              <m:e>
                <m:r>
                  <w:rPr>
                    <w:sz w:val="18"/>
                  </w:rPr>
                  <m:t>u</m:t>
                </m:r>
              </m:e>
              <m:sub>
                <m:r>
                  <w:rPr>
                    <w:sz w:val="18"/>
                  </w:rPr>
                  <m:rPr>
                    <m:sty m:val="p"/>
                  </m:rPr>
                  <m:t>ℓ</m:t>
                </m:r>
              </m:sub>
            </m:sSub>
          </m:e>
        </m:d>
      </m:oMath>
    </w:p>
    <w:p>
      <w:pPr>
        <w:keepNext/>
        <w:spacing w:before="40" w:after="60"/>
      </w:pPr>
      <w:r>
        <w:rPr>
          <w:rFonts w:ascii="Lato" w:hAnsi="Lato"/>
          <w:color w:val="315B50"/>
          <w:sz w:val="16"/>
        </w:rPr>
        <w:t>x_l is the identified observation, input, or output; u_l is its declared unit. Record the exact equation and source file, worksheet, cell/range, period, and status. This notation does not prescribe an estimator.</w:t>
      </w:r>
    </w:p>
    <w:p>
      <w:pPr>
        <w:keepNext/>
        <w:spacing w:before="40" w:after="60"/>
      </w:pPr>
      <w:r>
        <w:rPr>
          <w:rFonts w:ascii="Lato" w:hAnsi="Lato"/>
          <w:color w:val="315B50"/>
          <w:sz w:val="14"/>
        </w:rPr>
        <w:t>Basis: F-01; T-01 | Workbook: Evidence!A:J; Components!F:L</w:t>
      </w:r>
    </w:p>
    <w:tbl>
      <w:tblPr>
        <w:tblW w:type="auto" w:w="0"/>
        <w:jc w:val="center"/>
        <w:tblLayout w:type="fixed"/>
        <w:tblLook w:firstColumn="1" w:firstRow="1" w:lastColumn="0" w:lastRow="0" w:noHBand="0" w:noVBand="1" w:val="04A0"/>
      </w:tblPr>
      <w:tblGrid>
        <w:gridCol w:w="3250"/>
        <w:gridCol w:w="3250"/>
        <w:gridCol w:w="3250"/>
      </w:tblGrid>
      <w:tr>
        <w:trPr>
          <w:tblHeader/>
        </w:trPr>
        <w:tc>
          <w:tcPr>
            <w:tcW w:type="dxa" w:w="3250"/>
            <w:tcMar>
              <w:top w:w="90" w:type="dxa"/>
              <w:bottom w:w="90" w:type="dxa"/>
              <w:left w:w="100" w:type="dxa"/>
              <w:right w:w="100" w:type="dxa"/>
            </w:tcMar>
            <w:vAlign w:val="center"/>
            <w:shd w:fill="E6F0EB"/>
          </w:tcPr>
          <w:p>
            <w:r>
              <w:rPr>
                <w:rFonts w:ascii="Lato" w:hAnsi="Lato"/>
                <w:b/>
                <w:color w:val="173E34"/>
                <w:sz w:val="17"/>
              </w:rPr>
              <w:t>Input / pathway A, B or C</w:t>
            </w:r>
          </w:p>
          <w:p>
            <w:pPr>
              <w:spacing w:before="40" w:after="40"/>
            </w:pPr>
            <m:oMath>
              <m:sSub>
                <m:e>
                  <m:r>
                    <w:rPr>
                      <w:sz w:val="16"/>
                      <w:color w:val="173E34"/>
                    </w:rPr>
                    <m:t>x</m:t>
                  </m:r>
                </m:e>
                <m:sub>
                  <m:r>
                    <w:rPr>
                      <w:sz w:val="16"/>
                      <w:color w:val="173E34"/>
                    </w:rPr>
                    <m:rPr>
                      <m:sty m:val="p"/>
                    </m:rPr>
                    <m:t>ℓ</m:t>
                  </m:r>
                </m:sub>
              </m:sSub>
            </m:oMath>
          </w:p>
        </w:tc>
        <w:tc>
          <w:tcPr>
            <w:tcW w:type="dxa" w:w="3250"/>
            <w:tcMar>
              <w:top w:w="90" w:type="dxa"/>
              <w:bottom w:w="90" w:type="dxa"/>
              <w:left w:w="100" w:type="dxa"/>
              <w:right w:w="100" w:type="dxa"/>
            </w:tcMar>
            <w:vAlign w:val="center"/>
            <w:shd w:fill="E6F0EB"/>
          </w:tcPr>
          <w:p>
            <w:r>
              <w:rPr>
                <w:rFonts w:ascii="Lato" w:hAnsi="Lato"/>
                <w:b/>
                <w:color w:val="173E34"/>
                <w:sz w:val="17"/>
              </w:rPr>
              <w:t>Retain, supplement, replace or exclude</w:t>
            </w:r>
          </w:p>
          <w:p>
            <w:pPr>
              <w:spacing w:before="40" w:after="40"/>
            </w:pPr>
            <m:oMath>
              <m:sSub>
                <m:e>
                  <m:r>
                    <w:rPr>
                      <w:sz w:val="16"/>
                      <w:color w:val="173E34"/>
                    </w:rPr>
                    <m:t>u</m:t>
                  </m:r>
                </m:e>
                <m:sub>
                  <m:r>
                    <w:rPr>
                      <w:sz w:val="16"/>
                      <w:color w:val="173E34"/>
                    </w:rPr>
                    <m:rPr>
                      <m:sty m:val="p"/>
                    </m:rPr>
                    <m:t>ℓ</m:t>
                  </m:r>
                </m:sub>
              </m:sSub>
              <m:r>
                <w:rPr>
                  <w:sz w:val="16"/>
                  <w:color w:val="173E34"/>
                </w:rPr>
                <m:rPr>
                  <m:sty m:val="p"/>
                </m:rPr>
                <m:t>,</m:t>
              </m:r>
              <m:r>
                <w:rPr>
                  <w:sz w:val="16"/>
                  <w:color w:val="173E34"/>
                </w:rPr>
                <m:t> </m:t>
              </m:r>
              <m:r>
                <w:rPr>
                  <w:sz w:val="16"/>
                  <w:color w:val="173E34"/>
                </w:rPr>
                <m:t>t</m:t>
              </m:r>
            </m:oMath>
          </w:p>
        </w:tc>
        <w:tc>
          <w:tcPr>
            <w:tcW w:type="dxa" w:w="3250"/>
            <w:tcMar>
              <w:top w:w="90" w:type="dxa"/>
              <w:bottom w:w="90" w:type="dxa"/>
              <w:left w:w="100" w:type="dxa"/>
              <w:right w:w="100" w:type="dxa"/>
            </w:tcMar>
            <w:vAlign w:val="center"/>
            <w:shd w:fill="E6F0EB"/>
          </w:tcPr>
          <w:p>
            <w:r>
              <w:rPr>
                <w:rFonts w:ascii="Lato" w:hAnsi="Lato"/>
                <w:b/>
                <w:color w:val="173E34"/>
                <w:sz w:val="17"/>
              </w:rPr>
              <w:t>Evidence, reviewer and use limitation</w:t>
            </w:r>
          </w:p>
          <w:p>
            <w:pPr>
              <w:spacing w:before="40" w:after="40"/>
            </w:pPr>
            <m:oMath>
              <m:r>
                <w:rPr>
                  <w:sz w:val="16"/>
                  <w:color w:val="173E34"/>
                </w:rPr>
                <m:rPr>
                  <m:nor/>
                  <m:sty m:val="p"/>
                </m:rPr>
                <m:t>source</m:t>
              </m:r>
              <m:d>
                <m:dPr>
                  <m:begChr m:val="("/>
                  <m:endChr m:val=")"/>
                  <m:sepChr m:val=""/>
                  <m:grow/>
                </m:dPr>
                <m:e>
                  <m:sSub>
                    <m:e>
                      <m:r>
                        <w:rPr>
                          <w:sz w:val="16"/>
                          <w:color w:val="173E34"/>
                        </w:rPr>
                        <m:t>x</m:t>
                      </m:r>
                    </m:e>
                    <m:sub>
                      <m:r>
                        <w:rPr>
                          <w:sz w:val="16"/>
                          <w:color w:val="173E34"/>
                        </w:rPr>
                        <m:rPr>
                          <m:sty m:val="p"/>
                        </m:rPr>
                        <m:t>ℓ</m:t>
                      </m:r>
                    </m:sub>
                  </m:sSub>
                </m:e>
              </m:d>
            </m:oMath>
          </w:p>
        </w:tc>
      </w:tr>
      <w:tr>
        <w:trPr>
          <w:trHeight w:val="510"/>
        </w:trPr>
        <w:tc>
          <w:tcPr>
            <w:tcW w:type="dxa" w:w="3250"/>
            <w:tcMar>
              <w:top w:w="90" w:type="dxa"/>
              <w:bottom w:w="90" w:type="dxa"/>
              <w:left w:w="100" w:type="dxa"/>
              <w:right w:w="100" w:type="dxa"/>
            </w:tcMar>
            <w:shd w:fill="F1F5F2"/>
          </w:tcPr>
          <w:p>
            <w:pPr>
              <w:spacing w:after="20"/>
            </w:pPr>
            <w:sdt>
              <w:sdtPr>
                <w:alias w:val="sec_02-2-EN-1-1"/>
                <w:tag w:val="sec_02-2-EN-1-1"/>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02-2-EN-1-2"/>
                <w:tag w:val="sec_02-2-EN-1-2"/>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02-2-EN-1-3"/>
                <w:tag w:val="sec_02-2-EN-1-3"/>
                <w:text/>
              </w:sdtPr>
              <w:sdtContent>
                <w:r>
                  <w:rPr>
                    <w:rFonts w:ascii="Lato" w:hAnsi="Lato"/>
                    <w:sz w:val="18"/>
                    <w:color w:val="62716E"/>
                  </w:rPr>
                  <w:t>[Complete]</w:t>
                </w:r>
              </w:sdtContent>
            </w:sdt>
          </w:p>
        </w:tc>
      </w:tr>
      <w:tr>
        <w:trPr>
          <w:trHeight w:val="510"/>
        </w:trPr>
        <w:tc>
          <w:tcPr>
            <w:tcW w:type="dxa" w:w="3250"/>
            <w:tcMar>
              <w:top w:w="90" w:type="dxa"/>
              <w:bottom w:w="90" w:type="dxa"/>
              <w:left w:w="100" w:type="dxa"/>
              <w:right w:w="100" w:type="dxa"/>
            </w:tcMar>
            <w:shd w:fill="FFFFFF"/>
          </w:tcPr>
          <w:p>
            <w:pPr>
              <w:spacing w:after="20"/>
            </w:pPr>
            <w:sdt>
              <w:sdtPr>
                <w:alias w:val="sec_02-2-EN-2-1"/>
                <w:tag w:val="sec_02-2-EN-2-1"/>
                <w:text/>
              </w:sdtPr>
              <w:sdtContent>
                <w:r>
                  <w:rPr>
                    <w:rFonts w:ascii="Lato" w:hAnsi="Lato"/>
                    <w:sz w:val="18"/>
                    <w:color w:val="62716E"/>
                  </w:rPr>
                  <w:t>[Complete]</w:t>
                </w:r>
              </w:sdtContent>
            </w:sdt>
          </w:p>
        </w:tc>
        <w:tc>
          <w:tcPr>
            <w:tcW w:type="dxa" w:w="3250"/>
            <w:tcMar>
              <w:top w:w="90" w:type="dxa"/>
              <w:bottom w:w="90" w:type="dxa"/>
              <w:left w:w="100" w:type="dxa"/>
              <w:right w:w="100" w:type="dxa"/>
            </w:tcMar>
            <w:shd w:fill="FFFFFF"/>
          </w:tcPr>
          <w:p>
            <w:pPr>
              <w:spacing w:after="20"/>
            </w:pPr>
            <w:sdt>
              <w:sdtPr>
                <w:alias w:val="sec_02-2-EN-2-2"/>
                <w:tag w:val="sec_02-2-EN-2-2"/>
                <w:text/>
              </w:sdtPr>
              <w:sdtContent>
                <w:r>
                  <w:rPr>
                    <w:rFonts w:ascii="Lato" w:hAnsi="Lato"/>
                    <w:sz w:val="18"/>
                    <w:color w:val="62716E"/>
                  </w:rPr>
                  <w:t>[Complete]</w:t>
                </w:r>
              </w:sdtContent>
            </w:sdt>
          </w:p>
        </w:tc>
        <w:tc>
          <w:tcPr>
            <w:tcW w:type="dxa" w:w="3250"/>
            <w:tcMar>
              <w:top w:w="90" w:type="dxa"/>
              <w:bottom w:w="90" w:type="dxa"/>
              <w:left w:w="100" w:type="dxa"/>
              <w:right w:w="100" w:type="dxa"/>
            </w:tcMar>
            <w:shd w:fill="FFFFFF"/>
          </w:tcPr>
          <w:p>
            <w:pPr>
              <w:spacing w:after="20"/>
            </w:pPr>
            <w:sdt>
              <w:sdtPr>
                <w:alias w:val="sec_02-2-EN-2-3"/>
                <w:tag w:val="sec_02-2-EN-2-3"/>
                <w:text/>
              </w:sdtPr>
              <w:sdtContent>
                <w:r>
                  <w:rPr>
                    <w:rFonts w:ascii="Lato" w:hAnsi="Lato"/>
                    <w:sz w:val="18"/>
                    <w:color w:val="62716E"/>
                  </w:rPr>
                  <w:t>[Complete]</w:t>
                </w:r>
              </w:sdtContent>
            </w:sdt>
          </w:p>
        </w:tc>
      </w:tr>
      <w:tr>
        <w:trPr>
          <w:trHeight w:val="510"/>
        </w:trPr>
        <w:tc>
          <w:tcPr>
            <w:tcW w:type="dxa" w:w="3250"/>
            <w:tcMar>
              <w:top w:w="90" w:type="dxa"/>
              <w:bottom w:w="90" w:type="dxa"/>
              <w:left w:w="100" w:type="dxa"/>
              <w:right w:w="100" w:type="dxa"/>
            </w:tcMar>
            <w:shd w:fill="F1F5F2"/>
          </w:tcPr>
          <w:p>
            <w:pPr>
              <w:spacing w:after="20"/>
            </w:pPr>
            <w:sdt>
              <w:sdtPr>
                <w:alias w:val="sec_02-2-EN-3-1"/>
                <w:tag w:val="sec_02-2-EN-3-1"/>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02-2-EN-3-2"/>
                <w:tag w:val="sec_02-2-EN-3-2"/>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02-2-EN-3-3"/>
                <w:tag w:val="sec_02-2-EN-3-3"/>
                <w:text/>
              </w:sdtPr>
              <w:sdtContent>
                <w:r>
                  <w:rPr>
                    <w:rFonts w:ascii="Lato" w:hAnsi="Lato"/>
                    <w:sz w:val="18"/>
                    <w:color w:val="62716E"/>
                  </w:rPr>
                  <w:t>[Complete]</w:t>
                </w:r>
              </w:sdtContent>
            </w:sdt>
          </w:p>
        </w:tc>
      </w:tr>
    </w:tbl>
    <w:p>
      <w:pPr>
        <w:spacing w:after="0"/>
      </w:pPr>
    </w:p>
    <w:p>
      <w:bookmarkStart w:id="3003" w:name="sec_03"/>
      <w:pPr>
        <w:pStyle w:val="Heading1"/>
        <w:keepNext/>
        <w:pageBreakBefore/>
      </w:pPr>
      <w:r>
        <w:t>03  Method and formula correspondence</w:t>
      </w:r>
      <w:bookmarkEnd w:id="3003"/>
    </w:p>
    <w:p>
      <w:pPr>
        <w:spacing w:after="120"/>
      </w:pPr>
      <w:r>
        <w:rPr>
          <w:rFonts w:ascii="Lato" w:hAnsi="Lato"/>
          <w:b w:val="0"/>
          <w:color w:val="62716E"/>
          <w:sz w:val="16"/>
        </w:rPr>
        <w:t>[1] Basis: MIG-03; MIG-05; T-01; F-01; F-P01; F-P02</w:t>
      </w:r>
    </w:p>
    <w:p>
      <w:pPr>
        <w:pStyle w:val="Heading2"/>
        <w:keepNext/>
      </w:pPr>
      <w:r>
        <w:t>Calculation lineage</w:t>
      </w:r>
    </w:p>
    <w:p>
      <w:pPr>
        <w:keepNext/>
        <w:spacing w:before="40" w:after="60"/>
      </w:pPr>
      <w:r>
        <w:rPr>
          <w:rFonts w:ascii="Lato" w:hAnsi="Lato"/>
          <w:color w:val="315B50"/>
          <w:sz w:val="18"/>
        </w:rPr>
        <w:t>MIGRATION-RECONCILIATION-T07 / Calculation notation</w:t>
      </w:r>
    </w:p>
    <w:p>
      <w:pPr>
        <w:keepNext/>
        <w:spacing w:before="40" w:after="60"/>
      </w:pPr>
      <m:oMath>
        <m:sSub>
          <m:e>
            <m:r>
              <w:rPr>
                <w:sz w:val="18"/>
              </w:rPr>
              <m:t>q</m:t>
            </m:r>
          </m:e>
          <m:sub>
            <m:r>
              <w:rPr>
                <w:sz w:val="18"/>
              </w:rPr>
              <m:rPr>
                <m:sty m:val="p"/>
              </m:rPr>
              <m:t>ℓ</m:t>
            </m:r>
            <m:r>
              <w:rPr>
                <w:sz w:val="18"/>
              </w:rPr>
              <m:rPr>
                <m:sty m:val="p"/>
              </m:rPr>
              <m:t>,</m:t>
            </m:r>
            <m:r>
              <w:rPr>
                <w:sz w:val="18"/>
              </w:rPr>
              <m:t>s</m:t>
            </m:r>
            <m:r>
              <w:rPr>
                <w:sz w:val="18"/>
              </w:rPr>
              <m:rPr>
                <m:sty m:val="p"/>
              </m:rPr>
              <m:t>,</m:t>
            </m:r>
            <m:r>
              <w:rPr>
                <w:sz w:val="18"/>
              </w:rPr>
              <m:t>t</m:t>
            </m:r>
          </m:sub>
        </m:sSub>
        <m:r>
          <w:rPr>
            <w:sz w:val="18"/>
          </w:rPr>
          <m:rPr>
            <m:sty m:val="p"/>
          </m:rPr>
          <m:t>=</m:t>
        </m:r>
        <m:sSub>
          <m:e>
            <m:r>
              <w:rPr>
                <w:sz w:val="18"/>
              </w:rPr>
              <m:t>x</m:t>
            </m:r>
          </m:e>
          <m:sub>
            <m:r>
              <w:rPr>
                <w:sz w:val="18"/>
              </w:rPr>
              <m:rPr>
                <m:sty m:val="p"/>
              </m:rPr>
              <m:t>ℓ</m:t>
            </m:r>
            <m:r>
              <w:rPr>
                <w:sz w:val="18"/>
              </w:rPr>
              <m:rPr>
                <m:sty m:val="p"/>
              </m:rPr>
              <m:t>,</m:t>
            </m:r>
            <m:r>
              <w:rPr>
                <w:sz w:val="18"/>
              </w:rPr>
              <m:t>s</m:t>
            </m:r>
            <m:r>
              <w:rPr>
                <w:sz w:val="18"/>
              </w:rPr>
              <m:rPr>
                <m:sty m:val="p"/>
              </m:rPr>
              <m:t>,</m:t>
            </m:r>
            <m:r>
              <w:rPr>
                <w:sz w:val="18"/>
              </w:rPr>
              <m:t>t</m:t>
            </m:r>
          </m:sub>
        </m:sSub>
        <m:sSub>
          <m:e>
            <m:r>
              <w:rPr>
                <w:sz w:val="18"/>
              </w:rPr>
              <m:t>f</m:t>
            </m:r>
          </m:e>
          <m:sub>
            <m:r>
              <w:rPr>
                <w:sz w:val="18"/>
              </w:rPr>
              <m:rPr>
                <m:sty m:val="p"/>
              </m:rPr>
              <m:t>ℓ</m:t>
            </m:r>
            <m:r>
              <w:rPr>
                <w:sz w:val="18"/>
              </w:rPr>
              <m:rPr>
                <m:sty m:val="p"/>
              </m:rPr>
              <m:t>,</m:t>
            </m:r>
            <m:r>
              <w:rPr>
                <w:sz w:val="18"/>
              </w:rPr>
              <m:t>s</m:t>
            </m:r>
            <m:r>
              <w:rPr>
                <w:sz w:val="18"/>
              </w:rPr>
              <m:rPr>
                <m:sty m:val="p"/>
              </m:rPr>
              <m:t>,</m:t>
            </m:r>
            <m:r>
              <w:rPr>
                <w:sz w:val="18"/>
              </w:rPr>
              <m:t>t</m:t>
            </m:r>
          </m:sub>
        </m:sSub>
      </m:oMath>
    </w:p>
    <w:p>
      <w:pPr>
        <w:keepNext/>
        <w:spacing w:before="40" w:after="60"/>
      </w:pPr>
      <m:oMath>
        <m:sSub>
          <m:e>
            <m:r>
              <w:rPr>
                <w:sz w:val="18"/>
              </w:rPr>
              <m:t>N</m:t>
            </m:r>
          </m:e>
          <m:sub>
            <m:r>
              <w:rPr>
                <w:sz w:val="18"/>
              </w:rPr>
              <m:t>s</m:t>
            </m:r>
            <m:r>
              <w:rPr>
                <w:sz w:val="18"/>
              </w:rPr>
              <m:rPr>
                <m:sty m:val="p"/>
              </m:rPr>
              <m:t>,</m:t>
            </m:r>
            <m:r>
              <w:rPr>
                <w:sz w:val="18"/>
              </w:rPr>
              <m:t>t</m:t>
            </m:r>
          </m:sub>
        </m:sSub>
        <m:r>
          <w:rPr>
            <w:sz w:val="18"/>
          </w:rPr>
          <m:rPr>
            <m:sty m:val="p"/>
          </m:rPr>
          <m:t>=</m:t>
        </m:r>
        <m:nary>
          <m:naryPr>
            <m:chr m:val="∑"/>
            <m:limLoc m:val="undOvr"/>
            <m:subHide m:val="off"/>
            <m:supHide m:val="on"/>
          </m:naryPr>
          <m:sub>
            <m:r>
              <w:rPr>
                <w:sz w:val="18"/>
              </w:rPr>
              <m:rPr>
                <m:sty m:val="p"/>
              </m:rPr>
              <m:t>ℓ</m:t>
            </m:r>
            <m:r>
              <w:rPr>
                <w:sz w:val="18"/>
              </w:rPr>
              <m:rPr>
                <m:sty m:val="p"/>
              </m:rPr>
              <m:t>∈</m:t>
            </m:r>
            <m:sSub>
              <m:e>
                <m:r>
                  <w:rPr>
                    <w:sz w:val="18"/>
                  </w:rPr>
                  <m:rPr>
                    <m:sty m:val="p"/>
                    <m:scr m:val="script"/>
                  </m:rPr>
                  <m:t>I</m:t>
                </m:r>
              </m:e>
              <m:sub>
                <m:r>
                  <w:rPr>
                    <w:sz w:val="18"/>
                  </w:rPr>
                  <m:t>s</m:t>
                </m:r>
                <m:r>
                  <w:rPr>
                    <w:sz w:val="18"/>
                  </w:rPr>
                  <m:rPr>
                    <m:sty m:val="p"/>
                  </m:rPr>
                  <m:t>,</m:t>
                </m:r>
                <m:r>
                  <w:rPr>
                    <w:sz w:val="18"/>
                  </w:rPr>
                  <m:t>t</m:t>
                </m:r>
              </m:sub>
            </m:sSub>
          </m:sub>
          <m:sup>
            <m:r>
              <w:rPr>
                <w:sz w:val="18"/>
              </w:rPr>
              <m:t>​</m:t>
            </m:r>
          </m:sup>
          <m:e>
            <m:sSub>
              <m:e>
                <m:r>
                  <w:rPr>
                    <w:sz w:val="18"/>
                  </w:rPr>
                  <m:t>q</m:t>
                </m:r>
              </m:e>
              <m:sub>
                <m:r>
                  <w:rPr>
                    <w:sz w:val="18"/>
                  </w:rPr>
                  <m:rPr>
                    <m:sty m:val="p"/>
                  </m:rPr>
                  <m:t>ℓ</m:t>
                </m:r>
                <m:r>
                  <w:rPr>
                    <w:sz w:val="18"/>
                  </w:rPr>
                  <m:rPr>
                    <m:sty m:val="p"/>
                  </m:rPr>
                  <m:t>,</m:t>
                </m:r>
                <m:r>
                  <w:rPr>
                    <w:sz w:val="18"/>
                  </w:rPr>
                  <m:t>s</m:t>
                </m:r>
                <m:r>
                  <w:rPr>
                    <w:sz w:val="18"/>
                  </w:rPr>
                  <m:rPr>
                    <m:sty m:val="p"/>
                  </m:rPr>
                  <m:t>,</m:t>
                </m:r>
                <m:r>
                  <w:rPr>
                    <w:sz w:val="18"/>
                  </w:rPr>
                  <m:t>t</m:t>
                </m:r>
              </m:sub>
            </m:sSub>
          </m:e>
        </m:nary>
      </m:oMath>
    </w:p>
    <w:p>
      <w:pPr>
        <w:keepNext/>
        <w:spacing w:before="40" w:after="60"/>
      </w:pPr>
      <w:r>
        <w:rPr>
          <w:rFonts w:ascii="Lato" w:hAnsi="Lato"/>
          <w:color w:val="315B50"/>
          <w:sz w:val="16"/>
        </w:rPr>
        <w:t>x and f have reciprocal units yielding t CO2e per period. I is the set of included, evidenced, disjoint components for the same basis, period and account. For precomputed mass, f=1 must be explicitly entered with its meaning. BL and PJ are net emissions; LK is attributable leakage.</w:t>
      </w:r>
    </w:p>
    <w:p>
      <w:pPr>
        <w:keepNext/>
        <w:spacing w:before="40" w:after="60"/>
      </w:pPr>
      <w:r>
        <w:rPr>
          <w:rFonts w:ascii="Lato" w:hAnsi="Lato"/>
          <w:color w:val="315B50"/>
          <w:sz w:val="14"/>
        </w:rPr>
        <w:t>Basis: M04.4; M04.5; T-08; arithmetic implementation | Workbook: Components!G:I; ExAnte!F:H; ExPost!F:H</w:t>
      </w:r>
    </w:p>
    <w:tbl>
      <w:tblPr>
        <w:tblW w:type="auto" w:w="0"/>
        <w:jc w:val="center"/>
        <w:tblLayout w:type="fixed"/>
        <w:tblLook w:firstColumn="1" w:firstRow="1" w:lastColumn="0" w:lastRow="0" w:noHBand="0" w:noVBand="1" w:val="04A0"/>
      </w:tblPr>
      <w:tblGrid>
        <w:gridCol w:w="3250"/>
        <w:gridCol w:w="3250"/>
        <w:gridCol w:w="3250"/>
      </w:tblGrid>
      <w:tr>
        <w:trPr>
          <w:tblHeader/>
        </w:trPr>
        <w:tc>
          <w:tcPr>
            <w:tcW w:type="dxa" w:w="3250"/>
            <w:tcMar>
              <w:top w:w="90" w:type="dxa"/>
              <w:bottom w:w="90" w:type="dxa"/>
              <w:left w:w="100" w:type="dxa"/>
              <w:right w:w="100" w:type="dxa"/>
            </w:tcMar>
            <w:vAlign w:val="center"/>
            <w:shd w:fill="E6F0EB"/>
          </w:tcPr>
          <w:p>
            <w:r>
              <w:rPr>
                <w:rFonts w:ascii="Lato" w:hAnsi="Lato"/>
                <w:b/>
                <w:color w:val="173E34"/>
                <w:sz w:val="17"/>
              </w:rPr>
              <w:t>Original sheet / cells / equation</w:t>
            </w:r>
          </w:p>
          <w:p>
            <w:pPr>
              <w:spacing w:before="40" w:after="40"/>
            </w:pPr>
            <m:oMath>
              <m:r>
                <w:rPr>
                  <w:sz w:val="16"/>
                  <w:color w:val="173E34"/>
                </w:rPr>
                <m:rPr>
                  <m:sty m:val="p"/>
                </m:rPr>
                <m:t>ℓ</m:t>
              </m:r>
              <m:r>
                <w:rPr>
                  <w:sz w:val="16"/>
                  <w:color w:val="173E34"/>
                </w:rPr>
                <m:rPr>
                  <m:sty m:val="p"/>
                </m:rPr>
                <m:t>,</m:t>
              </m:r>
              <m:r>
                <w:rPr>
                  <w:sz w:val="16"/>
                  <w:color w:val="173E34"/>
                </w:rPr>
                <m:t> </m:t>
              </m:r>
              <m:r>
                <w:rPr>
                  <w:sz w:val="16"/>
                  <w:color w:val="173E34"/>
                </w:rPr>
                <m:t>s</m:t>
              </m:r>
              <m:r>
                <w:rPr>
                  <w:sz w:val="16"/>
                  <w:color w:val="173E34"/>
                </w:rPr>
                <m:rPr>
                  <m:sty m:val="p"/>
                </m:rPr>
                <m:t>,</m:t>
              </m:r>
              <m:r>
                <w:rPr>
                  <w:sz w:val="16"/>
                  <w:color w:val="173E34"/>
                </w:rPr>
                <m:t> </m:t>
              </m:r>
              <m:r>
                <w:rPr>
                  <w:sz w:val="16"/>
                  <w:color w:val="173E34"/>
                </w:rPr>
                <m:t>t</m:t>
              </m:r>
            </m:oMath>
          </w:p>
        </w:tc>
        <w:tc>
          <w:tcPr>
            <w:tcW w:type="dxa" w:w="3250"/>
            <w:tcMar>
              <w:top w:w="90" w:type="dxa"/>
              <w:bottom w:w="90" w:type="dxa"/>
              <w:left w:w="100" w:type="dxa"/>
              <w:right w:w="100" w:type="dxa"/>
            </w:tcMar>
            <w:vAlign w:val="center"/>
            <w:shd w:fill="E6F0EB"/>
          </w:tcPr>
          <w:p>
            <w:r>
              <w:rPr>
                <w:rFonts w:ascii="Lato" w:hAnsi="Lato"/>
                <w:b/>
                <w:color w:val="173E34"/>
                <w:sz w:val="17"/>
              </w:rPr>
              <w:t>Meaning, unit, status and dependencies</w:t>
            </w:r>
          </w:p>
          <w:p>
            <w:pPr>
              <w:spacing w:before="40" w:after="40"/>
            </w:pPr>
            <m:oMath>
              <m:sSub>
                <m:e>
                  <m:r>
                    <w:rPr>
                      <w:sz w:val="16"/>
                      <w:color w:val="173E34"/>
                    </w:rPr>
                    <m:t>x</m:t>
                  </m:r>
                </m:e>
                <m:sub>
                  <m:r>
                    <w:rPr>
                      <w:sz w:val="16"/>
                      <w:color w:val="173E34"/>
                    </w:rPr>
                    <m:rPr>
                      <m:sty m:val="p"/>
                    </m:rPr>
                    <m:t>ℓ</m:t>
                  </m:r>
                  <m:r>
                    <w:rPr>
                      <w:sz w:val="16"/>
                      <w:color w:val="173E34"/>
                    </w:rPr>
                    <m:rPr>
                      <m:sty m:val="p"/>
                    </m:rPr>
                    <m:t>,</m:t>
                  </m:r>
                  <m:r>
                    <w:rPr>
                      <w:sz w:val="16"/>
                      <w:color w:val="173E34"/>
                    </w:rPr>
                    <m:t>s</m:t>
                  </m:r>
                  <m:r>
                    <w:rPr>
                      <w:sz w:val="16"/>
                      <w:color w:val="173E34"/>
                    </w:rPr>
                    <m:rPr>
                      <m:sty m:val="p"/>
                    </m:rPr>
                    <m:t>,</m:t>
                  </m:r>
                  <m:r>
                    <w:rPr>
                      <w:sz w:val="16"/>
                      <w:color w:val="173E34"/>
                    </w:rPr>
                    <m:t>t</m:t>
                  </m:r>
                </m:sub>
              </m:sSub>
              <m:r>
                <w:rPr>
                  <w:sz w:val="16"/>
                  <w:color w:val="173E34"/>
                </w:rPr>
                <m:rPr>
                  <m:sty m:val="p"/>
                </m:rPr>
                <m:t>,</m:t>
              </m:r>
              <m:r>
                <w:rPr>
                  <w:sz w:val="16"/>
                  <w:color w:val="173E34"/>
                </w:rPr>
                <m:t> </m:t>
              </m:r>
              <m:sSub>
                <m:e>
                  <m:r>
                    <w:rPr>
                      <w:sz w:val="16"/>
                      <w:color w:val="173E34"/>
                    </w:rPr>
                    <m:t>f</m:t>
                  </m:r>
                </m:e>
                <m:sub>
                  <m:r>
                    <w:rPr>
                      <w:sz w:val="16"/>
                      <w:color w:val="173E34"/>
                    </w:rPr>
                    <m:rPr>
                      <m:sty m:val="p"/>
                    </m:rPr>
                    <m:t>ℓ</m:t>
                  </m:r>
                  <m:r>
                    <w:rPr>
                      <w:sz w:val="16"/>
                      <w:color w:val="173E34"/>
                    </w:rPr>
                    <m:rPr>
                      <m:sty m:val="p"/>
                    </m:rPr>
                    <m:t>,</m:t>
                  </m:r>
                  <m:r>
                    <w:rPr>
                      <w:sz w:val="16"/>
                      <w:color w:val="173E34"/>
                    </w:rPr>
                    <m:t>s</m:t>
                  </m:r>
                  <m:r>
                    <w:rPr>
                      <w:sz w:val="16"/>
                      <w:color w:val="173E34"/>
                    </w:rPr>
                    <m:rPr>
                      <m:sty m:val="p"/>
                    </m:rPr>
                    <m:t>,</m:t>
                  </m:r>
                  <m:r>
                    <w:rPr>
                      <w:sz w:val="16"/>
                      <w:color w:val="173E34"/>
                    </w:rPr>
                    <m:t>t</m:t>
                  </m:r>
                </m:sub>
              </m:sSub>
            </m:oMath>
          </w:p>
        </w:tc>
        <w:tc>
          <w:tcPr>
            <w:tcW w:type="dxa" w:w="3250"/>
            <w:tcMar>
              <w:top w:w="90" w:type="dxa"/>
              <w:bottom w:w="90" w:type="dxa"/>
              <w:left w:w="100" w:type="dxa"/>
              <w:right w:w="100" w:type="dxa"/>
            </w:tcMar>
            <w:vAlign w:val="center"/>
            <w:shd w:fill="E6F0EB"/>
          </w:tcPr>
          <w:p>
            <w:r>
              <w:rPr>
                <w:rFonts w:ascii="Lato" w:hAnsi="Lato"/>
                <w:b/>
                <w:color w:val="173E34"/>
                <w:sz w:val="17"/>
              </w:rPr>
              <w:t>NEBIOT equation / treatment / justification</w:t>
            </w:r>
          </w:p>
          <w:p>
            <w:pPr>
              <w:spacing w:before="40" w:after="40"/>
            </w:pPr>
            <m:oMath>
              <m:sSub>
                <m:e>
                  <m:r>
                    <w:rPr>
                      <w:sz w:val="16"/>
                      <w:color w:val="173E34"/>
                    </w:rPr>
                    <m:t>q</m:t>
                  </m:r>
                </m:e>
                <m:sub>
                  <m:r>
                    <w:rPr>
                      <w:sz w:val="16"/>
                      <w:color w:val="173E34"/>
                    </w:rPr>
                    <m:rPr>
                      <m:sty m:val="p"/>
                    </m:rPr>
                    <m:t>ℓ</m:t>
                  </m:r>
                  <m:r>
                    <w:rPr>
                      <w:sz w:val="16"/>
                      <w:color w:val="173E34"/>
                    </w:rPr>
                    <m:rPr>
                      <m:sty m:val="p"/>
                    </m:rPr>
                    <m:t>,</m:t>
                  </m:r>
                  <m:r>
                    <w:rPr>
                      <w:sz w:val="16"/>
                      <w:color w:val="173E34"/>
                    </w:rPr>
                    <m:t>s</m:t>
                  </m:r>
                  <m:r>
                    <w:rPr>
                      <w:sz w:val="16"/>
                      <w:color w:val="173E34"/>
                    </w:rPr>
                    <m:rPr>
                      <m:sty m:val="p"/>
                    </m:rPr>
                    <m:t>,</m:t>
                  </m:r>
                  <m:r>
                    <w:rPr>
                      <w:sz w:val="16"/>
                      <w:color w:val="173E34"/>
                    </w:rPr>
                    <m:t>t</m:t>
                  </m:r>
                </m:sub>
              </m:sSub>
              <m:r>
                <w:rPr>
                  <w:sz w:val="16"/>
                  <w:color w:val="173E34"/>
                </w:rPr>
                <m:rPr>
                  <m:sty m:val="p"/>
                </m:rPr>
                <m:t>,</m:t>
              </m:r>
              <m:r>
                <w:rPr>
                  <w:sz w:val="16"/>
                  <w:color w:val="173E34"/>
                </w:rPr>
                <m:t> </m:t>
              </m:r>
              <m:sSub>
                <m:e>
                  <m:r>
                    <w:rPr>
                      <w:sz w:val="16"/>
                      <w:color w:val="173E34"/>
                    </w:rPr>
                    <m:t>N</m:t>
                  </m:r>
                </m:e>
                <m:sub>
                  <m:r>
                    <w:rPr>
                      <w:sz w:val="16"/>
                      <w:color w:val="173E34"/>
                    </w:rPr>
                    <m:t>s</m:t>
                  </m:r>
                  <m:r>
                    <w:rPr>
                      <w:sz w:val="16"/>
                      <w:color w:val="173E34"/>
                    </w:rPr>
                    <m:rPr>
                      <m:sty m:val="p"/>
                    </m:rPr>
                    <m:t>,</m:t>
                  </m:r>
                  <m:r>
                    <w:rPr>
                      <w:sz w:val="16"/>
                      <w:color w:val="173E34"/>
                    </w:rPr>
                    <m:t>t</m:t>
                  </m:r>
                </m:sub>
              </m:sSub>
            </m:oMath>
          </w:p>
        </w:tc>
      </w:tr>
      <w:tr>
        <w:trPr>
          <w:trHeight w:val="510"/>
        </w:trPr>
        <w:tc>
          <w:tcPr>
            <w:tcW w:type="dxa" w:w="3250"/>
            <w:tcMar>
              <w:top w:w="90" w:type="dxa"/>
              <w:bottom w:w="90" w:type="dxa"/>
              <w:left w:w="100" w:type="dxa"/>
              <w:right w:w="100" w:type="dxa"/>
            </w:tcMar>
            <w:shd w:fill="F1F5F2"/>
          </w:tcPr>
          <w:p>
            <w:pPr>
              <w:spacing w:after="20"/>
            </w:pPr>
            <w:sdt>
              <w:sdtPr>
                <w:alias w:val="sec_03-0-EN-1-1"/>
                <w:tag w:val="sec_03-0-EN-1-1"/>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03-0-EN-1-2"/>
                <w:tag w:val="sec_03-0-EN-1-2"/>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03-0-EN-1-3"/>
                <w:tag w:val="sec_03-0-EN-1-3"/>
                <w:text/>
              </w:sdtPr>
              <w:sdtContent>
                <w:r>
                  <w:rPr>
                    <w:rFonts w:ascii="Lato" w:hAnsi="Lato"/>
                    <w:sz w:val="18"/>
                    <w:color w:val="62716E"/>
                  </w:rPr>
                  <w:t>[Complete]</w:t>
                </w:r>
              </w:sdtContent>
            </w:sdt>
          </w:p>
        </w:tc>
      </w:tr>
      <w:tr>
        <w:trPr>
          <w:trHeight w:val="510"/>
        </w:trPr>
        <w:tc>
          <w:tcPr>
            <w:tcW w:type="dxa" w:w="3250"/>
            <w:tcMar>
              <w:top w:w="90" w:type="dxa"/>
              <w:bottom w:w="90" w:type="dxa"/>
              <w:left w:w="100" w:type="dxa"/>
              <w:right w:w="100" w:type="dxa"/>
            </w:tcMar>
            <w:shd w:fill="FFFFFF"/>
          </w:tcPr>
          <w:p>
            <w:pPr>
              <w:spacing w:after="20"/>
            </w:pPr>
            <w:sdt>
              <w:sdtPr>
                <w:alias w:val="sec_03-0-EN-2-1"/>
                <w:tag w:val="sec_03-0-EN-2-1"/>
                <w:text/>
              </w:sdtPr>
              <w:sdtContent>
                <w:r>
                  <w:rPr>
                    <w:rFonts w:ascii="Lato" w:hAnsi="Lato"/>
                    <w:sz w:val="18"/>
                    <w:color w:val="62716E"/>
                  </w:rPr>
                  <w:t>[Complete]</w:t>
                </w:r>
              </w:sdtContent>
            </w:sdt>
          </w:p>
        </w:tc>
        <w:tc>
          <w:tcPr>
            <w:tcW w:type="dxa" w:w="3250"/>
            <w:tcMar>
              <w:top w:w="90" w:type="dxa"/>
              <w:bottom w:w="90" w:type="dxa"/>
              <w:left w:w="100" w:type="dxa"/>
              <w:right w:w="100" w:type="dxa"/>
            </w:tcMar>
            <w:shd w:fill="FFFFFF"/>
          </w:tcPr>
          <w:p>
            <w:pPr>
              <w:spacing w:after="20"/>
            </w:pPr>
            <w:sdt>
              <w:sdtPr>
                <w:alias w:val="sec_03-0-EN-2-2"/>
                <w:tag w:val="sec_03-0-EN-2-2"/>
                <w:text/>
              </w:sdtPr>
              <w:sdtContent>
                <w:r>
                  <w:rPr>
                    <w:rFonts w:ascii="Lato" w:hAnsi="Lato"/>
                    <w:sz w:val="18"/>
                    <w:color w:val="62716E"/>
                  </w:rPr>
                  <w:t>[Complete]</w:t>
                </w:r>
              </w:sdtContent>
            </w:sdt>
          </w:p>
        </w:tc>
        <w:tc>
          <w:tcPr>
            <w:tcW w:type="dxa" w:w="3250"/>
            <w:tcMar>
              <w:top w:w="90" w:type="dxa"/>
              <w:bottom w:w="90" w:type="dxa"/>
              <w:left w:w="100" w:type="dxa"/>
              <w:right w:w="100" w:type="dxa"/>
            </w:tcMar>
            <w:shd w:fill="FFFFFF"/>
          </w:tcPr>
          <w:p>
            <w:pPr>
              <w:spacing w:after="20"/>
            </w:pPr>
            <w:sdt>
              <w:sdtPr>
                <w:alias w:val="sec_03-0-EN-2-3"/>
                <w:tag w:val="sec_03-0-EN-2-3"/>
                <w:text/>
              </w:sdtPr>
              <w:sdtContent>
                <w:r>
                  <w:rPr>
                    <w:rFonts w:ascii="Lato" w:hAnsi="Lato"/>
                    <w:sz w:val="18"/>
                    <w:color w:val="62716E"/>
                  </w:rPr>
                  <w:t>[Complete]</w:t>
                </w:r>
              </w:sdtContent>
            </w:sdt>
          </w:p>
        </w:tc>
      </w:tr>
      <w:tr>
        <w:trPr>
          <w:trHeight w:val="510"/>
        </w:trPr>
        <w:tc>
          <w:tcPr>
            <w:tcW w:type="dxa" w:w="3250"/>
            <w:tcMar>
              <w:top w:w="90" w:type="dxa"/>
              <w:bottom w:w="90" w:type="dxa"/>
              <w:left w:w="100" w:type="dxa"/>
              <w:right w:w="100" w:type="dxa"/>
            </w:tcMar>
            <w:shd w:fill="F1F5F2"/>
          </w:tcPr>
          <w:p>
            <w:pPr>
              <w:spacing w:after="20"/>
            </w:pPr>
            <w:sdt>
              <w:sdtPr>
                <w:alias w:val="sec_03-0-EN-3-1"/>
                <w:tag w:val="sec_03-0-EN-3-1"/>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03-0-EN-3-2"/>
                <w:tag w:val="sec_03-0-EN-3-2"/>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03-0-EN-3-3"/>
                <w:tag w:val="sec_03-0-EN-3-3"/>
                <w:text/>
              </w:sdtPr>
              <w:sdtContent>
                <w:r>
                  <w:rPr>
                    <w:rFonts w:ascii="Lato" w:hAnsi="Lato"/>
                    <w:sz w:val="18"/>
                    <w:color w:val="62716E"/>
                  </w:rPr>
                  <w:t>[Complete]</w:t>
                </w:r>
              </w:sdtContent>
            </w:sdt>
          </w:p>
        </w:tc>
      </w:tr>
    </w:tbl>
    <w:p>
      <w:pPr>
        <w:spacing w:after="0"/>
      </w:pPr>
    </w:p>
    <w:p>
      <w:pPr>
        <w:pStyle w:val="Heading2"/>
        <w:keepNext/>
      </w:pPr>
      <w:r>
        <w:t>Assumptions and unresolved meanings</w:t>
      </w:r>
    </w:p>
    <w:p>
      <w:pPr>
        <w:spacing w:after="80"/>
      </w:pPr>
      <w:r>
        <w:rPr>
          <w:rFonts w:ascii="Lato" w:hAnsi="Lato"/>
          <w:b w:val="0"/>
          <w:color w:val="62716E"/>
          <w:sz w:val="18"/>
        </w:rPr>
        <w:t>Separate original hardcoded quantities, imported model outputs, formulas, copied values and manual exclusions. Do not silently adopt source-specific effectiveness factors, leakage adjustments, reserves or review intervals. An inherited allometric comparator is not an organ-measurement implementation.</w:t>
      </w:r>
    </w:p>
    <w:tbl>
      <w:tblPr>
        <w:tblW w:type="auto" w:w="0"/>
        <w:tblLayout w:type="fixed"/>
        <w:tblLook w:firstColumn="1" w:firstRow="1" w:lastColumn="0" w:lastRow="0" w:noHBand="0" w:noVBand="1" w:val="04A0"/>
      </w:tblPr>
      <w:tblGrid>
        <w:gridCol w:w="9751"/>
      </w:tblGrid>
      <w:tr>
        <w:trPr>
          <w:trHeight w:val="964"/>
        </w:trPr>
        <w:tc>
          <w:tcPr>
            <w:tcW w:type="dxa" w:w="9746"/>
            <w:shd w:fill="F1F5F2"/>
            <w:tcMar>
              <w:top w:w="90" w:type="dxa"/>
              <w:bottom w:w="90" w:type="dxa"/>
              <w:left w:w="100" w:type="dxa"/>
              <w:right w:w="100" w:type="dxa"/>
            </w:tcMar>
          </w:tcPr>
          <w:p>
            <w:pPr>
              <w:spacing w:after="20"/>
            </w:pPr>
            <w:sdt>
              <w:sdtPr>
                <w:alias w:val="sec_03-1-EN"/>
                <w:tag w:val="sec_03-1-EN"/>
                <w:text/>
              </w:sdtPr>
              <w:sdtContent>
                <w:r>
                  <w:rPr>
                    <w:rFonts w:ascii="Lato" w:hAnsi="Lato"/>
                    <w:sz w:val="18"/>
                    <w:color w:val="62716E"/>
                  </w:rPr>
                  <w:t>[Enter response and exact evidence references.]</w:t>
                </w:r>
              </w:sdtContent>
            </w:sdt>
          </w:p>
        </w:tc>
      </w:tr>
    </w:tbl>
    <w:p>
      <w:pPr>
        <w:spacing w:after="20" w:before="0" w:line="96" w:lineRule="auto"/>
      </w:pPr>
    </w:p>
    <w:p>
      <w:bookmarkStart w:id="3004" w:name="sec_04"/>
      <w:pPr>
        <w:pStyle w:val="Heading1"/>
        <w:keepNext/>
        <w:pageBreakBefore/>
      </w:pPr>
      <w:r>
        <w:t>04  Original, harmonized and receiving quantities</w:t>
      </w:r>
      <w:bookmarkEnd w:id="3004"/>
    </w:p>
    <w:p>
      <w:pPr>
        <w:spacing w:after="120"/>
      </w:pPr>
      <w:r>
        <w:rPr>
          <w:rFonts w:ascii="Lato" w:hAnsi="Lato"/>
          <w:b w:val="0"/>
          <w:color w:val="62716E"/>
          <w:sz w:val="16"/>
        </w:rPr>
        <w:t>[1] Basis: MIG-05; P-13; F-R01; F-R03; S-18</w:t>
      </w:r>
    </w:p>
    <w:p>
      <w:pPr>
        <w:pStyle w:val="Heading2"/>
        <w:keepNext/>
      </w:pPr>
      <w:r>
        <w:t>Matched reconciliation</w:t>
      </w:r>
    </w:p>
    <w:p>
      <w:pPr>
        <w:keepNext/>
        <w:spacing w:before="40" w:after="60"/>
      </w:pPr>
      <w:r>
        <w:rPr>
          <w:rFonts w:ascii="Lato" w:hAnsi="Lato"/>
          <w:color w:val="315B50"/>
          <w:sz w:val="18"/>
        </w:rPr>
        <w:t>MIGRATION-RECONCILIATION-T08 / Calculation notation</w:t>
      </w:r>
    </w:p>
    <w:p>
      <w:pPr>
        <w:keepNext/>
        <w:spacing w:before="40" w:after="60"/>
      </w:pPr>
      <m:oMath>
        <m:r>
          <w:rPr>
            <w:sz w:val="18"/>
          </w:rPr>
          <m:t>Δ</m:t>
        </m:r>
        <m:sSub>
          <m:e>
            <m:r>
              <w:rPr>
                <w:sz w:val="18"/>
              </w:rPr>
              <m:t>q</m:t>
            </m:r>
          </m:e>
          <m:sub>
            <m:r>
              <w:rPr>
                <w:sz w:val="18"/>
              </w:rPr>
              <m:rPr>
                <m:sty m:val="p"/>
              </m:rPr>
              <m:t>b</m:t>
            </m:r>
            <m:r>
              <w:rPr>
                <w:sz w:val="18"/>
              </w:rPr>
              <m:rPr>
                <m:sty m:val="p"/>
              </m:rPr>
              <m:t>a</m:t>
            </m:r>
            <m:r>
              <w:rPr>
                <w:sz w:val="18"/>
              </w:rPr>
              <m:rPr>
                <m:sty m:val="p"/>
              </m:rPr>
              <m:t>s</m:t>
            </m:r>
            <m:r>
              <w:rPr>
                <w:sz w:val="18"/>
              </w:rPr>
              <m:rPr>
                <m:sty m:val="p"/>
              </m:rPr>
              <m:t>i</m:t>
            </m:r>
            <m:r>
              <w:rPr>
                <w:sz w:val="18"/>
              </w:rPr>
              <m:rPr>
                <m:sty m:val="p"/>
              </m:rPr>
              <m:t>s</m:t>
            </m:r>
          </m:sub>
        </m:sSub>
        <m:r>
          <w:rPr>
            <w:sz w:val="18"/>
          </w:rPr>
          <m:rPr>
            <m:sty m:val="p"/>
          </m:rPr>
          <m:t>=</m:t>
        </m:r>
        <m:sSup>
          <m:e>
            <m:r>
              <w:rPr>
                <w:sz w:val="18"/>
              </w:rPr>
              <m:t>q</m:t>
            </m:r>
          </m:e>
          <m:sup>
            <m:r>
              <w:rPr>
                <w:sz w:val="18"/>
              </w:rPr>
              <m:rPr>
                <m:sty m:val="p"/>
              </m:rPr>
              <m:t>h</m:t>
            </m:r>
            <m:r>
              <w:rPr>
                <w:sz w:val="18"/>
              </w:rPr>
              <m:rPr>
                <m:sty m:val="p"/>
              </m:rPr>
              <m:t>a</m:t>
            </m:r>
            <m:r>
              <w:rPr>
                <w:sz w:val="18"/>
              </w:rPr>
              <m:rPr>
                <m:sty m:val="p"/>
              </m:rPr>
              <m:t>r</m:t>
            </m:r>
            <m:r>
              <w:rPr>
                <w:sz w:val="18"/>
              </w:rPr>
              <m:rPr>
                <m:sty m:val="p"/>
              </m:rPr>
              <m:t>m</m:t>
            </m:r>
          </m:sup>
        </m:sSup>
        <m:r>
          <w:rPr>
            <w:sz w:val="18"/>
          </w:rPr>
          <m:rPr>
            <m:sty m:val="p"/>
          </m:rPr>
          <m:t>−</m:t>
        </m:r>
        <m:sSup>
          <m:e>
            <m:r>
              <w:rPr>
                <w:sz w:val="18"/>
              </w:rPr>
              <m:t>q</m:t>
            </m:r>
          </m:e>
          <m:sup>
            <m:r>
              <w:rPr>
                <w:sz w:val="18"/>
              </w:rPr>
              <m:rPr>
                <m:sty m:val="p"/>
              </m:rPr>
              <m:t>s</m:t>
            </m:r>
            <m:r>
              <w:rPr>
                <w:sz w:val="18"/>
              </w:rPr>
              <m:rPr>
                <m:sty m:val="p"/>
              </m:rPr>
              <m:t>r</m:t>
            </m:r>
            <m:r>
              <w:rPr>
                <w:sz w:val="18"/>
              </w:rPr>
              <m:rPr>
                <m:sty m:val="p"/>
              </m:rPr>
              <m:t>c</m:t>
            </m:r>
          </m:sup>
        </m:sSup>
        <m:r>
          <w:rPr>
            <w:sz w:val="18"/>
          </w:rPr>
          <m:rPr>
            <m:sty m:val="p"/>
          </m:rPr>
          <m:t>,</m:t>
        </m:r>
        <m:r>
          <w:rPr>
            <w:sz w:val="18"/>
          </w:rPr>
          <m:t> </m:t>
        </m:r>
        <m:r>
          <w:rPr>
            <w:sz w:val="18"/>
          </w:rPr>
          <m:t>Δ</m:t>
        </m:r>
        <m:sSub>
          <m:e>
            <m:r>
              <w:rPr>
                <w:sz w:val="18"/>
              </w:rPr>
              <m:t>q</m:t>
            </m:r>
          </m:e>
          <m:sub>
            <m:r>
              <w:rPr>
                <w:sz w:val="18"/>
              </w:rPr>
              <m:rPr>
                <m:sty m:val="p"/>
              </m:rPr>
              <m:t>m</m:t>
            </m:r>
            <m:r>
              <w:rPr>
                <w:sz w:val="18"/>
              </w:rPr>
              <m:rPr>
                <m:sty m:val="p"/>
              </m:rPr>
              <m:t>e</m:t>
            </m:r>
            <m:r>
              <w:rPr>
                <w:sz w:val="18"/>
              </w:rPr>
              <m:rPr>
                <m:sty m:val="p"/>
              </m:rPr>
              <m:t>t</m:t>
            </m:r>
            <m:r>
              <w:rPr>
                <w:sz w:val="18"/>
              </w:rPr>
              <m:rPr>
                <m:sty m:val="p"/>
              </m:rPr>
              <m:t>h</m:t>
            </m:r>
            <m:r>
              <w:rPr>
                <w:sz w:val="18"/>
              </w:rPr>
              <m:rPr>
                <m:sty m:val="p"/>
              </m:rPr>
              <m:t>o</m:t>
            </m:r>
            <m:r>
              <w:rPr>
                <w:sz w:val="18"/>
              </w:rPr>
              <m:rPr>
                <m:sty m:val="p"/>
              </m:rPr>
              <m:t>d</m:t>
            </m:r>
          </m:sub>
        </m:sSub>
        <m:r>
          <w:rPr>
            <w:sz w:val="18"/>
          </w:rPr>
          <m:rPr>
            <m:sty m:val="p"/>
          </m:rPr>
          <m:t>=</m:t>
        </m:r>
        <m:sSup>
          <m:e>
            <m:r>
              <w:rPr>
                <w:sz w:val="18"/>
              </w:rPr>
              <m:t>q</m:t>
            </m:r>
          </m:e>
          <m:sup>
            <m:r>
              <w:rPr>
                <w:sz w:val="18"/>
              </w:rPr>
              <m:rPr>
                <m:sty m:val="p"/>
              </m:rPr>
              <m:t>N</m:t>
            </m:r>
            <m:r>
              <w:rPr>
                <w:sz w:val="18"/>
              </w:rPr>
              <m:rPr>
                <m:sty m:val="p"/>
              </m:rPr>
              <m:t>E</m:t>
            </m:r>
            <m:r>
              <w:rPr>
                <w:sz w:val="18"/>
              </w:rPr>
              <m:rPr>
                <m:sty m:val="p"/>
              </m:rPr>
              <m:t>B</m:t>
            </m:r>
          </m:sup>
        </m:sSup>
        <m:r>
          <w:rPr>
            <w:sz w:val="18"/>
          </w:rPr>
          <m:rPr>
            <m:sty m:val="p"/>
          </m:rPr>
          <m:t>−</m:t>
        </m:r>
        <m:sSup>
          <m:e>
            <m:r>
              <w:rPr>
                <w:sz w:val="18"/>
              </w:rPr>
              <m:t>q</m:t>
            </m:r>
          </m:e>
          <m:sup>
            <m:r>
              <w:rPr>
                <w:sz w:val="18"/>
              </w:rPr>
              <m:rPr>
                <m:sty m:val="p"/>
              </m:rPr>
              <m:t>h</m:t>
            </m:r>
            <m:r>
              <w:rPr>
                <w:sz w:val="18"/>
              </w:rPr>
              <m:rPr>
                <m:sty m:val="p"/>
              </m:rPr>
              <m:t>a</m:t>
            </m:r>
            <m:r>
              <w:rPr>
                <w:sz w:val="18"/>
              </w:rPr>
              <m:rPr>
                <m:sty m:val="p"/>
              </m:rPr>
              <m:t>r</m:t>
            </m:r>
            <m:r>
              <w:rPr>
                <w:sz w:val="18"/>
              </w:rPr>
              <m:rPr>
                <m:sty m:val="p"/>
              </m:rPr>
              <m:t>m</m:t>
            </m:r>
          </m:sup>
        </m:sSup>
      </m:oMath>
    </w:p>
    <w:p>
      <w:pPr>
        <w:keepNext/>
        <w:spacing w:before="40" w:after="60"/>
      </w:pPr>
      <m:oMath>
        <m:sSup>
          <m:e>
            <m:r>
              <w:rPr>
                <w:sz w:val="18"/>
              </w:rPr>
              <m:t>q</m:t>
            </m:r>
          </m:e>
          <m:sup>
            <m:r>
              <w:rPr>
                <w:sz w:val="18"/>
              </w:rPr>
              <m:rPr>
                <m:sty m:val="p"/>
              </m:rPr>
              <m:t>N</m:t>
            </m:r>
            <m:r>
              <w:rPr>
                <w:sz w:val="18"/>
              </w:rPr>
              <m:rPr>
                <m:sty m:val="p"/>
              </m:rPr>
              <m:t>E</m:t>
            </m:r>
            <m:r>
              <w:rPr>
                <w:sz w:val="18"/>
              </w:rPr>
              <m:rPr>
                <m:sty m:val="p"/>
              </m:rPr>
              <m:t>B</m:t>
            </m:r>
          </m:sup>
        </m:sSup>
        <m:r>
          <w:rPr>
            <w:sz w:val="18"/>
          </w:rPr>
          <m:rPr>
            <m:sty m:val="p"/>
          </m:rPr>
          <m:t>−</m:t>
        </m:r>
        <m:sSup>
          <m:e>
            <m:r>
              <w:rPr>
                <w:sz w:val="18"/>
              </w:rPr>
              <m:t>q</m:t>
            </m:r>
          </m:e>
          <m:sup>
            <m:r>
              <w:rPr>
                <w:sz w:val="18"/>
              </w:rPr>
              <m:rPr>
                <m:sty m:val="p"/>
              </m:rPr>
              <m:t>s</m:t>
            </m:r>
            <m:r>
              <w:rPr>
                <w:sz w:val="18"/>
              </w:rPr>
              <m:rPr>
                <m:sty m:val="p"/>
              </m:rPr>
              <m:t>r</m:t>
            </m:r>
            <m:r>
              <w:rPr>
                <w:sz w:val="18"/>
              </w:rPr>
              <m:rPr>
                <m:sty m:val="p"/>
              </m:rPr>
              <m:t>c</m:t>
            </m:r>
          </m:sup>
        </m:sSup>
        <m:r>
          <w:rPr>
            <w:sz w:val="18"/>
          </w:rPr>
          <m:rPr>
            <m:sty m:val="p"/>
          </m:rPr>
          <m:t>=</m:t>
        </m:r>
        <m:r>
          <w:rPr>
            <w:sz w:val="18"/>
          </w:rPr>
          <m:t>Δ</m:t>
        </m:r>
        <m:sSub>
          <m:e>
            <m:r>
              <w:rPr>
                <w:sz w:val="18"/>
              </w:rPr>
              <m:t>q</m:t>
            </m:r>
          </m:e>
          <m:sub>
            <m:r>
              <w:rPr>
                <w:sz w:val="18"/>
              </w:rPr>
              <m:rPr>
                <m:sty m:val="p"/>
              </m:rPr>
              <m:t>b</m:t>
            </m:r>
            <m:r>
              <w:rPr>
                <w:sz w:val="18"/>
              </w:rPr>
              <m:rPr>
                <m:sty m:val="p"/>
              </m:rPr>
              <m:t>a</m:t>
            </m:r>
            <m:r>
              <w:rPr>
                <w:sz w:val="18"/>
              </w:rPr>
              <m:rPr>
                <m:sty m:val="p"/>
              </m:rPr>
              <m:t>s</m:t>
            </m:r>
            <m:r>
              <w:rPr>
                <w:sz w:val="18"/>
              </w:rPr>
              <m:rPr>
                <m:sty m:val="p"/>
              </m:rPr>
              <m:t>i</m:t>
            </m:r>
            <m:r>
              <w:rPr>
                <w:sz w:val="18"/>
              </w:rPr>
              <m:rPr>
                <m:sty m:val="p"/>
              </m:rPr>
              <m:t>s</m:t>
            </m:r>
          </m:sub>
        </m:sSub>
        <m:r>
          <w:rPr>
            <w:sz w:val="18"/>
          </w:rPr>
          <m:rPr>
            <m:sty m:val="p"/>
          </m:rPr>
          <m:t>+</m:t>
        </m:r>
        <m:r>
          <w:rPr>
            <w:sz w:val="18"/>
          </w:rPr>
          <m:t>Δ</m:t>
        </m:r>
        <m:sSub>
          <m:e>
            <m:r>
              <w:rPr>
                <w:sz w:val="18"/>
              </w:rPr>
              <m:t>q</m:t>
            </m:r>
          </m:e>
          <m:sub>
            <m:r>
              <w:rPr>
                <w:sz w:val="18"/>
              </w:rPr>
              <m:rPr>
                <m:sty m:val="p"/>
              </m:rPr>
              <m:t>m</m:t>
            </m:r>
            <m:r>
              <w:rPr>
                <w:sz w:val="18"/>
              </w:rPr>
              <m:rPr>
                <m:sty m:val="p"/>
              </m:rPr>
              <m:t>e</m:t>
            </m:r>
            <m:r>
              <w:rPr>
                <w:sz w:val="18"/>
              </w:rPr>
              <m:rPr>
                <m:sty m:val="p"/>
              </m:rPr>
              <m:t>t</m:t>
            </m:r>
            <m:r>
              <w:rPr>
                <w:sz w:val="18"/>
              </w:rPr>
              <m:rPr>
                <m:sty m:val="p"/>
              </m:rPr>
              <m:t>h</m:t>
            </m:r>
            <m:r>
              <w:rPr>
                <w:sz w:val="18"/>
              </w:rPr>
              <m:rPr>
                <m:sty m:val="p"/>
              </m:rPr>
              <m:t>o</m:t>
            </m:r>
            <m:r>
              <w:rPr>
                <w:sz w:val="18"/>
              </w:rPr>
              <m:rPr>
                <m:sty m:val="p"/>
              </m:rPr>
              <m:t>d</m:t>
            </m:r>
          </m:sub>
        </m:sSub>
      </m:oMath>
    </w:p>
    <w:p>
      <w:pPr>
        <w:keepNext/>
        <w:spacing w:before="40" w:after="60"/>
      </w:pPr>
      <w:r>
        <w:rPr>
          <w:rFonts w:ascii="Lato" w:hAnsi="Lato"/>
          <w:color w:val="315B50"/>
          <w:sz w:val="16"/>
        </w:rPr>
        <w:t>src retains the original result; harm is the original method on the agreed comparable basis; NEB is the receiving-method result on that basis. This telescoping identity explains differences, not eligibility. Do not force the methodological difference to zero.</w:t>
      </w:r>
    </w:p>
    <w:p>
      <w:pPr>
        <w:keepNext/>
        <w:spacing w:before="40" w:after="60"/>
      </w:pPr>
      <w:r>
        <w:rPr>
          <w:rFonts w:ascii="Lato" w:hAnsi="Lato"/>
          <w:color w:val="315B50"/>
          <w:sz w:val="14"/>
        </w:rPr>
        <w:t>Basis: MIG-05; P-13; reconciliation identity | Workbook: Migration!E:K</w:t>
      </w:r>
    </w:p>
    <w:tbl>
      <w:tblPr>
        <w:tblW w:type="auto" w:w="0"/>
        <w:jc w:val="center"/>
        <w:tblLayout w:type="fixed"/>
        <w:tblLook w:firstColumn="1" w:firstRow="1" w:lastColumn="0" w:lastRow="0" w:noHBand="0" w:noVBand="1" w:val="04A0"/>
      </w:tblPr>
      <w:tblGrid>
        <w:gridCol w:w="3250"/>
        <w:gridCol w:w="3250"/>
        <w:gridCol w:w="3250"/>
      </w:tblGrid>
      <w:tr>
        <w:trPr>
          <w:tblHeader/>
        </w:trPr>
        <w:tc>
          <w:tcPr>
            <w:tcW w:type="dxa" w:w="3250"/>
            <w:tcMar>
              <w:top w:w="90" w:type="dxa"/>
              <w:bottom w:w="90" w:type="dxa"/>
              <w:left w:w="100" w:type="dxa"/>
              <w:right w:w="100" w:type="dxa"/>
            </w:tcMar>
            <w:vAlign w:val="center"/>
            <w:shd w:fill="E6F0EB"/>
          </w:tcPr>
          <w:p>
            <w:r>
              <w:rPr>
                <w:rFonts w:ascii="Lato" w:hAnsi="Lato"/>
                <w:b/>
                <w:color w:val="173E34"/>
                <w:sz w:val="17"/>
              </w:rPr>
              <w:t>Period / quantity / unit</w:t>
            </w:r>
          </w:p>
          <w:p>
            <w:pPr>
              <w:spacing w:before="40" w:after="40"/>
            </w:pPr>
            <m:oMath>
              <m:r>
                <w:rPr>
                  <w:sz w:val="16"/>
                  <w:color w:val="173E34"/>
                </w:rPr>
                <m:t>t</m:t>
              </m:r>
              <m:r>
                <w:rPr>
                  <w:sz w:val="16"/>
                  <w:color w:val="173E34"/>
                </w:rPr>
                <m:rPr>
                  <m:sty m:val="p"/>
                </m:rPr>
                <m:t>,</m:t>
              </m:r>
              <m:r>
                <w:rPr>
                  <w:sz w:val="16"/>
                  <w:color w:val="173E34"/>
                </w:rPr>
                <m:t> </m:t>
              </m:r>
              <m:r>
                <w:rPr>
                  <w:sz w:val="16"/>
                  <w:color w:val="173E34"/>
                </w:rPr>
                <m:t>u</m:t>
              </m:r>
            </m:oMath>
          </w:p>
        </w:tc>
        <w:tc>
          <w:tcPr>
            <w:tcW w:type="dxa" w:w="3250"/>
            <w:tcMar>
              <w:top w:w="90" w:type="dxa"/>
              <w:bottom w:w="90" w:type="dxa"/>
              <w:left w:w="100" w:type="dxa"/>
              <w:right w:w="100" w:type="dxa"/>
            </w:tcMar>
            <w:vAlign w:val="center"/>
            <w:shd w:fill="E6F0EB"/>
          </w:tcPr>
          <w:p>
            <w:r>
              <w:rPr>
                <w:rFonts w:ascii="Lato" w:hAnsi="Lato"/>
                <w:b/>
                <w:color w:val="173E34"/>
                <w:sz w:val="17"/>
              </w:rPr>
              <w:t>Original / harmonized original / NEBIOT</w:t>
            </w:r>
          </w:p>
          <w:p>
            <w:pPr>
              <w:spacing w:before="40" w:after="40"/>
            </w:pPr>
            <m:oMath>
              <m:sSup>
                <m:e>
                  <m:r>
                    <w:rPr>
                      <w:sz w:val="16"/>
                      <w:color w:val="173E34"/>
                    </w:rPr>
                    <m:t>q</m:t>
                  </m:r>
                </m:e>
                <m:sup>
                  <m:r>
                    <w:rPr>
                      <w:sz w:val="16"/>
                      <w:color w:val="173E34"/>
                    </w:rPr>
                    <m:rPr>
                      <m:sty m:val="p"/>
                    </m:rPr>
                    <m:t>s</m:t>
                  </m:r>
                  <m:r>
                    <w:rPr>
                      <w:sz w:val="16"/>
                      <w:color w:val="173E34"/>
                    </w:rPr>
                    <m:rPr>
                      <m:sty m:val="p"/>
                    </m:rPr>
                    <m:t>r</m:t>
                  </m:r>
                  <m:r>
                    <w:rPr>
                      <w:sz w:val="16"/>
                      <w:color w:val="173E34"/>
                    </w:rPr>
                    <m:rPr>
                      <m:sty m:val="p"/>
                    </m:rPr>
                    <m:t>c</m:t>
                  </m:r>
                </m:sup>
              </m:sSup>
              <m:r>
                <w:rPr>
                  <w:sz w:val="16"/>
                  <w:color w:val="173E34"/>
                </w:rPr>
                <m:rPr>
                  <m:sty m:val="p"/>
                </m:rPr>
                <m:t>,</m:t>
              </m:r>
              <m:r>
                <w:rPr>
                  <w:sz w:val="16"/>
                  <w:color w:val="173E34"/>
                </w:rPr>
                <m:t> </m:t>
              </m:r>
              <m:sSup>
                <m:e>
                  <m:r>
                    <w:rPr>
                      <w:sz w:val="16"/>
                      <w:color w:val="173E34"/>
                    </w:rPr>
                    <m:t>q</m:t>
                  </m:r>
                </m:e>
                <m:sup>
                  <m:r>
                    <w:rPr>
                      <w:sz w:val="16"/>
                      <w:color w:val="173E34"/>
                    </w:rPr>
                    <m:rPr>
                      <m:sty m:val="p"/>
                    </m:rPr>
                    <m:t>h</m:t>
                  </m:r>
                  <m:r>
                    <w:rPr>
                      <w:sz w:val="16"/>
                      <w:color w:val="173E34"/>
                    </w:rPr>
                    <m:rPr>
                      <m:sty m:val="p"/>
                    </m:rPr>
                    <m:t>a</m:t>
                  </m:r>
                  <m:r>
                    <w:rPr>
                      <w:sz w:val="16"/>
                      <w:color w:val="173E34"/>
                    </w:rPr>
                    <m:rPr>
                      <m:sty m:val="p"/>
                    </m:rPr>
                    <m:t>r</m:t>
                  </m:r>
                  <m:r>
                    <w:rPr>
                      <w:sz w:val="16"/>
                      <w:color w:val="173E34"/>
                    </w:rPr>
                    <m:rPr>
                      <m:sty m:val="p"/>
                    </m:rPr>
                    <m:t>m</m:t>
                  </m:r>
                </m:sup>
              </m:sSup>
              <m:r>
                <w:rPr>
                  <w:sz w:val="16"/>
                  <w:color w:val="173E34"/>
                </w:rPr>
                <m:rPr>
                  <m:sty m:val="p"/>
                </m:rPr>
                <m:t>,</m:t>
              </m:r>
              <m:r>
                <w:rPr>
                  <w:sz w:val="16"/>
                  <w:color w:val="173E34"/>
                </w:rPr>
                <m:t> </m:t>
              </m:r>
              <m:sSup>
                <m:e>
                  <m:r>
                    <w:rPr>
                      <w:sz w:val="16"/>
                      <w:color w:val="173E34"/>
                    </w:rPr>
                    <m:t>q</m:t>
                  </m:r>
                </m:e>
                <m:sup>
                  <m:r>
                    <w:rPr>
                      <w:sz w:val="16"/>
                      <w:color w:val="173E34"/>
                    </w:rPr>
                    <m:rPr>
                      <m:sty m:val="p"/>
                    </m:rPr>
                    <m:t>N</m:t>
                  </m:r>
                  <m:r>
                    <w:rPr>
                      <w:sz w:val="16"/>
                      <w:color w:val="173E34"/>
                    </w:rPr>
                    <m:rPr>
                      <m:sty m:val="p"/>
                    </m:rPr>
                    <m:t>E</m:t>
                  </m:r>
                  <m:r>
                    <w:rPr>
                      <w:sz w:val="16"/>
                      <w:color w:val="173E34"/>
                    </w:rPr>
                    <m:rPr>
                      <m:sty m:val="p"/>
                    </m:rPr>
                    <m:t>B</m:t>
                  </m:r>
                </m:sup>
              </m:sSup>
            </m:oMath>
          </w:p>
        </w:tc>
        <w:tc>
          <w:tcPr>
            <w:tcW w:type="dxa" w:w="3250"/>
            <w:tcMar>
              <w:top w:w="90" w:type="dxa"/>
              <w:bottom w:w="90" w:type="dxa"/>
              <w:left w:w="100" w:type="dxa"/>
              <w:right w:w="100" w:type="dxa"/>
            </w:tcMar>
            <w:vAlign w:val="center"/>
            <w:shd w:fill="E6F0EB"/>
          </w:tcPr>
          <w:p>
            <w:r>
              <w:rPr>
                <w:rFonts w:ascii="Lato" w:hAnsi="Lato"/>
                <w:b/>
                <w:color w:val="173E34"/>
                <w:sz w:val="17"/>
              </w:rPr>
              <w:t>Difference by basis and method / evidence</w:t>
            </w:r>
          </w:p>
          <w:p>
            <w:pPr>
              <w:spacing w:before="40" w:after="40"/>
            </w:pPr>
            <m:oMath>
              <m:r>
                <w:rPr>
                  <w:sz w:val="16"/>
                  <w:color w:val="173E34"/>
                </w:rPr>
                <m:t>Δ</m:t>
              </m:r>
              <m:sSub>
                <m:e>
                  <m:r>
                    <w:rPr>
                      <w:sz w:val="16"/>
                      <w:color w:val="173E34"/>
                    </w:rPr>
                    <m:t>q</m:t>
                  </m:r>
                </m:e>
                <m:sub>
                  <m:r>
                    <w:rPr>
                      <w:sz w:val="16"/>
                      <w:color w:val="173E34"/>
                    </w:rPr>
                    <m:rPr>
                      <m:sty m:val="p"/>
                    </m:rPr>
                    <m:t>b</m:t>
                  </m:r>
                  <m:r>
                    <w:rPr>
                      <w:sz w:val="16"/>
                      <w:color w:val="173E34"/>
                    </w:rPr>
                    <m:rPr>
                      <m:sty m:val="p"/>
                    </m:rPr>
                    <m:t>a</m:t>
                  </m:r>
                  <m:r>
                    <w:rPr>
                      <w:sz w:val="16"/>
                      <w:color w:val="173E34"/>
                    </w:rPr>
                    <m:rPr>
                      <m:sty m:val="p"/>
                    </m:rPr>
                    <m:t>s</m:t>
                  </m:r>
                  <m:r>
                    <w:rPr>
                      <w:sz w:val="16"/>
                      <w:color w:val="173E34"/>
                    </w:rPr>
                    <m:rPr>
                      <m:sty m:val="p"/>
                    </m:rPr>
                    <m:t>i</m:t>
                  </m:r>
                  <m:r>
                    <w:rPr>
                      <w:sz w:val="16"/>
                      <w:color w:val="173E34"/>
                    </w:rPr>
                    <m:rPr>
                      <m:sty m:val="p"/>
                    </m:rPr>
                    <m:t>s</m:t>
                  </m:r>
                </m:sub>
              </m:sSub>
              <m:r>
                <w:rPr>
                  <w:sz w:val="16"/>
                  <w:color w:val="173E34"/>
                </w:rPr>
                <m:rPr>
                  <m:sty m:val="p"/>
                </m:rPr>
                <m:t>,</m:t>
              </m:r>
              <m:r>
                <w:rPr>
                  <w:sz w:val="16"/>
                  <w:color w:val="173E34"/>
                </w:rPr>
                <m:t> </m:t>
              </m:r>
              <m:r>
                <w:rPr>
                  <w:sz w:val="16"/>
                  <w:color w:val="173E34"/>
                </w:rPr>
                <m:t>Δ</m:t>
              </m:r>
              <m:sSub>
                <m:e>
                  <m:r>
                    <w:rPr>
                      <w:sz w:val="16"/>
                      <w:color w:val="173E34"/>
                    </w:rPr>
                    <m:t>q</m:t>
                  </m:r>
                </m:e>
                <m:sub>
                  <m:r>
                    <w:rPr>
                      <w:sz w:val="16"/>
                      <w:color w:val="173E34"/>
                    </w:rPr>
                    <m:rPr>
                      <m:sty m:val="p"/>
                    </m:rPr>
                    <m:t>m</m:t>
                  </m:r>
                  <m:r>
                    <w:rPr>
                      <w:sz w:val="16"/>
                      <w:color w:val="173E34"/>
                    </w:rPr>
                    <m:rPr>
                      <m:sty m:val="p"/>
                    </m:rPr>
                    <m:t>e</m:t>
                  </m:r>
                  <m:r>
                    <w:rPr>
                      <w:sz w:val="16"/>
                      <w:color w:val="173E34"/>
                    </w:rPr>
                    <m:rPr>
                      <m:sty m:val="p"/>
                    </m:rPr>
                    <m:t>t</m:t>
                  </m:r>
                  <m:r>
                    <w:rPr>
                      <w:sz w:val="16"/>
                      <w:color w:val="173E34"/>
                    </w:rPr>
                    <m:rPr>
                      <m:sty m:val="p"/>
                    </m:rPr>
                    <m:t>h</m:t>
                  </m:r>
                  <m:r>
                    <w:rPr>
                      <w:sz w:val="16"/>
                      <w:color w:val="173E34"/>
                    </w:rPr>
                    <m:rPr>
                      <m:sty m:val="p"/>
                    </m:rPr>
                    <m:t>o</m:t>
                  </m:r>
                  <m:r>
                    <w:rPr>
                      <w:sz w:val="16"/>
                      <w:color w:val="173E34"/>
                    </w:rPr>
                    <m:rPr>
                      <m:sty m:val="p"/>
                    </m:rPr>
                    <m:t>d</m:t>
                  </m:r>
                </m:sub>
              </m:sSub>
            </m:oMath>
          </w:p>
        </w:tc>
      </w:tr>
      <w:tr>
        <w:trPr>
          <w:trHeight w:val="510"/>
        </w:trPr>
        <w:tc>
          <w:tcPr>
            <w:tcW w:type="dxa" w:w="3250"/>
            <w:tcMar>
              <w:top w:w="90" w:type="dxa"/>
              <w:bottom w:w="90" w:type="dxa"/>
              <w:left w:w="100" w:type="dxa"/>
              <w:right w:w="100" w:type="dxa"/>
            </w:tcMar>
            <w:shd w:fill="F1F5F2"/>
          </w:tcPr>
          <w:p>
            <w:pPr>
              <w:spacing w:after="20"/>
            </w:pPr>
            <w:sdt>
              <w:sdtPr>
                <w:alias w:val="sec_04-0-EN-1-1"/>
                <w:tag w:val="sec_04-0-EN-1-1"/>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04-0-EN-1-2"/>
                <w:tag w:val="sec_04-0-EN-1-2"/>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04-0-EN-1-3"/>
                <w:tag w:val="sec_04-0-EN-1-3"/>
                <w:text/>
              </w:sdtPr>
              <w:sdtContent>
                <w:r>
                  <w:rPr>
                    <w:rFonts w:ascii="Lato" w:hAnsi="Lato"/>
                    <w:sz w:val="18"/>
                    <w:color w:val="62716E"/>
                  </w:rPr>
                  <w:t>[Complete]</w:t>
                </w:r>
              </w:sdtContent>
            </w:sdt>
          </w:p>
        </w:tc>
      </w:tr>
      <w:tr>
        <w:trPr>
          <w:trHeight w:val="510"/>
        </w:trPr>
        <w:tc>
          <w:tcPr>
            <w:tcW w:type="dxa" w:w="3250"/>
            <w:tcMar>
              <w:top w:w="90" w:type="dxa"/>
              <w:bottom w:w="90" w:type="dxa"/>
              <w:left w:w="100" w:type="dxa"/>
              <w:right w:w="100" w:type="dxa"/>
            </w:tcMar>
            <w:shd w:fill="FFFFFF"/>
          </w:tcPr>
          <w:p>
            <w:pPr>
              <w:spacing w:after="20"/>
            </w:pPr>
            <w:sdt>
              <w:sdtPr>
                <w:alias w:val="sec_04-0-EN-2-1"/>
                <w:tag w:val="sec_04-0-EN-2-1"/>
                <w:text/>
              </w:sdtPr>
              <w:sdtContent>
                <w:r>
                  <w:rPr>
                    <w:rFonts w:ascii="Lato" w:hAnsi="Lato"/>
                    <w:sz w:val="18"/>
                    <w:color w:val="62716E"/>
                  </w:rPr>
                  <w:t>[Complete]</w:t>
                </w:r>
              </w:sdtContent>
            </w:sdt>
          </w:p>
        </w:tc>
        <w:tc>
          <w:tcPr>
            <w:tcW w:type="dxa" w:w="3250"/>
            <w:tcMar>
              <w:top w:w="90" w:type="dxa"/>
              <w:bottom w:w="90" w:type="dxa"/>
              <w:left w:w="100" w:type="dxa"/>
              <w:right w:w="100" w:type="dxa"/>
            </w:tcMar>
            <w:shd w:fill="FFFFFF"/>
          </w:tcPr>
          <w:p>
            <w:pPr>
              <w:spacing w:after="20"/>
            </w:pPr>
            <w:sdt>
              <w:sdtPr>
                <w:alias w:val="sec_04-0-EN-2-2"/>
                <w:tag w:val="sec_04-0-EN-2-2"/>
                <w:text/>
              </w:sdtPr>
              <w:sdtContent>
                <w:r>
                  <w:rPr>
                    <w:rFonts w:ascii="Lato" w:hAnsi="Lato"/>
                    <w:sz w:val="18"/>
                    <w:color w:val="62716E"/>
                  </w:rPr>
                  <w:t>[Complete]</w:t>
                </w:r>
              </w:sdtContent>
            </w:sdt>
          </w:p>
        </w:tc>
        <w:tc>
          <w:tcPr>
            <w:tcW w:type="dxa" w:w="3250"/>
            <w:tcMar>
              <w:top w:w="90" w:type="dxa"/>
              <w:bottom w:w="90" w:type="dxa"/>
              <w:left w:w="100" w:type="dxa"/>
              <w:right w:w="100" w:type="dxa"/>
            </w:tcMar>
            <w:shd w:fill="FFFFFF"/>
          </w:tcPr>
          <w:p>
            <w:pPr>
              <w:spacing w:after="20"/>
            </w:pPr>
            <w:sdt>
              <w:sdtPr>
                <w:alias w:val="sec_04-0-EN-2-3"/>
                <w:tag w:val="sec_04-0-EN-2-3"/>
                <w:text/>
              </w:sdtPr>
              <w:sdtContent>
                <w:r>
                  <w:rPr>
                    <w:rFonts w:ascii="Lato" w:hAnsi="Lato"/>
                    <w:sz w:val="18"/>
                    <w:color w:val="62716E"/>
                  </w:rPr>
                  <w:t>[Complete]</w:t>
                </w:r>
              </w:sdtContent>
            </w:sdt>
          </w:p>
        </w:tc>
      </w:tr>
      <w:tr>
        <w:trPr>
          <w:trHeight w:val="510"/>
        </w:trPr>
        <w:tc>
          <w:tcPr>
            <w:tcW w:type="dxa" w:w="3250"/>
            <w:tcMar>
              <w:top w:w="90" w:type="dxa"/>
              <w:bottom w:w="90" w:type="dxa"/>
              <w:left w:w="100" w:type="dxa"/>
              <w:right w:w="100" w:type="dxa"/>
            </w:tcMar>
            <w:shd w:fill="F1F5F2"/>
          </w:tcPr>
          <w:p>
            <w:pPr>
              <w:spacing w:after="20"/>
            </w:pPr>
            <w:sdt>
              <w:sdtPr>
                <w:alias w:val="sec_04-0-EN-3-1"/>
                <w:tag w:val="sec_04-0-EN-3-1"/>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04-0-EN-3-2"/>
                <w:tag w:val="sec_04-0-EN-3-2"/>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04-0-EN-3-3"/>
                <w:tag w:val="sec_04-0-EN-3-3"/>
                <w:text/>
              </w:sdtPr>
              <w:sdtContent>
                <w:r>
                  <w:rPr>
                    <w:rFonts w:ascii="Lato" w:hAnsi="Lato"/>
                    <w:sz w:val="18"/>
                    <w:color w:val="62716E"/>
                  </w:rPr>
                  <w:t>[Complete]</w:t>
                </w:r>
              </w:sdtContent>
            </w:sdt>
          </w:p>
        </w:tc>
      </w:tr>
    </w:tbl>
    <w:p>
      <w:pPr>
        <w:spacing w:after="0"/>
      </w:pPr>
    </w:p>
    <w:p>
      <w:pPr>
        <w:pStyle w:val="Heading2"/>
        <w:keepNext/>
      </w:pPr>
      <w:r>
        <w:t>Explain all bridges</w:t>
      </w:r>
    </w:p>
    <w:p>
      <w:pPr>
        <w:spacing w:after="80"/>
      </w:pPr>
      <w:r>
        <w:rPr>
          <w:rFonts w:ascii="Lato" w:hAnsi="Lato"/>
          <w:b w:val="0"/>
          <w:color w:val="62716E"/>
          <w:sz w:val="18"/>
        </w:rPr>
        <w:t>Keep the original record unchanged. Identify each adjustment for spatial or temporal support, units, activity data, factors, uncertainty, liabilities and reserve. A bridge closes arithmetically only when the component differences sum to the total; its empirical and approval basis remains a separate assessment.</w:t>
      </w:r>
    </w:p>
    <w:tbl>
      <w:tblPr>
        <w:tblW w:type="auto" w:w="0"/>
        <w:tblLayout w:type="fixed"/>
        <w:tblLook w:firstColumn="1" w:firstRow="1" w:lastColumn="0" w:lastRow="0" w:noHBand="0" w:noVBand="1" w:val="04A0"/>
      </w:tblPr>
      <w:tblGrid>
        <w:gridCol w:w="9751"/>
      </w:tblGrid>
      <w:tr>
        <w:trPr>
          <w:trHeight w:val="964"/>
        </w:trPr>
        <w:tc>
          <w:tcPr>
            <w:tcW w:type="dxa" w:w="9746"/>
            <w:shd w:fill="F1F5F2"/>
            <w:tcMar>
              <w:top w:w="90" w:type="dxa"/>
              <w:bottom w:w="90" w:type="dxa"/>
              <w:left w:w="100" w:type="dxa"/>
              <w:right w:w="100" w:type="dxa"/>
            </w:tcMar>
          </w:tcPr>
          <w:p>
            <w:pPr>
              <w:spacing w:after="20"/>
            </w:pPr>
            <w:sdt>
              <w:sdtPr>
                <w:alias w:val="sec_04-1-EN"/>
                <w:tag w:val="sec_04-1-EN"/>
                <w:text/>
              </w:sdtPr>
              <w:sdtContent>
                <w:r>
                  <w:rPr>
                    <w:rFonts w:ascii="Lato" w:hAnsi="Lato"/>
                    <w:sz w:val="18"/>
                    <w:color w:val="62716E"/>
                  </w:rPr>
                  <w:t>[Enter response and exact evidence references.]</w:t>
                </w:r>
              </w:sdtContent>
            </w:sdt>
          </w:p>
        </w:tc>
      </w:tr>
    </w:tbl>
    <w:p>
      <w:pPr>
        <w:spacing w:after="20" w:before="0" w:line="96" w:lineRule="auto"/>
      </w:pPr>
    </w:p>
    <w:p>
      <w:pPr>
        <w:pStyle w:val="Heading2"/>
        <w:keepNext/>
      </w:pPr>
      <w:r>
        <w:t>Unreconciled difference</w:t>
      </w:r>
    </w:p>
    <w:p>
      <w:pPr>
        <w:keepNext/>
        <w:spacing w:before="40" w:after="60"/>
      </w:pPr>
      <w:r>
        <w:rPr>
          <w:rFonts w:ascii="Lato" w:hAnsi="Lato"/>
          <w:color w:val="315B50"/>
          <w:sz w:val="18"/>
        </w:rPr>
        <w:t>MIGRATION-RECONCILIATION-T09 / Calculation notation</w:t>
      </w:r>
    </w:p>
    <w:p>
      <w:pPr>
        <w:keepNext/>
        <w:spacing w:before="40" w:after="60"/>
      </w:pPr>
      <m:oMath>
        <m:r>
          <w:rPr>
            <w:sz w:val="18"/>
          </w:rPr>
          <m:t>Δ</m:t>
        </m:r>
        <m:sSub>
          <m:e>
            <m:r>
              <w:rPr>
                <w:sz w:val="18"/>
              </w:rPr>
              <m:t>Q</m:t>
            </m:r>
          </m:e>
          <m:sub>
            <m:r>
              <w:rPr>
                <w:sz w:val="18"/>
              </w:rPr>
              <m:t>t</m:t>
            </m:r>
          </m:sub>
        </m:sSub>
        <m:r>
          <w:rPr>
            <w:sz w:val="18"/>
          </w:rPr>
          <m:rPr>
            <m:sty m:val="p"/>
          </m:rPr>
          <m:t>=</m:t>
        </m:r>
        <m:sSubSup>
          <m:e>
            <m:r>
              <w:rPr>
                <w:sz w:val="18"/>
              </w:rPr>
              <m:t>Q</m:t>
            </m:r>
          </m:e>
          <m:sub>
            <m:r>
              <w:rPr>
                <w:sz w:val="18"/>
              </w:rPr>
              <m:t>t</m:t>
            </m:r>
          </m:sub>
          <m:sup>
            <m:r>
              <w:rPr>
                <w:sz w:val="18"/>
              </w:rPr>
              <m:rPr>
                <m:sty m:val="p"/>
              </m:rPr>
              <m:t>E</m:t>
            </m:r>
            <m:r>
              <w:rPr>
                <w:sz w:val="18"/>
              </w:rPr>
              <m:rPr>
                <m:sty m:val="p"/>
              </m:rPr>
              <m:t>P</m:t>
            </m:r>
          </m:sup>
        </m:sSubSup>
        <m:r>
          <w:rPr>
            <w:sz w:val="18"/>
          </w:rPr>
          <m:rPr>
            <m:sty m:val="p"/>
          </m:rPr>
          <m:t>−</m:t>
        </m:r>
        <m:sSubSup>
          <m:e>
            <m:r>
              <w:rPr>
                <w:sz w:val="18"/>
              </w:rPr>
              <m:t>Q</m:t>
            </m:r>
          </m:e>
          <m:sub>
            <m:r>
              <w:rPr>
                <w:sz w:val="18"/>
              </w:rPr>
              <m:t>t</m:t>
            </m:r>
          </m:sub>
          <m:sup>
            <m:r>
              <w:rPr>
                <w:sz w:val="18"/>
              </w:rPr>
              <m:rPr>
                <m:sty m:val="p"/>
              </m:rPr>
              <m:t>E</m:t>
            </m:r>
            <m:r>
              <w:rPr>
                <w:sz w:val="18"/>
              </w:rPr>
              <m:rPr>
                <m:sty m:val="p"/>
              </m:rPr>
              <m:t>A</m:t>
            </m:r>
          </m:sup>
        </m:sSubSup>
      </m:oMath>
    </w:p>
    <w:p>
      <w:pPr>
        <w:keepNext/>
        <w:spacing w:before="40" w:after="60"/>
      </w:pPr>
      <m:oMath>
        <m:r>
          <w:rPr>
            <w:sz w:val="18"/>
          </w:rPr>
          <m:t>Δ</m:t>
        </m:r>
        <m:sSub>
          <m:e>
            <m:r>
              <w:rPr>
                <w:sz w:val="18"/>
              </w:rPr>
              <m:t>Q</m:t>
            </m:r>
          </m:e>
          <m:sub>
            <m:r>
              <w:rPr>
                <w:sz w:val="18"/>
              </w:rPr>
              <m:t>t</m:t>
            </m:r>
          </m:sub>
        </m:sSub>
        <m:r>
          <w:rPr>
            <w:sz w:val="18"/>
          </w:rPr>
          <m:rPr>
            <m:sty m:val="p"/>
          </m:rPr>
          <m:t>=</m:t>
        </m:r>
        <m:r>
          <w:rPr>
            <w:sz w:val="18"/>
          </w:rPr>
          <m:t>Δ</m:t>
        </m:r>
        <m:sSub>
          <m:e>
            <m:r>
              <w:rPr>
                <w:sz w:val="18"/>
              </w:rPr>
              <m:t>N</m:t>
            </m:r>
          </m:e>
          <m:sub>
            <m:r>
              <w:rPr>
                <w:sz w:val="18"/>
              </w:rPr>
              <m:rPr>
                <m:sty m:val="p"/>
              </m:rPr>
              <m:t>B</m:t>
            </m:r>
            <m:r>
              <w:rPr>
                <w:sz w:val="18"/>
              </w:rPr>
              <m:rPr>
                <m:sty m:val="p"/>
              </m:rPr>
              <m:t>L</m:t>
            </m:r>
            <m:r>
              <w:rPr>
                <w:sz w:val="18"/>
              </w:rPr>
              <m:rPr>
                <m:sty m:val="p"/>
              </m:rPr>
              <m:t>,</m:t>
            </m:r>
            <m:r>
              <w:rPr>
                <w:sz w:val="18"/>
              </w:rPr>
              <m:t>t</m:t>
            </m:r>
          </m:sub>
        </m:sSub>
        <m:r>
          <w:rPr>
            <w:sz w:val="18"/>
          </w:rPr>
          <m:rPr>
            <m:sty m:val="p"/>
          </m:rPr>
          <m:t>−</m:t>
        </m:r>
        <m:r>
          <w:rPr>
            <w:sz w:val="18"/>
          </w:rPr>
          <m:t>Δ</m:t>
        </m:r>
        <m:sSub>
          <m:e>
            <m:r>
              <w:rPr>
                <w:sz w:val="18"/>
              </w:rPr>
              <m:t>N</m:t>
            </m:r>
          </m:e>
          <m:sub>
            <m:r>
              <w:rPr>
                <w:sz w:val="18"/>
              </w:rPr>
              <m:rPr>
                <m:sty m:val="p"/>
              </m:rPr>
              <m:t>P</m:t>
            </m:r>
            <m:r>
              <w:rPr>
                <w:sz w:val="18"/>
              </w:rPr>
              <m:rPr>
                <m:sty m:val="p"/>
              </m:rPr>
              <m:t>J</m:t>
            </m:r>
            <m:r>
              <w:rPr>
                <w:sz w:val="18"/>
              </w:rPr>
              <m:rPr>
                <m:sty m:val="p"/>
              </m:rPr>
              <m:t>,</m:t>
            </m:r>
            <m:r>
              <w:rPr>
                <w:sz w:val="18"/>
              </w:rPr>
              <m:t>t</m:t>
            </m:r>
          </m:sub>
        </m:sSub>
        <m:r>
          <w:rPr>
            <w:sz w:val="18"/>
          </w:rPr>
          <m:rPr>
            <m:sty m:val="p"/>
          </m:rPr>
          <m:t>−</m:t>
        </m:r>
        <m:r>
          <w:rPr>
            <w:sz w:val="18"/>
          </w:rPr>
          <m:t>Δ</m:t>
        </m:r>
        <m:sSub>
          <m:e>
            <m:r>
              <w:rPr>
                <w:sz w:val="18"/>
              </w:rPr>
              <m:t>L</m:t>
            </m:r>
          </m:e>
          <m:sub>
            <m:r>
              <w:rPr>
                <w:sz w:val="18"/>
              </w:rPr>
              <m:t>t</m:t>
            </m:r>
          </m:sub>
        </m:sSub>
      </m:oMath>
    </w:p>
    <w:p>
      <w:pPr>
        <w:keepNext/>
        <w:spacing w:before="40" w:after="60"/>
      </w:pPr>
      <w:r>
        <w:rPr>
          <w:rFonts w:ascii="Lato" w:hAnsi="Lato"/>
          <w:color w:val="315B50"/>
          <w:sz w:val="16"/>
        </w:rPr>
        <w:t>All deltas are EP minus the frozen EA value on the same support before uncertainty and reserve. r = deltaQ - (deltaBL - deltaPJ - deltaL) is an arithmetic residual. A forecast difference is not itself mitigation, causation, or a materiality finding.</w:t>
      </w:r>
    </w:p>
    <w:p>
      <w:pPr>
        <w:keepNext/>
        <w:spacing w:before="40" w:after="60"/>
      </w:pPr>
      <w:r>
        <w:rPr>
          <w:rFonts w:ascii="Lato" w:hAnsi="Lato"/>
          <w:color w:val="315B50"/>
          <w:sz w:val="14"/>
        </w:rPr>
        <w:t>Basis: M04.5; P-13; comparison identity | Workbook: Comparison!D:J</w:t>
      </w:r>
    </w:p>
    <w:tbl>
      <w:tblPr>
        <w:tblW w:type="auto" w:w="0"/>
        <w:jc w:val="center"/>
        <w:tblLayout w:type="fixed"/>
        <w:tblLook w:firstColumn="1" w:firstRow="1" w:lastColumn="0" w:lastRow="0" w:noHBand="0" w:noVBand="1" w:val="04A0"/>
      </w:tblPr>
      <w:tblGrid>
        <w:gridCol w:w="3250"/>
        <w:gridCol w:w="3250"/>
        <w:gridCol w:w="3250"/>
      </w:tblGrid>
      <w:tr>
        <w:trPr>
          <w:tblHeader/>
        </w:trPr>
        <w:tc>
          <w:tcPr>
            <w:tcW w:type="dxa" w:w="3250"/>
            <w:tcMar>
              <w:top w:w="90" w:type="dxa"/>
              <w:bottom w:w="90" w:type="dxa"/>
              <w:left w:w="100" w:type="dxa"/>
              <w:right w:w="100" w:type="dxa"/>
            </w:tcMar>
            <w:vAlign w:val="center"/>
            <w:shd w:fill="E6F0EB"/>
          </w:tcPr>
          <w:p>
            <w:r>
              <w:rPr>
                <w:rFonts w:ascii="Lato" w:hAnsi="Lato"/>
                <w:b/>
                <w:color w:val="173E34"/>
                <w:sz w:val="17"/>
              </w:rPr>
              <w:t>Issue / impact / affected interval</w:t>
            </w:r>
          </w:p>
          <w:p>
            <w:pPr>
              <w:spacing w:before="40" w:after="40"/>
            </w:pPr>
            <m:oMath>
              <m:r>
                <w:rPr>
                  <w:sz w:val="16"/>
                  <w:color w:val="173E34"/>
                </w:rPr>
                <m:t>t</m:t>
              </m:r>
              <m:r>
                <w:rPr>
                  <w:sz w:val="16"/>
                  <w:color w:val="173E34"/>
                </w:rPr>
                <m:rPr>
                  <m:sty m:val="p"/>
                </m:rPr>
                <m:t>,</m:t>
              </m:r>
              <m:r>
                <w:rPr>
                  <w:sz w:val="16"/>
                  <w:color w:val="173E34"/>
                </w:rPr>
                <m:t> </m:t>
              </m:r>
              <m:r>
                <w:rPr>
                  <w:sz w:val="16"/>
                  <w:color w:val="173E34"/>
                </w:rPr>
                <m:t>z</m:t>
              </m:r>
            </m:oMath>
          </w:p>
        </w:tc>
        <w:tc>
          <w:tcPr>
            <w:tcW w:type="dxa" w:w="3250"/>
            <w:tcMar>
              <w:top w:w="90" w:type="dxa"/>
              <w:bottom w:w="90" w:type="dxa"/>
              <w:left w:w="100" w:type="dxa"/>
              <w:right w:w="100" w:type="dxa"/>
            </w:tcMar>
            <w:vAlign w:val="center"/>
            <w:shd w:fill="E6F0EB"/>
          </w:tcPr>
          <w:p>
            <w:r>
              <w:rPr>
                <w:rFonts w:ascii="Lato" w:hAnsi="Lato"/>
                <w:b/>
                <w:color w:val="173E34"/>
                <w:sz w:val="17"/>
              </w:rPr>
              <w:t>Required evidence or recalculation</w:t>
            </w:r>
          </w:p>
          <w:p>
            <w:pPr>
              <w:spacing w:before="40" w:after="40"/>
            </w:pPr>
            <m:oMath>
              <m:sSubSup>
                <m:e>
                  <m:r>
                    <w:rPr>
                      <w:sz w:val="16"/>
                      <w:color w:val="173E34"/>
                    </w:rPr>
                    <m:t>Q</m:t>
                  </m:r>
                </m:e>
                <m:sub>
                  <m:r>
                    <w:rPr>
                      <w:sz w:val="16"/>
                      <w:color w:val="173E34"/>
                    </w:rPr>
                    <m:t>t</m:t>
                  </m:r>
                </m:sub>
                <m:sup>
                  <m:r>
                    <w:rPr>
                      <w:sz w:val="16"/>
                      <w:color w:val="173E34"/>
                    </w:rPr>
                    <m:rPr>
                      <m:sty m:val="p"/>
                    </m:rPr>
                    <m:t>E</m:t>
                  </m:r>
                  <m:r>
                    <w:rPr>
                      <w:sz w:val="16"/>
                      <w:color w:val="173E34"/>
                    </w:rPr>
                    <m:rPr>
                      <m:sty m:val="p"/>
                    </m:rPr>
                    <m:t>A</m:t>
                  </m:r>
                </m:sup>
              </m:sSubSup>
              <m:r>
                <w:rPr>
                  <w:sz w:val="16"/>
                  <w:color w:val="173E34"/>
                </w:rPr>
                <m:rPr>
                  <m:sty m:val="p"/>
                </m:rPr>
                <m:t>,</m:t>
              </m:r>
              <m:r>
                <w:rPr>
                  <w:sz w:val="16"/>
                  <w:color w:val="173E34"/>
                </w:rPr>
                <m:t> </m:t>
              </m:r>
              <m:sSubSup>
                <m:e>
                  <m:r>
                    <w:rPr>
                      <w:sz w:val="16"/>
                      <w:color w:val="173E34"/>
                    </w:rPr>
                    <m:t>Q</m:t>
                  </m:r>
                </m:e>
                <m:sub>
                  <m:r>
                    <w:rPr>
                      <w:sz w:val="16"/>
                      <w:color w:val="173E34"/>
                    </w:rPr>
                    <m:t>t</m:t>
                  </m:r>
                </m:sub>
                <m:sup>
                  <m:r>
                    <w:rPr>
                      <w:sz w:val="16"/>
                      <w:color w:val="173E34"/>
                    </w:rPr>
                    <m:rPr>
                      <m:sty m:val="p"/>
                    </m:rPr>
                    <m:t>E</m:t>
                  </m:r>
                  <m:r>
                    <w:rPr>
                      <w:sz w:val="16"/>
                      <w:color w:val="173E34"/>
                    </w:rPr>
                    <m:rPr>
                      <m:sty m:val="p"/>
                    </m:rPr>
                    <m:t>P</m:t>
                  </m:r>
                </m:sup>
              </m:sSubSup>
            </m:oMath>
          </w:p>
        </w:tc>
        <w:tc>
          <w:tcPr>
            <w:tcW w:type="dxa" w:w="3250"/>
            <w:tcMar>
              <w:top w:w="90" w:type="dxa"/>
              <w:bottom w:w="90" w:type="dxa"/>
              <w:left w:w="100" w:type="dxa"/>
              <w:right w:w="100" w:type="dxa"/>
            </w:tcMar>
            <w:vAlign w:val="center"/>
            <w:shd w:fill="E6F0EB"/>
          </w:tcPr>
          <w:p>
            <w:r>
              <w:rPr>
                <w:rFonts w:ascii="Lato" w:hAnsi="Lato"/>
                <w:b/>
                <w:color w:val="173E34"/>
                <w:sz w:val="17"/>
              </w:rPr>
              <w:t>Responsible party / decision consequence</w:t>
            </w:r>
          </w:p>
          <w:p>
            <w:pPr>
              <w:spacing w:before="40" w:after="40"/>
            </w:pPr>
            <m:oMath>
              <m:r>
                <w:rPr>
                  <w:sz w:val="16"/>
                  <w:color w:val="173E34"/>
                </w:rPr>
                <m:t>Δ</m:t>
              </m:r>
              <m:sSub>
                <m:e>
                  <m:r>
                    <w:rPr>
                      <w:sz w:val="16"/>
                      <w:color w:val="173E34"/>
                    </w:rPr>
                    <m:t>Q</m:t>
                  </m:r>
                </m:e>
                <m:sub>
                  <m:r>
                    <w:rPr>
                      <w:sz w:val="16"/>
                      <w:color w:val="173E34"/>
                    </w:rPr>
                    <m:t>t</m:t>
                  </m:r>
                </m:sub>
              </m:sSub>
              <m:r>
                <w:rPr>
                  <w:sz w:val="16"/>
                  <w:color w:val="173E34"/>
                </w:rPr>
                <m:rPr>
                  <m:sty m:val="p"/>
                </m:rPr>
                <m:t>,</m:t>
              </m:r>
              <m:r>
                <w:rPr>
                  <w:sz w:val="16"/>
                  <w:color w:val="173E34"/>
                </w:rPr>
                <m:t> </m:t>
              </m:r>
              <m:sSub>
                <m:e>
                  <m:r>
                    <w:rPr>
                      <w:sz w:val="16"/>
                      <w:color w:val="173E34"/>
                    </w:rPr>
                    <m:t>r</m:t>
                  </m:r>
                </m:e>
                <m:sub>
                  <m:r>
                    <w:rPr>
                      <w:sz w:val="16"/>
                      <w:color w:val="173E34"/>
                    </w:rPr>
                    <m:t>t</m:t>
                  </m:r>
                </m:sub>
              </m:sSub>
            </m:oMath>
          </w:p>
        </w:tc>
      </w:tr>
      <w:tr>
        <w:trPr>
          <w:trHeight w:val="510"/>
        </w:trPr>
        <w:tc>
          <w:tcPr>
            <w:tcW w:type="dxa" w:w="3250"/>
            <w:tcMar>
              <w:top w:w="90" w:type="dxa"/>
              <w:bottom w:w="90" w:type="dxa"/>
              <w:left w:w="100" w:type="dxa"/>
              <w:right w:w="100" w:type="dxa"/>
            </w:tcMar>
            <w:shd w:fill="F1F5F2"/>
          </w:tcPr>
          <w:p>
            <w:pPr>
              <w:spacing w:after="20"/>
            </w:pPr>
            <w:sdt>
              <w:sdtPr>
                <w:alias w:val="sec_04-2-EN-1-1"/>
                <w:tag w:val="sec_04-2-EN-1-1"/>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04-2-EN-1-2"/>
                <w:tag w:val="sec_04-2-EN-1-2"/>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04-2-EN-1-3"/>
                <w:tag w:val="sec_04-2-EN-1-3"/>
                <w:text/>
              </w:sdtPr>
              <w:sdtContent>
                <w:r>
                  <w:rPr>
                    <w:rFonts w:ascii="Lato" w:hAnsi="Lato"/>
                    <w:sz w:val="18"/>
                    <w:color w:val="62716E"/>
                  </w:rPr>
                  <w:t>[Complete]</w:t>
                </w:r>
              </w:sdtContent>
            </w:sdt>
          </w:p>
        </w:tc>
      </w:tr>
      <w:tr>
        <w:trPr>
          <w:trHeight w:val="510"/>
        </w:trPr>
        <w:tc>
          <w:tcPr>
            <w:tcW w:type="dxa" w:w="3250"/>
            <w:tcMar>
              <w:top w:w="90" w:type="dxa"/>
              <w:bottom w:w="90" w:type="dxa"/>
              <w:left w:w="100" w:type="dxa"/>
              <w:right w:w="100" w:type="dxa"/>
            </w:tcMar>
            <w:shd w:fill="FFFFFF"/>
          </w:tcPr>
          <w:p>
            <w:pPr>
              <w:spacing w:after="20"/>
            </w:pPr>
            <w:sdt>
              <w:sdtPr>
                <w:alias w:val="sec_04-2-EN-2-1"/>
                <w:tag w:val="sec_04-2-EN-2-1"/>
                <w:text/>
              </w:sdtPr>
              <w:sdtContent>
                <w:r>
                  <w:rPr>
                    <w:rFonts w:ascii="Lato" w:hAnsi="Lato"/>
                    <w:sz w:val="18"/>
                    <w:color w:val="62716E"/>
                  </w:rPr>
                  <w:t>[Complete]</w:t>
                </w:r>
              </w:sdtContent>
            </w:sdt>
          </w:p>
        </w:tc>
        <w:tc>
          <w:tcPr>
            <w:tcW w:type="dxa" w:w="3250"/>
            <w:tcMar>
              <w:top w:w="90" w:type="dxa"/>
              <w:bottom w:w="90" w:type="dxa"/>
              <w:left w:w="100" w:type="dxa"/>
              <w:right w:w="100" w:type="dxa"/>
            </w:tcMar>
            <w:shd w:fill="FFFFFF"/>
          </w:tcPr>
          <w:p>
            <w:pPr>
              <w:spacing w:after="20"/>
            </w:pPr>
            <w:sdt>
              <w:sdtPr>
                <w:alias w:val="sec_04-2-EN-2-2"/>
                <w:tag w:val="sec_04-2-EN-2-2"/>
                <w:text/>
              </w:sdtPr>
              <w:sdtContent>
                <w:r>
                  <w:rPr>
                    <w:rFonts w:ascii="Lato" w:hAnsi="Lato"/>
                    <w:sz w:val="18"/>
                    <w:color w:val="62716E"/>
                  </w:rPr>
                  <w:t>[Complete]</w:t>
                </w:r>
              </w:sdtContent>
            </w:sdt>
          </w:p>
        </w:tc>
        <w:tc>
          <w:tcPr>
            <w:tcW w:type="dxa" w:w="3250"/>
            <w:tcMar>
              <w:top w:w="90" w:type="dxa"/>
              <w:bottom w:w="90" w:type="dxa"/>
              <w:left w:w="100" w:type="dxa"/>
              <w:right w:w="100" w:type="dxa"/>
            </w:tcMar>
            <w:shd w:fill="FFFFFF"/>
          </w:tcPr>
          <w:p>
            <w:pPr>
              <w:spacing w:after="20"/>
            </w:pPr>
            <w:sdt>
              <w:sdtPr>
                <w:alias w:val="sec_04-2-EN-2-3"/>
                <w:tag w:val="sec_04-2-EN-2-3"/>
                <w:text/>
              </w:sdtPr>
              <w:sdtContent>
                <w:r>
                  <w:rPr>
                    <w:rFonts w:ascii="Lato" w:hAnsi="Lato"/>
                    <w:sz w:val="18"/>
                    <w:color w:val="62716E"/>
                  </w:rPr>
                  <w:t>[Complete]</w:t>
                </w:r>
              </w:sdtContent>
            </w:sdt>
          </w:p>
        </w:tc>
      </w:tr>
      <w:tr>
        <w:trPr>
          <w:trHeight w:val="510"/>
        </w:trPr>
        <w:tc>
          <w:tcPr>
            <w:tcW w:type="dxa" w:w="3250"/>
            <w:tcMar>
              <w:top w:w="90" w:type="dxa"/>
              <w:bottom w:w="90" w:type="dxa"/>
              <w:left w:w="100" w:type="dxa"/>
              <w:right w:w="100" w:type="dxa"/>
            </w:tcMar>
            <w:shd w:fill="F1F5F2"/>
          </w:tcPr>
          <w:p>
            <w:pPr>
              <w:spacing w:after="20"/>
            </w:pPr>
            <w:sdt>
              <w:sdtPr>
                <w:alias w:val="sec_04-2-EN-3-1"/>
                <w:tag w:val="sec_04-2-EN-3-1"/>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04-2-EN-3-2"/>
                <w:tag w:val="sec_04-2-EN-3-2"/>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04-2-EN-3-3"/>
                <w:tag w:val="sec_04-2-EN-3-3"/>
                <w:text/>
              </w:sdtPr>
              <w:sdtContent>
                <w:r>
                  <w:rPr>
                    <w:rFonts w:ascii="Lato" w:hAnsi="Lato"/>
                    <w:sz w:val="18"/>
                    <w:color w:val="62716E"/>
                  </w:rPr>
                  <w:t>[Complete]</w:t>
                </w:r>
              </w:sdtContent>
            </w:sdt>
          </w:p>
        </w:tc>
      </w:tr>
    </w:tbl>
    <w:p>
      <w:pPr>
        <w:spacing w:after="0"/>
      </w:pPr>
    </w:p>
    <w:p>
      <w:bookmarkStart w:id="3005" w:name="sec_05"/>
      <w:pPr>
        <w:pStyle w:val="Heading1"/>
        <w:keepNext/>
        <w:pageBreakBefore/>
      </w:pPr>
      <w:r>
        <w:t>05  Historical claim status and continuing obligations</w:t>
      </w:r>
      <w:bookmarkEnd w:id="3005"/>
    </w:p>
    <w:p>
      <w:pPr>
        <w:spacing w:after="120"/>
      </w:pPr>
      <w:r>
        <w:rPr>
          <w:rFonts w:ascii="Lato" w:hAnsi="Lato"/>
          <w:b w:val="0"/>
          <w:color w:val="62716E"/>
          <w:sz w:val="16"/>
        </w:rPr>
        <w:t>[1] Basis: MIG-06; MIG-07; MIG-08; U-04; U-05; F-R05a; F-R05b</w:t>
      </w:r>
    </w:p>
    <w:p>
      <w:pPr>
        <w:pStyle w:val="Heading2"/>
        <w:keepNext/>
      </w:pPr>
      <w:r>
        <w:t>Original outcome status</w:t>
      </w:r>
    </w:p>
    <w:p>
      <w:pPr>
        <w:keepNext/>
        <w:spacing w:before="40" w:after="60"/>
      </w:pPr>
      <w:r>
        <w:rPr>
          <w:rFonts w:ascii="Lato" w:hAnsi="Lato"/>
          <w:color w:val="315B50"/>
          <w:sz w:val="18"/>
        </w:rPr>
        <w:t>MIGRATION-RECONCILIATION-T10 / Calculation notation</w:t>
      </w:r>
    </w:p>
    <w:p>
      <w:pPr>
        <w:keepNext/>
        <w:spacing w:before="40" w:after="60"/>
      </w:pPr>
      <m:oMath>
        <m:r>
          <w:rPr>
            <w:sz w:val="18"/>
          </w:rPr>
          <m:t>Δ</m:t>
        </m:r>
        <m:sSub>
          <m:e>
            <m:r>
              <w:rPr>
                <w:sz w:val="18"/>
              </w:rPr>
              <m:t>q</m:t>
            </m:r>
          </m:e>
          <m:sub>
            <m:r>
              <w:rPr>
                <w:sz w:val="18"/>
              </w:rPr>
              <m:rPr>
                <m:sty m:val="p"/>
              </m:rPr>
              <m:t>b</m:t>
            </m:r>
            <m:r>
              <w:rPr>
                <w:sz w:val="18"/>
              </w:rPr>
              <m:rPr>
                <m:sty m:val="p"/>
              </m:rPr>
              <m:t>a</m:t>
            </m:r>
            <m:r>
              <w:rPr>
                <w:sz w:val="18"/>
              </w:rPr>
              <m:rPr>
                <m:sty m:val="p"/>
              </m:rPr>
              <m:t>s</m:t>
            </m:r>
            <m:r>
              <w:rPr>
                <w:sz w:val="18"/>
              </w:rPr>
              <m:rPr>
                <m:sty m:val="p"/>
              </m:rPr>
              <m:t>i</m:t>
            </m:r>
            <m:r>
              <w:rPr>
                <w:sz w:val="18"/>
              </w:rPr>
              <m:rPr>
                <m:sty m:val="p"/>
              </m:rPr>
              <m:t>s</m:t>
            </m:r>
          </m:sub>
        </m:sSub>
        <m:r>
          <w:rPr>
            <w:sz w:val="18"/>
          </w:rPr>
          <m:rPr>
            <m:sty m:val="p"/>
          </m:rPr>
          <m:t>=</m:t>
        </m:r>
        <m:sSup>
          <m:e>
            <m:r>
              <w:rPr>
                <w:sz w:val="18"/>
              </w:rPr>
              <m:t>q</m:t>
            </m:r>
          </m:e>
          <m:sup>
            <m:r>
              <w:rPr>
                <w:sz w:val="18"/>
              </w:rPr>
              <m:rPr>
                <m:sty m:val="p"/>
              </m:rPr>
              <m:t>h</m:t>
            </m:r>
            <m:r>
              <w:rPr>
                <w:sz w:val="18"/>
              </w:rPr>
              <m:rPr>
                <m:sty m:val="p"/>
              </m:rPr>
              <m:t>a</m:t>
            </m:r>
            <m:r>
              <w:rPr>
                <w:sz w:val="18"/>
              </w:rPr>
              <m:rPr>
                <m:sty m:val="p"/>
              </m:rPr>
              <m:t>r</m:t>
            </m:r>
            <m:r>
              <w:rPr>
                <w:sz w:val="18"/>
              </w:rPr>
              <m:rPr>
                <m:sty m:val="p"/>
              </m:rPr>
              <m:t>m</m:t>
            </m:r>
          </m:sup>
        </m:sSup>
        <m:r>
          <w:rPr>
            <w:sz w:val="18"/>
          </w:rPr>
          <m:rPr>
            <m:sty m:val="p"/>
          </m:rPr>
          <m:t>−</m:t>
        </m:r>
        <m:sSup>
          <m:e>
            <m:r>
              <w:rPr>
                <w:sz w:val="18"/>
              </w:rPr>
              <m:t>q</m:t>
            </m:r>
          </m:e>
          <m:sup>
            <m:r>
              <w:rPr>
                <w:sz w:val="18"/>
              </w:rPr>
              <m:rPr>
                <m:sty m:val="p"/>
              </m:rPr>
              <m:t>s</m:t>
            </m:r>
            <m:r>
              <w:rPr>
                <w:sz w:val="18"/>
              </w:rPr>
              <m:rPr>
                <m:sty m:val="p"/>
              </m:rPr>
              <m:t>r</m:t>
            </m:r>
            <m:r>
              <w:rPr>
                <w:sz w:val="18"/>
              </w:rPr>
              <m:rPr>
                <m:sty m:val="p"/>
              </m:rPr>
              <m:t>c</m:t>
            </m:r>
          </m:sup>
        </m:sSup>
        <m:r>
          <w:rPr>
            <w:sz w:val="18"/>
          </w:rPr>
          <m:rPr>
            <m:sty m:val="p"/>
          </m:rPr>
          <m:t>,</m:t>
        </m:r>
        <m:r>
          <w:rPr>
            <w:sz w:val="18"/>
          </w:rPr>
          <m:t> </m:t>
        </m:r>
        <m:r>
          <w:rPr>
            <w:sz w:val="18"/>
          </w:rPr>
          <m:t>Δ</m:t>
        </m:r>
        <m:sSub>
          <m:e>
            <m:r>
              <w:rPr>
                <w:sz w:val="18"/>
              </w:rPr>
              <m:t>q</m:t>
            </m:r>
          </m:e>
          <m:sub>
            <m:r>
              <w:rPr>
                <w:sz w:val="18"/>
              </w:rPr>
              <m:rPr>
                <m:sty m:val="p"/>
              </m:rPr>
              <m:t>m</m:t>
            </m:r>
            <m:r>
              <w:rPr>
                <w:sz w:val="18"/>
              </w:rPr>
              <m:rPr>
                <m:sty m:val="p"/>
              </m:rPr>
              <m:t>e</m:t>
            </m:r>
            <m:r>
              <w:rPr>
                <w:sz w:val="18"/>
              </w:rPr>
              <m:rPr>
                <m:sty m:val="p"/>
              </m:rPr>
              <m:t>t</m:t>
            </m:r>
            <m:r>
              <w:rPr>
                <w:sz w:val="18"/>
              </w:rPr>
              <m:rPr>
                <m:sty m:val="p"/>
              </m:rPr>
              <m:t>h</m:t>
            </m:r>
            <m:r>
              <w:rPr>
                <w:sz w:val="18"/>
              </w:rPr>
              <m:rPr>
                <m:sty m:val="p"/>
              </m:rPr>
              <m:t>o</m:t>
            </m:r>
            <m:r>
              <w:rPr>
                <w:sz w:val="18"/>
              </w:rPr>
              <m:rPr>
                <m:sty m:val="p"/>
              </m:rPr>
              <m:t>d</m:t>
            </m:r>
          </m:sub>
        </m:sSub>
        <m:r>
          <w:rPr>
            <w:sz w:val="18"/>
          </w:rPr>
          <m:rPr>
            <m:sty m:val="p"/>
          </m:rPr>
          <m:t>=</m:t>
        </m:r>
        <m:sSup>
          <m:e>
            <m:r>
              <w:rPr>
                <w:sz w:val="18"/>
              </w:rPr>
              <m:t>q</m:t>
            </m:r>
          </m:e>
          <m:sup>
            <m:r>
              <w:rPr>
                <w:sz w:val="18"/>
              </w:rPr>
              <m:rPr>
                <m:sty m:val="p"/>
              </m:rPr>
              <m:t>N</m:t>
            </m:r>
            <m:r>
              <w:rPr>
                <w:sz w:val="18"/>
              </w:rPr>
              <m:rPr>
                <m:sty m:val="p"/>
              </m:rPr>
              <m:t>E</m:t>
            </m:r>
            <m:r>
              <w:rPr>
                <w:sz w:val="18"/>
              </w:rPr>
              <m:rPr>
                <m:sty m:val="p"/>
              </m:rPr>
              <m:t>B</m:t>
            </m:r>
          </m:sup>
        </m:sSup>
        <m:r>
          <w:rPr>
            <w:sz w:val="18"/>
          </w:rPr>
          <m:rPr>
            <m:sty m:val="p"/>
          </m:rPr>
          <m:t>−</m:t>
        </m:r>
        <m:sSup>
          <m:e>
            <m:r>
              <w:rPr>
                <w:sz w:val="18"/>
              </w:rPr>
              <m:t>q</m:t>
            </m:r>
          </m:e>
          <m:sup>
            <m:r>
              <w:rPr>
                <w:sz w:val="18"/>
              </w:rPr>
              <m:rPr>
                <m:sty m:val="p"/>
              </m:rPr>
              <m:t>h</m:t>
            </m:r>
            <m:r>
              <w:rPr>
                <w:sz w:val="18"/>
              </w:rPr>
              <m:rPr>
                <m:sty m:val="p"/>
              </m:rPr>
              <m:t>a</m:t>
            </m:r>
            <m:r>
              <w:rPr>
                <w:sz w:val="18"/>
              </w:rPr>
              <m:rPr>
                <m:sty m:val="p"/>
              </m:rPr>
              <m:t>r</m:t>
            </m:r>
            <m:r>
              <w:rPr>
                <w:sz w:val="18"/>
              </w:rPr>
              <m:rPr>
                <m:sty m:val="p"/>
              </m:rPr>
              <m:t>m</m:t>
            </m:r>
          </m:sup>
        </m:sSup>
      </m:oMath>
    </w:p>
    <w:p>
      <w:pPr>
        <w:keepNext/>
        <w:spacing w:before="40" w:after="60"/>
      </w:pPr>
      <m:oMath>
        <m:sSup>
          <m:e>
            <m:r>
              <w:rPr>
                <w:sz w:val="18"/>
              </w:rPr>
              <m:t>q</m:t>
            </m:r>
          </m:e>
          <m:sup>
            <m:r>
              <w:rPr>
                <w:sz w:val="18"/>
              </w:rPr>
              <m:rPr>
                <m:sty m:val="p"/>
              </m:rPr>
              <m:t>N</m:t>
            </m:r>
            <m:r>
              <w:rPr>
                <w:sz w:val="18"/>
              </w:rPr>
              <m:rPr>
                <m:sty m:val="p"/>
              </m:rPr>
              <m:t>E</m:t>
            </m:r>
            <m:r>
              <w:rPr>
                <w:sz w:val="18"/>
              </w:rPr>
              <m:rPr>
                <m:sty m:val="p"/>
              </m:rPr>
              <m:t>B</m:t>
            </m:r>
          </m:sup>
        </m:sSup>
        <m:r>
          <w:rPr>
            <w:sz w:val="18"/>
          </w:rPr>
          <m:rPr>
            <m:sty m:val="p"/>
          </m:rPr>
          <m:t>−</m:t>
        </m:r>
        <m:sSup>
          <m:e>
            <m:r>
              <w:rPr>
                <w:sz w:val="18"/>
              </w:rPr>
              <m:t>q</m:t>
            </m:r>
          </m:e>
          <m:sup>
            <m:r>
              <w:rPr>
                <w:sz w:val="18"/>
              </w:rPr>
              <m:rPr>
                <m:sty m:val="p"/>
              </m:rPr>
              <m:t>s</m:t>
            </m:r>
            <m:r>
              <w:rPr>
                <w:sz w:val="18"/>
              </w:rPr>
              <m:rPr>
                <m:sty m:val="p"/>
              </m:rPr>
              <m:t>r</m:t>
            </m:r>
            <m:r>
              <w:rPr>
                <w:sz w:val="18"/>
              </w:rPr>
              <m:rPr>
                <m:sty m:val="p"/>
              </m:rPr>
              <m:t>c</m:t>
            </m:r>
          </m:sup>
        </m:sSup>
        <m:r>
          <w:rPr>
            <w:sz w:val="18"/>
          </w:rPr>
          <m:rPr>
            <m:sty m:val="p"/>
          </m:rPr>
          <m:t>=</m:t>
        </m:r>
        <m:r>
          <w:rPr>
            <w:sz w:val="18"/>
          </w:rPr>
          <m:t>Δ</m:t>
        </m:r>
        <m:sSub>
          <m:e>
            <m:r>
              <w:rPr>
                <w:sz w:val="18"/>
              </w:rPr>
              <m:t>q</m:t>
            </m:r>
          </m:e>
          <m:sub>
            <m:r>
              <w:rPr>
                <w:sz w:val="18"/>
              </w:rPr>
              <m:rPr>
                <m:sty m:val="p"/>
              </m:rPr>
              <m:t>b</m:t>
            </m:r>
            <m:r>
              <w:rPr>
                <w:sz w:val="18"/>
              </w:rPr>
              <m:rPr>
                <m:sty m:val="p"/>
              </m:rPr>
              <m:t>a</m:t>
            </m:r>
            <m:r>
              <w:rPr>
                <w:sz w:val="18"/>
              </w:rPr>
              <m:rPr>
                <m:sty m:val="p"/>
              </m:rPr>
              <m:t>s</m:t>
            </m:r>
            <m:r>
              <w:rPr>
                <w:sz w:val="18"/>
              </w:rPr>
              <m:rPr>
                <m:sty m:val="p"/>
              </m:rPr>
              <m:t>i</m:t>
            </m:r>
            <m:r>
              <w:rPr>
                <w:sz w:val="18"/>
              </w:rPr>
              <m:rPr>
                <m:sty m:val="p"/>
              </m:rPr>
              <m:t>s</m:t>
            </m:r>
          </m:sub>
        </m:sSub>
        <m:r>
          <w:rPr>
            <w:sz w:val="18"/>
          </w:rPr>
          <m:rPr>
            <m:sty m:val="p"/>
          </m:rPr>
          <m:t>+</m:t>
        </m:r>
        <m:r>
          <w:rPr>
            <w:sz w:val="18"/>
          </w:rPr>
          <m:t>Δ</m:t>
        </m:r>
        <m:sSub>
          <m:e>
            <m:r>
              <w:rPr>
                <w:sz w:val="18"/>
              </w:rPr>
              <m:t>q</m:t>
            </m:r>
          </m:e>
          <m:sub>
            <m:r>
              <w:rPr>
                <w:sz w:val="18"/>
              </w:rPr>
              <m:rPr>
                <m:sty m:val="p"/>
              </m:rPr>
              <m:t>m</m:t>
            </m:r>
            <m:r>
              <w:rPr>
                <w:sz w:val="18"/>
              </w:rPr>
              <m:rPr>
                <m:sty m:val="p"/>
              </m:rPr>
              <m:t>e</m:t>
            </m:r>
            <m:r>
              <w:rPr>
                <w:sz w:val="18"/>
              </w:rPr>
              <m:rPr>
                <m:sty m:val="p"/>
              </m:rPr>
              <m:t>t</m:t>
            </m:r>
            <m:r>
              <w:rPr>
                <w:sz w:val="18"/>
              </w:rPr>
              <m:rPr>
                <m:sty m:val="p"/>
              </m:rPr>
              <m:t>h</m:t>
            </m:r>
            <m:r>
              <w:rPr>
                <w:sz w:val="18"/>
              </w:rPr>
              <m:rPr>
                <m:sty m:val="p"/>
              </m:rPr>
              <m:t>o</m:t>
            </m:r>
            <m:r>
              <w:rPr>
                <w:sz w:val="18"/>
              </w:rPr>
              <m:rPr>
                <m:sty m:val="p"/>
              </m:rPr>
              <m:t>d</m:t>
            </m:r>
          </m:sub>
        </m:sSub>
      </m:oMath>
    </w:p>
    <w:p>
      <w:pPr>
        <w:keepNext/>
        <w:spacing w:before="40" w:after="60"/>
      </w:pPr>
      <w:r>
        <w:rPr>
          <w:rFonts w:ascii="Lato" w:hAnsi="Lato"/>
          <w:color w:val="315B50"/>
          <w:sz w:val="16"/>
        </w:rPr>
        <w:t>src retains the original result; harm is the original method on the agreed comparable basis; NEB is the receiving-method result on that basis. This telescoping identity explains differences, not eligibility. Do not force the methodological difference to zero.</w:t>
      </w:r>
    </w:p>
    <w:p>
      <w:pPr>
        <w:keepNext/>
        <w:spacing w:before="40" w:after="60"/>
      </w:pPr>
      <w:r>
        <w:rPr>
          <w:rFonts w:ascii="Lato" w:hAnsi="Lato"/>
          <w:color w:val="315B50"/>
          <w:sz w:val="14"/>
        </w:rPr>
        <w:t>Basis: MIG-05; P-13; reconciliation identity | Workbook: Migration!E:K</w:t>
      </w:r>
    </w:p>
    <w:tbl>
      <w:tblPr>
        <w:tblW w:type="auto" w:w="0"/>
        <w:jc w:val="center"/>
        <w:tblLayout w:type="fixed"/>
        <w:tblLook w:firstColumn="1" w:firstRow="1" w:lastColumn="0" w:lastRow="0" w:noHBand="0" w:noVBand="1" w:val="04A0"/>
      </w:tblPr>
      <w:tblGrid>
        <w:gridCol w:w="3250"/>
        <w:gridCol w:w="3250"/>
        <w:gridCol w:w="3250"/>
      </w:tblGrid>
      <w:tr>
        <w:trPr>
          <w:tblHeader/>
        </w:trPr>
        <w:tc>
          <w:tcPr>
            <w:tcW w:type="dxa" w:w="3250"/>
            <w:tcMar>
              <w:top w:w="90" w:type="dxa"/>
              <w:bottom w:w="90" w:type="dxa"/>
              <w:left w:w="100" w:type="dxa"/>
              <w:right w:w="100" w:type="dxa"/>
            </w:tcMar>
            <w:vAlign w:val="center"/>
            <w:shd w:fill="E6F0EB"/>
          </w:tcPr>
          <w:p>
            <w:r>
              <w:rPr>
                <w:rFonts w:ascii="Lato" w:hAnsi="Lato"/>
                <w:b/>
                <w:color w:val="173E34"/>
                <w:sz w:val="17"/>
              </w:rPr>
              <w:t>Outcome / period / serial or reference</w:t>
            </w:r>
          </w:p>
          <w:p>
            <w:pPr>
              <w:spacing w:before="40" w:after="40"/>
            </w:pPr>
            <m:oMath>
              <m:r>
                <w:rPr>
                  <w:sz w:val="16"/>
                  <w:color w:val="173E34"/>
                </w:rPr>
                <m:t>t</m:t>
              </m:r>
              <m:r>
                <w:rPr>
                  <w:sz w:val="16"/>
                  <w:color w:val="173E34"/>
                </w:rPr>
                <m:rPr>
                  <m:sty m:val="p"/>
                </m:rPr>
                <m:t>,</m:t>
              </m:r>
              <m:r>
                <w:rPr>
                  <w:sz w:val="16"/>
                  <w:color w:val="173E34"/>
                </w:rPr>
                <m:t> </m:t>
              </m:r>
              <m:r>
                <w:rPr>
                  <w:sz w:val="16"/>
                  <w:color w:val="173E34"/>
                </w:rPr>
                <m:t>u</m:t>
              </m:r>
            </m:oMath>
          </w:p>
        </w:tc>
        <w:tc>
          <w:tcPr>
            <w:tcW w:type="dxa" w:w="3250"/>
            <w:tcMar>
              <w:top w:w="90" w:type="dxa"/>
              <w:bottom w:w="90" w:type="dxa"/>
              <w:left w:w="100" w:type="dxa"/>
              <w:right w:w="100" w:type="dxa"/>
            </w:tcMar>
            <w:vAlign w:val="center"/>
            <w:shd w:fill="E6F0EB"/>
          </w:tcPr>
          <w:p>
            <w:r>
              <w:rPr>
                <w:rFonts w:ascii="Lato" w:hAnsi="Lato"/>
                <w:b/>
                <w:color w:val="173E34"/>
                <w:sz w:val="17"/>
              </w:rPr>
              <w:t>Issued / used / retired / canceled / unissued</w:t>
            </w:r>
          </w:p>
          <w:p>
            <w:pPr>
              <w:spacing w:before="40" w:after="40"/>
            </w:pPr>
            <m:oMath>
              <m:sSup>
                <m:e>
                  <m:r>
                    <w:rPr>
                      <w:sz w:val="16"/>
                      <w:color w:val="173E34"/>
                    </w:rPr>
                    <m:t>q</m:t>
                  </m:r>
                </m:e>
                <m:sup>
                  <m:r>
                    <w:rPr>
                      <w:sz w:val="16"/>
                      <w:color w:val="173E34"/>
                    </w:rPr>
                    <m:rPr>
                      <m:sty m:val="p"/>
                    </m:rPr>
                    <m:t>s</m:t>
                  </m:r>
                  <m:r>
                    <w:rPr>
                      <w:sz w:val="16"/>
                      <w:color w:val="173E34"/>
                    </w:rPr>
                    <m:rPr>
                      <m:sty m:val="p"/>
                    </m:rPr>
                    <m:t>r</m:t>
                  </m:r>
                  <m:r>
                    <w:rPr>
                      <w:sz w:val="16"/>
                      <w:color w:val="173E34"/>
                    </w:rPr>
                    <m:rPr>
                      <m:sty m:val="p"/>
                    </m:rPr>
                    <m:t>c</m:t>
                  </m:r>
                </m:sup>
              </m:sSup>
              <m:r>
                <w:rPr>
                  <w:sz w:val="16"/>
                  <w:color w:val="173E34"/>
                </w:rPr>
                <m:rPr>
                  <m:sty m:val="p"/>
                </m:rPr>
                <m:t>,</m:t>
              </m:r>
              <m:r>
                <w:rPr>
                  <w:sz w:val="16"/>
                  <w:color w:val="173E34"/>
                </w:rPr>
                <m:t> </m:t>
              </m:r>
              <m:sSup>
                <m:e>
                  <m:r>
                    <w:rPr>
                      <w:sz w:val="16"/>
                      <w:color w:val="173E34"/>
                    </w:rPr>
                    <m:t>q</m:t>
                  </m:r>
                </m:e>
                <m:sup>
                  <m:r>
                    <w:rPr>
                      <w:sz w:val="16"/>
                      <w:color w:val="173E34"/>
                    </w:rPr>
                    <m:rPr>
                      <m:sty m:val="p"/>
                    </m:rPr>
                    <m:t>h</m:t>
                  </m:r>
                  <m:r>
                    <w:rPr>
                      <w:sz w:val="16"/>
                      <w:color w:val="173E34"/>
                    </w:rPr>
                    <m:rPr>
                      <m:sty m:val="p"/>
                    </m:rPr>
                    <m:t>a</m:t>
                  </m:r>
                  <m:r>
                    <w:rPr>
                      <w:sz w:val="16"/>
                      <w:color w:val="173E34"/>
                    </w:rPr>
                    <m:rPr>
                      <m:sty m:val="p"/>
                    </m:rPr>
                    <m:t>r</m:t>
                  </m:r>
                  <m:r>
                    <w:rPr>
                      <w:sz w:val="16"/>
                      <w:color w:val="173E34"/>
                    </w:rPr>
                    <m:rPr>
                      <m:sty m:val="p"/>
                    </m:rPr>
                    <m:t>m</m:t>
                  </m:r>
                </m:sup>
              </m:sSup>
              <m:r>
                <w:rPr>
                  <w:sz w:val="16"/>
                  <w:color w:val="173E34"/>
                </w:rPr>
                <m:rPr>
                  <m:sty m:val="p"/>
                </m:rPr>
                <m:t>,</m:t>
              </m:r>
              <m:r>
                <w:rPr>
                  <w:sz w:val="16"/>
                  <w:color w:val="173E34"/>
                </w:rPr>
                <m:t> </m:t>
              </m:r>
              <m:sSup>
                <m:e>
                  <m:r>
                    <w:rPr>
                      <w:sz w:val="16"/>
                      <w:color w:val="173E34"/>
                    </w:rPr>
                    <m:t>q</m:t>
                  </m:r>
                </m:e>
                <m:sup>
                  <m:r>
                    <w:rPr>
                      <w:sz w:val="16"/>
                      <w:color w:val="173E34"/>
                    </w:rPr>
                    <m:rPr>
                      <m:sty m:val="p"/>
                    </m:rPr>
                    <m:t>N</m:t>
                  </m:r>
                  <m:r>
                    <w:rPr>
                      <w:sz w:val="16"/>
                      <w:color w:val="173E34"/>
                    </w:rPr>
                    <m:rPr>
                      <m:sty m:val="p"/>
                    </m:rPr>
                    <m:t>E</m:t>
                  </m:r>
                  <m:r>
                    <w:rPr>
                      <w:sz w:val="16"/>
                      <w:color w:val="173E34"/>
                    </w:rPr>
                    <m:rPr>
                      <m:sty m:val="p"/>
                    </m:rPr>
                    <m:t>B</m:t>
                  </m:r>
                </m:sup>
              </m:sSup>
            </m:oMath>
          </w:p>
        </w:tc>
        <w:tc>
          <w:tcPr>
            <w:tcW w:type="dxa" w:w="3250"/>
            <w:tcMar>
              <w:top w:w="90" w:type="dxa"/>
              <w:bottom w:w="90" w:type="dxa"/>
              <w:left w:w="100" w:type="dxa"/>
              <w:right w:w="100" w:type="dxa"/>
            </w:tcMar>
            <w:vAlign w:val="center"/>
            <w:shd w:fill="E6F0EB"/>
          </w:tcPr>
          <w:p>
            <w:r>
              <w:rPr>
                <w:rFonts w:ascii="Lato" w:hAnsi="Lato"/>
                <w:b/>
                <w:color w:val="173E34"/>
                <w:sz w:val="17"/>
              </w:rPr>
              <w:t>Compatible quantity and authoritative evidence</w:t>
            </w:r>
          </w:p>
          <w:p>
            <w:pPr>
              <w:spacing w:before="40" w:after="40"/>
            </w:pPr>
            <m:oMath>
              <m:r>
                <w:rPr>
                  <w:sz w:val="16"/>
                  <w:color w:val="173E34"/>
                </w:rPr>
                <m:t>Δ</m:t>
              </m:r>
              <m:sSub>
                <m:e>
                  <m:r>
                    <w:rPr>
                      <w:sz w:val="16"/>
                      <w:color w:val="173E34"/>
                    </w:rPr>
                    <m:t>q</m:t>
                  </m:r>
                </m:e>
                <m:sub>
                  <m:r>
                    <w:rPr>
                      <w:sz w:val="16"/>
                      <w:color w:val="173E34"/>
                    </w:rPr>
                    <m:rPr>
                      <m:sty m:val="p"/>
                    </m:rPr>
                    <m:t>b</m:t>
                  </m:r>
                  <m:r>
                    <w:rPr>
                      <w:sz w:val="16"/>
                      <w:color w:val="173E34"/>
                    </w:rPr>
                    <m:rPr>
                      <m:sty m:val="p"/>
                    </m:rPr>
                    <m:t>a</m:t>
                  </m:r>
                  <m:r>
                    <w:rPr>
                      <w:sz w:val="16"/>
                      <w:color w:val="173E34"/>
                    </w:rPr>
                    <m:rPr>
                      <m:sty m:val="p"/>
                    </m:rPr>
                    <m:t>s</m:t>
                  </m:r>
                  <m:r>
                    <w:rPr>
                      <w:sz w:val="16"/>
                      <w:color w:val="173E34"/>
                    </w:rPr>
                    <m:rPr>
                      <m:sty m:val="p"/>
                    </m:rPr>
                    <m:t>i</m:t>
                  </m:r>
                  <m:r>
                    <w:rPr>
                      <w:sz w:val="16"/>
                      <w:color w:val="173E34"/>
                    </w:rPr>
                    <m:rPr>
                      <m:sty m:val="p"/>
                    </m:rPr>
                    <m:t>s</m:t>
                  </m:r>
                </m:sub>
              </m:sSub>
              <m:r>
                <w:rPr>
                  <w:sz w:val="16"/>
                  <w:color w:val="173E34"/>
                </w:rPr>
                <m:rPr>
                  <m:sty m:val="p"/>
                </m:rPr>
                <m:t>,</m:t>
              </m:r>
              <m:r>
                <w:rPr>
                  <w:sz w:val="16"/>
                  <w:color w:val="173E34"/>
                </w:rPr>
                <m:t> </m:t>
              </m:r>
              <m:r>
                <w:rPr>
                  <w:sz w:val="16"/>
                  <w:color w:val="173E34"/>
                </w:rPr>
                <m:t>Δ</m:t>
              </m:r>
              <m:sSub>
                <m:e>
                  <m:r>
                    <w:rPr>
                      <w:sz w:val="16"/>
                      <w:color w:val="173E34"/>
                    </w:rPr>
                    <m:t>q</m:t>
                  </m:r>
                </m:e>
                <m:sub>
                  <m:r>
                    <w:rPr>
                      <w:sz w:val="16"/>
                      <w:color w:val="173E34"/>
                    </w:rPr>
                    <m:rPr>
                      <m:sty m:val="p"/>
                    </m:rPr>
                    <m:t>m</m:t>
                  </m:r>
                  <m:r>
                    <w:rPr>
                      <w:sz w:val="16"/>
                      <w:color w:val="173E34"/>
                    </w:rPr>
                    <m:rPr>
                      <m:sty m:val="p"/>
                    </m:rPr>
                    <m:t>e</m:t>
                  </m:r>
                  <m:r>
                    <w:rPr>
                      <w:sz w:val="16"/>
                      <w:color w:val="173E34"/>
                    </w:rPr>
                    <m:rPr>
                      <m:sty m:val="p"/>
                    </m:rPr>
                    <m:t>t</m:t>
                  </m:r>
                  <m:r>
                    <w:rPr>
                      <w:sz w:val="16"/>
                      <w:color w:val="173E34"/>
                    </w:rPr>
                    <m:rPr>
                      <m:sty m:val="p"/>
                    </m:rPr>
                    <m:t>h</m:t>
                  </m:r>
                  <m:r>
                    <w:rPr>
                      <w:sz w:val="16"/>
                      <w:color w:val="173E34"/>
                    </w:rPr>
                    <m:rPr>
                      <m:sty m:val="p"/>
                    </m:rPr>
                    <m:t>o</m:t>
                  </m:r>
                  <m:r>
                    <w:rPr>
                      <w:sz w:val="16"/>
                      <w:color w:val="173E34"/>
                    </w:rPr>
                    <m:rPr>
                      <m:sty m:val="p"/>
                    </m:rPr>
                    <m:t>d</m:t>
                  </m:r>
                </m:sub>
              </m:sSub>
            </m:oMath>
          </w:p>
        </w:tc>
      </w:tr>
      <w:tr>
        <w:trPr>
          <w:trHeight w:val="510"/>
        </w:trPr>
        <w:tc>
          <w:tcPr>
            <w:tcW w:type="dxa" w:w="3250"/>
            <w:tcMar>
              <w:top w:w="90" w:type="dxa"/>
              <w:bottom w:w="90" w:type="dxa"/>
              <w:left w:w="100" w:type="dxa"/>
              <w:right w:w="100" w:type="dxa"/>
            </w:tcMar>
            <w:shd w:fill="F1F5F2"/>
          </w:tcPr>
          <w:p>
            <w:pPr>
              <w:spacing w:after="20"/>
            </w:pPr>
            <w:sdt>
              <w:sdtPr>
                <w:alias w:val="sec_05-0-EN-1-1"/>
                <w:tag w:val="sec_05-0-EN-1-1"/>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05-0-EN-1-2"/>
                <w:tag w:val="sec_05-0-EN-1-2"/>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05-0-EN-1-3"/>
                <w:tag w:val="sec_05-0-EN-1-3"/>
                <w:text/>
              </w:sdtPr>
              <w:sdtContent>
                <w:r>
                  <w:rPr>
                    <w:rFonts w:ascii="Lato" w:hAnsi="Lato"/>
                    <w:sz w:val="18"/>
                    <w:color w:val="62716E"/>
                  </w:rPr>
                  <w:t>[Complete]</w:t>
                </w:r>
              </w:sdtContent>
            </w:sdt>
          </w:p>
        </w:tc>
      </w:tr>
      <w:tr>
        <w:trPr>
          <w:trHeight w:val="510"/>
        </w:trPr>
        <w:tc>
          <w:tcPr>
            <w:tcW w:type="dxa" w:w="3250"/>
            <w:tcMar>
              <w:top w:w="90" w:type="dxa"/>
              <w:bottom w:w="90" w:type="dxa"/>
              <w:left w:w="100" w:type="dxa"/>
              <w:right w:w="100" w:type="dxa"/>
            </w:tcMar>
            <w:shd w:fill="FFFFFF"/>
          </w:tcPr>
          <w:p>
            <w:pPr>
              <w:spacing w:after="20"/>
            </w:pPr>
            <w:sdt>
              <w:sdtPr>
                <w:alias w:val="sec_05-0-EN-2-1"/>
                <w:tag w:val="sec_05-0-EN-2-1"/>
                <w:text/>
              </w:sdtPr>
              <w:sdtContent>
                <w:r>
                  <w:rPr>
                    <w:rFonts w:ascii="Lato" w:hAnsi="Lato"/>
                    <w:sz w:val="18"/>
                    <w:color w:val="62716E"/>
                  </w:rPr>
                  <w:t>[Complete]</w:t>
                </w:r>
              </w:sdtContent>
            </w:sdt>
          </w:p>
        </w:tc>
        <w:tc>
          <w:tcPr>
            <w:tcW w:type="dxa" w:w="3250"/>
            <w:tcMar>
              <w:top w:w="90" w:type="dxa"/>
              <w:bottom w:w="90" w:type="dxa"/>
              <w:left w:w="100" w:type="dxa"/>
              <w:right w:w="100" w:type="dxa"/>
            </w:tcMar>
            <w:shd w:fill="FFFFFF"/>
          </w:tcPr>
          <w:p>
            <w:pPr>
              <w:spacing w:after="20"/>
            </w:pPr>
            <w:sdt>
              <w:sdtPr>
                <w:alias w:val="sec_05-0-EN-2-2"/>
                <w:tag w:val="sec_05-0-EN-2-2"/>
                <w:text/>
              </w:sdtPr>
              <w:sdtContent>
                <w:r>
                  <w:rPr>
                    <w:rFonts w:ascii="Lato" w:hAnsi="Lato"/>
                    <w:sz w:val="18"/>
                    <w:color w:val="62716E"/>
                  </w:rPr>
                  <w:t>[Complete]</w:t>
                </w:r>
              </w:sdtContent>
            </w:sdt>
          </w:p>
        </w:tc>
        <w:tc>
          <w:tcPr>
            <w:tcW w:type="dxa" w:w="3250"/>
            <w:tcMar>
              <w:top w:w="90" w:type="dxa"/>
              <w:bottom w:w="90" w:type="dxa"/>
              <w:left w:w="100" w:type="dxa"/>
              <w:right w:w="100" w:type="dxa"/>
            </w:tcMar>
            <w:shd w:fill="FFFFFF"/>
          </w:tcPr>
          <w:p>
            <w:pPr>
              <w:spacing w:after="20"/>
            </w:pPr>
            <w:sdt>
              <w:sdtPr>
                <w:alias w:val="sec_05-0-EN-2-3"/>
                <w:tag w:val="sec_05-0-EN-2-3"/>
                <w:text/>
              </w:sdtPr>
              <w:sdtContent>
                <w:r>
                  <w:rPr>
                    <w:rFonts w:ascii="Lato" w:hAnsi="Lato"/>
                    <w:sz w:val="18"/>
                    <w:color w:val="62716E"/>
                  </w:rPr>
                  <w:t>[Complete]</w:t>
                </w:r>
              </w:sdtContent>
            </w:sdt>
          </w:p>
        </w:tc>
      </w:tr>
      <w:tr>
        <w:trPr>
          <w:trHeight w:val="510"/>
        </w:trPr>
        <w:tc>
          <w:tcPr>
            <w:tcW w:type="dxa" w:w="3250"/>
            <w:tcMar>
              <w:top w:w="90" w:type="dxa"/>
              <w:bottom w:w="90" w:type="dxa"/>
              <w:left w:w="100" w:type="dxa"/>
              <w:right w:w="100" w:type="dxa"/>
            </w:tcMar>
            <w:shd w:fill="F1F5F2"/>
          </w:tcPr>
          <w:p>
            <w:pPr>
              <w:spacing w:after="20"/>
            </w:pPr>
            <w:sdt>
              <w:sdtPr>
                <w:alias w:val="sec_05-0-EN-3-1"/>
                <w:tag w:val="sec_05-0-EN-3-1"/>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05-0-EN-3-2"/>
                <w:tag w:val="sec_05-0-EN-3-2"/>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05-0-EN-3-3"/>
                <w:tag w:val="sec_05-0-EN-3-3"/>
                <w:text/>
              </w:sdtPr>
              <w:sdtContent>
                <w:r>
                  <w:rPr>
                    <w:rFonts w:ascii="Lato" w:hAnsi="Lato"/>
                    <w:sz w:val="18"/>
                    <w:color w:val="62716E"/>
                  </w:rPr>
                  <w:t>[Complete]</w:t>
                </w:r>
              </w:sdtContent>
            </w:sdt>
          </w:p>
        </w:tc>
      </w:tr>
    </w:tbl>
    <w:p>
      <w:pPr>
        <w:spacing w:after="0"/>
      </w:pPr>
    </w:p>
    <w:p>
      <w:pPr>
        <w:pStyle w:val="Heading2"/>
        <w:keepNext/>
      </w:pPr>
      <w:r>
        <w:t>Continuing balance</w:t>
      </w:r>
    </w:p>
    <w:p>
      <w:pPr>
        <w:keepNext/>
        <w:spacing w:before="40" w:after="60"/>
      </w:pPr>
      <w:r>
        <w:rPr>
          <w:rFonts w:ascii="Lato" w:hAnsi="Lato"/>
          <w:color w:val="315B50"/>
          <w:sz w:val="18"/>
        </w:rPr>
        <w:t>MIGRATION-RECONCILIATION-T11 / Calculation notation</w:t>
      </w:r>
    </w:p>
    <w:p>
      <w:pPr>
        <w:keepNext/>
        <w:spacing w:before="40" w:after="60"/>
      </w:pPr>
      <m:oMath>
        <m:sSubSup>
          <m:e>
            <m:r>
              <w:rPr>
                <w:sz w:val="18"/>
              </w:rPr>
              <m:t>N</m:t>
            </m:r>
          </m:e>
          <m:sub>
            <m:r>
              <w:rPr>
                <w:sz w:val="18"/>
              </w:rPr>
              <m:t>t</m:t>
            </m:r>
          </m:sub>
          <m:sup>
            <m:r>
              <w:rPr>
                <w:sz w:val="18"/>
              </w:rPr>
              <m:rPr>
                <m:sty m:val="p"/>
              </m:rPr>
              <m:t>−</m:t>
            </m:r>
          </m:sup>
        </m:sSubSup>
        <m:r>
          <w:rPr>
            <w:sz w:val="18"/>
          </w:rPr>
          <m:rPr>
            <m:sty m:val="p"/>
          </m:rPr>
          <m:t>=</m:t>
        </m:r>
        <m:r>
          <w:rPr>
            <w:sz w:val="18"/>
          </w:rPr>
          <m:rPr>
            <m:sty m:val="p"/>
          </m:rPr>
          <m:t>max</m:t>
        </m:r>
        <m:d>
          <m:dPr>
            <m:begChr m:val="("/>
            <m:endChr m:val=")"/>
            <m:sepChr m:val=""/>
            <m:grow/>
          </m:dPr>
          <m:e>
            <m:r>
              <w:rPr>
                <w:sz w:val="18"/>
              </w:rPr>
              <m:t>0</m:t>
            </m:r>
            <m:r>
              <w:rPr>
                <w:sz w:val="18"/>
              </w:rPr>
              <m:rPr>
                <m:sty m:val="p"/>
              </m:rPr>
              <m:t>,</m:t>
            </m:r>
            <m:r>
              <w:rPr>
                <w:sz w:val="18"/>
              </w:rPr>
              <m:rPr>
                <m:sty m:val="p"/>
              </m:rPr>
              <m:t>−</m:t>
            </m:r>
            <m:sSubSup>
              <m:e>
                <m:r>
                  <w:rPr>
                    <w:sz w:val="18"/>
                  </w:rPr>
                  <m:t>Q</m:t>
                </m:r>
              </m:e>
              <m:sub>
                <m:r>
                  <w:rPr>
                    <w:sz w:val="18"/>
                  </w:rPr>
                  <m:t>t</m:t>
                </m:r>
              </m:sub>
              <m:sup>
                <m:r>
                  <w:rPr>
                    <w:sz w:val="18"/>
                  </w:rPr>
                  <m:rPr>
                    <m:sty m:val="p"/>
                  </m:rPr>
                  <m:t>l</m:t>
                </m:r>
                <m:r>
                  <w:rPr>
                    <w:sz w:val="18"/>
                  </w:rPr>
                  <m:rPr>
                    <m:sty m:val="p"/>
                  </m:rPr>
                  <m:t>o</m:t>
                </m:r>
                <m:r>
                  <w:rPr>
                    <w:sz w:val="18"/>
                  </w:rPr>
                  <m:rPr>
                    <m:sty m:val="p"/>
                  </m:rPr>
                  <m:t>w</m:t>
                </m:r>
              </m:sup>
            </m:sSubSup>
          </m:e>
        </m:d>
        <m:r>
          <w:rPr>
            <w:sz w:val="18"/>
          </w:rPr>
          <m:rPr>
            <m:sty m:val="p"/>
          </m:rPr>
          <m:t>,</m:t>
        </m:r>
        <m:r>
          <w:rPr>
            <w:sz w:val="18"/>
          </w:rPr>
          <m:t> </m:t>
        </m:r>
        <m:r>
          <w:rPr>
            <w:sz w:val="18"/>
          </w:rPr>
          <m:t>Δ</m:t>
        </m:r>
        <m:sSubSup>
          <m:e>
            <m:r>
              <w:rPr>
                <w:sz w:val="18"/>
              </w:rPr>
              <m:t>D</m:t>
            </m:r>
          </m:e>
          <m:sub>
            <m:r>
              <w:rPr>
                <w:sz w:val="18"/>
              </w:rPr>
              <m:t>t</m:t>
            </m:r>
          </m:sub>
          <m:sup>
            <m:r>
              <w:rPr>
                <w:sz w:val="18"/>
              </w:rPr>
              <m:rPr>
                <m:sty m:val="p"/>
              </m:rPr>
              <m:t>−</m:t>
            </m:r>
          </m:sup>
        </m:sSubSup>
        <m:r>
          <w:rPr>
            <w:sz w:val="18"/>
          </w:rPr>
          <m:rPr>
            <m:sty m:val="p"/>
          </m:rPr>
          <m:t>=</m:t>
        </m:r>
        <m:sSubSup>
          <m:e>
            <m:r>
              <w:rPr>
                <w:sz w:val="18"/>
              </w:rPr>
              <m:t>N</m:t>
            </m:r>
          </m:e>
          <m:sub>
            <m:r>
              <w:rPr>
                <w:sz w:val="18"/>
              </w:rPr>
              <m:t>t</m:t>
            </m:r>
          </m:sub>
          <m:sup>
            <m:r>
              <w:rPr>
                <w:sz w:val="18"/>
              </w:rPr>
              <m:rPr>
                <m:sty m:val="p"/>
              </m:rPr>
              <m:t>−</m:t>
            </m:r>
          </m:sup>
        </m:sSubSup>
        <m:r>
          <w:rPr>
            <w:sz w:val="18"/>
          </w:rPr>
          <m:rPr>
            <m:sty m:val="p"/>
          </m:rPr>
          <m:t>−</m:t>
        </m:r>
        <m:sSub>
          <m:e>
            <m:r>
              <w:rPr>
                <w:sz w:val="18"/>
              </w:rPr>
              <m:t>O</m:t>
            </m:r>
          </m:e>
          <m:sub>
            <m:r>
              <w:rPr>
                <w:sz w:val="18"/>
              </w:rPr>
              <m:t>t</m:t>
            </m:r>
          </m:sub>
        </m:sSub>
        <m:r>
          <w:rPr>
            <w:sz w:val="18"/>
          </w:rPr>
          <m:rPr>
            <m:sty m:val="p"/>
          </m:rPr>
          <m:t>−</m:t>
        </m:r>
        <m:sSubSup>
          <m:e>
            <m:r>
              <w:rPr>
                <w:sz w:val="18"/>
              </w:rPr>
              <m:t>C</m:t>
            </m:r>
          </m:e>
          <m:sub>
            <m:r>
              <w:rPr>
                <w:sz w:val="18"/>
              </w:rPr>
              <m:t>t</m:t>
            </m:r>
          </m:sub>
          <m:sup>
            <m:r>
              <w:rPr>
                <w:sz w:val="18"/>
              </w:rPr>
              <m:rPr>
                <m:sty m:val="p"/>
              </m:rPr>
              <m:t>−</m:t>
            </m:r>
          </m:sup>
        </m:sSubSup>
      </m:oMath>
    </w:p>
    <w:p>
      <w:pPr>
        <w:keepNext/>
        <w:spacing w:before="40" w:after="60"/>
      </w:pPr>
      <m:oMath>
        <m:sSub>
          <m:e>
            <m:r>
              <w:rPr>
                <w:sz w:val="18"/>
              </w:rPr>
              <m:t>D</m:t>
            </m:r>
          </m:e>
          <m:sub>
            <m:r>
              <w:rPr>
                <w:sz w:val="18"/>
              </w:rPr>
              <m:t>t</m:t>
            </m:r>
            <m:r>
              <w:rPr>
                <w:sz w:val="18"/>
              </w:rPr>
              <m:rPr>
                <m:sty m:val="p"/>
              </m:rPr>
              <m:t>+</m:t>
            </m:r>
            <m:r>
              <w:rPr>
                <w:sz w:val="18"/>
              </w:rPr>
              <m:t>1</m:t>
            </m:r>
          </m:sub>
        </m:sSub>
        <m:r>
          <w:rPr>
            <w:sz w:val="18"/>
          </w:rPr>
          <m:rPr>
            <m:sty m:val="p"/>
          </m:rPr>
          <m:t>=</m:t>
        </m:r>
        <m:sSubSup>
          <m:e>
            <m:r>
              <w:rPr>
                <w:sz w:val="18"/>
              </w:rPr>
              <m:t>D</m:t>
            </m:r>
          </m:e>
          <m:sub>
            <m:r>
              <w:rPr>
                <w:sz w:val="18"/>
              </w:rPr>
              <m:t>t</m:t>
            </m:r>
          </m:sub>
          <m:sup>
            <m:r>
              <w:rPr>
                <w:sz w:val="18"/>
              </w:rPr>
              <m:rPr>
                <m:sty m:val="p"/>
              </m:rPr>
              <m:t>r</m:t>
            </m:r>
            <m:r>
              <w:rPr>
                <w:sz w:val="18"/>
              </w:rPr>
              <m:rPr>
                <m:sty m:val="p"/>
              </m:rPr>
              <m:t>e</m:t>
            </m:r>
            <m:r>
              <w:rPr>
                <w:sz w:val="18"/>
              </w:rPr>
              <m:rPr>
                <m:sty m:val="p"/>
              </m:rPr>
              <m:t>m</m:t>
            </m:r>
          </m:sup>
        </m:sSubSup>
        <m:r>
          <w:rPr>
            <w:sz w:val="18"/>
          </w:rPr>
          <m:rPr>
            <m:sty m:val="p"/>
          </m:rPr>
          <m:t>+</m:t>
        </m:r>
        <m:r>
          <w:rPr>
            <w:sz w:val="18"/>
          </w:rPr>
          <m:t>Δ</m:t>
        </m:r>
        <m:sSubSup>
          <m:e>
            <m:r>
              <w:rPr>
                <w:sz w:val="18"/>
              </w:rPr>
              <m:t>D</m:t>
            </m:r>
          </m:e>
          <m:sub>
            <m:r>
              <w:rPr>
                <w:sz w:val="18"/>
              </w:rPr>
              <m:t>t</m:t>
            </m:r>
          </m:sub>
          <m:sup>
            <m:r>
              <w:rPr>
                <w:sz w:val="18"/>
              </w:rPr>
              <m:rPr>
                <m:sty m:val="p"/>
              </m:rPr>
              <m:t>−</m:t>
            </m:r>
          </m:sup>
        </m:sSubSup>
      </m:oMath>
    </w:p>
    <w:p>
      <w:pPr>
        <w:keepNext/>
        <w:spacing w:before="40" w:after="60"/>
      </w:pPr>
      <w:r>
        <w:rPr>
          <w:rFonts w:ascii="Lato" w:hAnsi="Lato"/>
          <w:color w:val="315B50"/>
          <w:sz w:val="16"/>
        </w:rPr>
        <w:t>FULL_BOUND only when expressly adopted. O is a documented previously recognized portion of the same deficit; C_minus is executed reserve cancellation for a disjoint portion. Require O+C_minus &lt;= N_minus. A negative uncertainty bound is not automatically a physical reversal.</w:t>
      </w:r>
    </w:p>
    <w:p>
      <w:pPr>
        <w:keepNext/>
        <w:spacing w:before="40" w:after="60"/>
      </w:pPr>
      <w:r>
        <w:rPr>
          <w:rFonts w:ascii="Lato" w:hAnsi="Lato"/>
          <w:color w:val="315B50"/>
          <w:sz w:val="14"/>
        </w:rPr>
        <w:t>Basis: F-R05a; F-R05b; F-03 | Workbook: CarryForward!B:J; Settlement!I</w:t>
      </w:r>
    </w:p>
    <w:tbl>
      <w:tblPr>
        <w:tblW w:type="auto" w:w="0"/>
        <w:jc w:val="center"/>
        <w:tblLayout w:type="fixed"/>
        <w:tblLook w:firstColumn="1" w:firstRow="1" w:lastColumn="0" w:lastRow="0" w:noHBand="0" w:noVBand="1" w:val="04A0"/>
      </w:tblPr>
      <w:tblGrid>
        <w:gridCol w:w="3250"/>
        <w:gridCol w:w="3250"/>
        <w:gridCol w:w="3250"/>
      </w:tblGrid>
      <w:tr>
        <w:trPr>
          <w:tblHeader/>
        </w:trPr>
        <w:tc>
          <w:tcPr>
            <w:tcW w:type="dxa" w:w="3250"/>
            <w:tcMar>
              <w:top w:w="90" w:type="dxa"/>
              <w:bottom w:w="90" w:type="dxa"/>
              <w:left w:w="100" w:type="dxa"/>
              <w:right w:w="100" w:type="dxa"/>
            </w:tcMar>
            <w:vAlign w:val="center"/>
            <w:shd w:fill="E6F0EB"/>
          </w:tcPr>
          <w:p>
            <w:r>
              <w:rPr>
                <w:rFonts w:ascii="Lato" w:hAnsi="Lato"/>
                <w:b/>
                <w:color w:val="173E34"/>
                <w:sz w:val="17"/>
              </w:rPr>
              <w:t>Liability, reserve or delayed release</w:t>
            </w:r>
          </w:p>
          <w:p>
            <w:pPr>
              <w:spacing w:before="40" w:after="40"/>
            </w:pPr>
            <m:oMath>
              <m:sSubSup>
                <m:e>
                  <m:r>
                    <w:rPr>
                      <w:sz w:val="16"/>
                      <w:color w:val="173E34"/>
                    </w:rPr>
                    <m:t>Q</m:t>
                  </m:r>
                </m:e>
                <m:sub>
                  <m:r>
                    <w:rPr>
                      <w:sz w:val="16"/>
                      <w:color w:val="173E34"/>
                    </w:rPr>
                    <m:t>t</m:t>
                  </m:r>
                </m:sub>
                <m:sup>
                  <m:r>
                    <w:rPr>
                      <w:sz w:val="16"/>
                      <w:color w:val="173E34"/>
                    </w:rPr>
                    <m:rPr>
                      <m:sty m:val="p"/>
                    </m:rPr>
                    <m:t>l</m:t>
                  </m:r>
                  <m:r>
                    <w:rPr>
                      <w:sz w:val="16"/>
                      <w:color w:val="173E34"/>
                    </w:rPr>
                    <m:rPr>
                      <m:sty m:val="p"/>
                    </m:rPr>
                    <m:t>o</m:t>
                  </m:r>
                  <m:r>
                    <w:rPr>
                      <w:sz w:val="16"/>
                      <w:color w:val="173E34"/>
                    </w:rPr>
                    <m:rPr>
                      <m:sty m:val="p"/>
                    </m:rPr>
                    <m:t>w</m:t>
                  </m:r>
                </m:sup>
              </m:sSubSup>
              <m:r>
                <w:rPr>
                  <w:sz w:val="16"/>
                  <w:color w:val="173E34"/>
                </w:rPr>
                <m:rPr>
                  <m:sty m:val="p"/>
                </m:rPr>
                <m:t>,</m:t>
              </m:r>
              <m:r>
                <w:rPr>
                  <w:sz w:val="16"/>
                  <w:color w:val="173E34"/>
                </w:rPr>
                <m:t> </m:t>
              </m:r>
              <m:sSubSup>
                <m:e>
                  <m:r>
                    <w:rPr>
                      <w:sz w:val="16"/>
                      <w:color w:val="173E34"/>
                    </w:rPr>
                    <m:t>N</m:t>
                  </m:r>
                </m:e>
                <m:sub>
                  <m:r>
                    <w:rPr>
                      <w:sz w:val="16"/>
                      <w:color w:val="173E34"/>
                    </w:rPr>
                    <m:t>t</m:t>
                  </m:r>
                </m:sub>
                <m:sup>
                  <m:r>
                    <w:rPr>
                      <w:sz w:val="16"/>
                      <w:color w:val="173E34"/>
                    </w:rPr>
                    <m:rPr>
                      <m:sty m:val="p"/>
                    </m:rPr>
                    <m:t>−</m:t>
                  </m:r>
                </m:sup>
              </m:sSubSup>
            </m:oMath>
          </w:p>
        </w:tc>
        <w:tc>
          <w:tcPr>
            <w:tcW w:type="dxa" w:w="3250"/>
            <w:tcMar>
              <w:top w:w="90" w:type="dxa"/>
              <w:bottom w:w="90" w:type="dxa"/>
              <w:left w:w="100" w:type="dxa"/>
              <w:right w:w="100" w:type="dxa"/>
            </w:tcMar>
            <w:vAlign w:val="center"/>
            <w:shd w:fill="E6F0EB"/>
          </w:tcPr>
          <w:p>
            <w:r>
              <w:rPr>
                <w:rFonts w:ascii="Lato" w:hAnsi="Lato"/>
                <w:b/>
                <w:color w:val="173E34"/>
                <w:sz w:val="17"/>
              </w:rPr>
              <w:t>Opening amount, custody and commitment</w:t>
            </w:r>
          </w:p>
          <w:p>
            <w:pPr>
              <w:spacing w:before="40" w:after="40"/>
            </w:pPr>
            <m:oMath>
              <m:sSub>
                <m:e>
                  <m:r>
                    <w:rPr>
                      <w:sz w:val="16"/>
                      <w:color w:val="173E34"/>
                    </w:rPr>
                    <m:t>O</m:t>
                  </m:r>
                </m:e>
                <m:sub>
                  <m:r>
                    <w:rPr>
                      <w:sz w:val="16"/>
                      <w:color w:val="173E34"/>
                    </w:rPr>
                    <m:t>t</m:t>
                  </m:r>
                </m:sub>
              </m:sSub>
              <m:r>
                <w:rPr>
                  <w:sz w:val="16"/>
                  <w:color w:val="173E34"/>
                </w:rPr>
                <m:rPr>
                  <m:sty m:val="p"/>
                </m:rPr>
                <m:t>,</m:t>
              </m:r>
              <m:r>
                <w:rPr>
                  <w:sz w:val="16"/>
                  <w:color w:val="173E34"/>
                </w:rPr>
                <m:t> </m:t>
              </m:r>
              <m:sSubSup>
                <m:e>
                  <m:r>
                    <w:rPr>
                      <w:sz w:val="16"/>
                      <w:color w:val="173E34"/>
                    </w:rPr>
                    <m:t>C</m:t>
                  </m:r>
                </m:e>
                <m:sub>
                  <m:r>
                    <w:rPr>
                      <w:sz w:val="16"/>
                      <w:color w:val="173E34"/>
                    </w:rPr>
                    <m:t>t</m:t>
                  </m:r>
                </m:sub>
                <m:sup>
                  <m:r>
                    <w:rPr>
                      <w:sz w:val="16"/>
                      <w:color w:val="173E34"/>
                    </w:rPr>
                    <m:rPr>
                      <m:sty m:val="p"/>
                    </m:rPr>
                    <m:t>−</m:t>
                  </m:r>
                </m:sup>
              </m:sSubSup>
            </m:oMath>
          </w:p>
        </w:tc>
        <w:tc>
          <w:tcPr>
            <w:tcW w:type="dxa" w:w="3250"/>
            <w:tcMar>
              <w:top w:w="90" w:type="dxa"/>
              <w:bottom w:w="90" w:type="dxa"/>
              <w:left w:w="100" w:type="dxa"/>
              <w:right w:w="100" w:type="dxa"/>
            </w:tcMar>
            <w:vAlign w:val="center"/>
            <w:shd w:fill="E6F0EB"/>
          </w:tcPr>
          <w:p>
            <w:r>
              <w:rPr>
                <w:rFonts w:ascii="Lato" w:hAnsi="Lato"/>
                <w:b/>
                <w:color w:val="173E34"/>
                <w:sz w:val="17"/>
              </w:rPr>
              <w:t>Receiving treatment / obligor / closing record</w:t>
            </w:r>
          </w:p>
          <w:p>
            <w:pPr>
              <w:spacing w:before="40" w:after="40"/>
            </w:pPr>
            <m:oMath>
              <m:r>
                <w:rPr>
                  <w:sz w:val="16"/>
                  <w:color w:val="173E34"/>
                </w:rPr>
                <m:t>Δ</m:t>
              </m:r>
              <m:sSubSup>
                <m:e>
                  <m:r>
                    <w:rPr>
                      <w:sz w:val="16"/>
                      <w:color w:val="173E34"/>
                    </w:rPr>
                    <m:t>D</m:t>
                  </m:r>
                </m:e>
                <m:sub>
                  <m:r>
                    <w:rPr>
                      <w:sz w:val="16"/>
                      <w:color w:val="173E34"/>
                    </w:rPr>
                    <m:t>t</m:t>
                  </m:r>
                </m:sub>
                <m:sup>
                  <m:r>
                    <w:rPr>
                      <w:sz w:val="16"/>
                      <w:color w:val="173E34"/>
                    </w:rPr>
                    <m:rPr>
                      <m:sty m:val="p"/>
                    </m:rPr>
                    <m:t>−</m:t>
                  </m:r>
                </m:sup>
              </m:sSubSup>
              <m:r>
                <w:rPr>
                  <w:sz w:val="16"/>
                  <w:color w:val="173E34"/>
                </w:rPr>
                <m:rPr>
                  <m:sty m:val="p"/>
                </m:rPr>
                <m:t>,</m:t>
              </m:r>
              <m:r>
                <w:rPr>
                  <w:sz w:val="16"/>
                  <w:color w:val="173E34"/>
                </w:rPr>
                <m:t> </m:t>
              </m:r>
              <m:sSub>
                <m:e>
                  <m:r>
                    <w:rPr>
                      <w:sz w:val="16"/>
                      <w:color w:val="173E34"/>
                    </w:rPr>
                    <m:t>D</m:t>
                  </m:r>
                </m:e>
                <m:sub>
                  <m:r>
                    <w:rPr>
                      <w:sz w:val="16"/>
                      <w:color w:val="173E34"/>
                    </w:rPr>
                    <m:t>t</m:t>
                  </m:r>
                  <m:r>
                    <w:rPr>
                      <w:sz w:val="16"/>
                      <w:color w:val="173E34"/>
                    </w:rPr>
                    <m:rPr>
                      <m:sty m:val="p"/>
                    </m:rPr>
                    <m:t>+</m:t>
                  </m:r>
                  <m:r>
                    <w:rPr>
                      <w:sz w:val="16"/>
                      <w:color w:val="173E34"/>
                    </w:rPr>
                    <m:t>1</m:t>
                  </m:r>
                </m:sub>
              </m:sSub>
            </m:oMath>
          </w:p>
        </w:tc>
      </w:tr>
      <w:tr>
        <w:trPr>
          <w:trHeight w:val="510"/>
        </w:trPr>
        <w:tc>
          <w:tcPr>
            <w:tcW w:type="dxa" w:w="3250"/>
            <w:tcMar>
              <w:top w:w="90" w:type="dxa"/>
              <w:bottom w:w="90" w:type="dxa"/>
              <w:left w:w="100" w:type="dxa"/>
              <w:right w:w="100" w:type="dxa"/>
            </w:tcMar>
            <w:shd w:fill="F1F5F2"/>
          </w:tcPr>
          <w:p>
            <w:pPr>
              <w:spacing w:after="20"/>
            </w:pPr>
            <w:sdt>
              <w:sdtPr>
                <w:alias w:val="sec_05-1-EN-1-1"/>
                <w:tag w:val="sec_05-1-EN-1-1"/>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05-1-EN-1-2"/>
                <w:tag w:val="sec_05-1-EN-1-2"/>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05-1-EN-1-3"/>
                <w:tag w:val="sec_05-1-EN-1-3"/>
                <w:text/>
              </w:sdtPr>
              <w:sdtContent>
                <w:r>
                  <w:rPr>
                    <w:rFonts w:ascii="Lato" w:hAnsi="Lato"/>
                    <w:sz w:val="18"/>
                    <w:color w:val="62716E"/>
                  </w:rPr>
                  <w:t>[Complete]</w:t>
                </w:r>
              </w:sdtContent>
            </w:sdt>
          </w:p>
        </w:tc>
      </w:tr>
      <w:tr>
        <w:trPr>
          <w:trHeight w:val="510"/>
        </w:trPr>
        <w:tc>
          <w:tcPr>
            <w:tcW w:type="dxa" w:w="3250"/>
            <w:tcMar>
              <w:top w:w="90" w:type="dxa"/>
              <w:bottom w:w="90" w:type="dxa"/>
              <w:left w:w="100" w:type="dxa"/>
              <w:right w:w="100" w:type="dxa"/>
            </w:tcMar>
            <w:shd w:fill="FFFFFF"/>
          </w:tcPr>
          <w:p>
            <w:pPr>
              <w:spacing w:after="20"/>
            </w:pPr>
            <w:sdt>
              <w:sdtPr>
                <w:alias w:val="sec_05-1-EN-2-1"/>
                <w:tag w:val="sec_05-1-EN-2-1"/>
                <w:text/>
              </w:sdtPr>
              <w:sdtContent>
                <w:r>
                  <w:rPr>
                    <w:rFonts w:ascii="Lato" w:hAnsi="Lato"/>
                    <w:sz w:val="18"/>
                    <w:color w:val="62716E"/>
                  </w:rPr>
                  <w:t>[Complete]</w:t>
                </w:r>
              </w:sdtContent>
            </w:sdt>
          </w:p>
        </w:tc>
        <w:tc>
          <w:tcPr>
            <w:tcW w:type="dxa" w:w="3250"/>
            <w:tcMar>
              <w:top w:w="90" w:type="dxa"/>
              <w:bottom w:w="90" w:type="dxa"/>
              <w:left w:w="100" w:type="dxa"/>
              <w:right w:w="100" w:type="dxa"/>
            </w:tcMar>
            <w:shd w:fill="FFFFFF"/>
          </w:tcPr>
          <w:p>
            <w:pPr>
              <w:spacing w:after="20"/>
            </w:pPr>
            <w:sdt>
              <w:sdtPr>
                <w:alias w:val="sec_05-1-EN-2-2"/>
                <w:tag w:val="sec_05-1-EN-2-2"/>
                <w:text/>
              </w:sdtPr>
              <w:sdtContent>
                <w:r>
                  <w:rPr>
                    <w:rFonts w:ascii="Lato" w:hAnsi="Lato"/>
                    <w:sz w:val="18"/>
                    <w:color w:val="62716E"/>
                  </w:rPr>
                  <w:t>[Complete]</w:t>
                </w:r>
              </w:sdtContent>
            </w:sdt>
          </w:p>
        </w:tc>
        <w:tc>
          <w:tcPr>
            <w:tcW w:type="dxa" w:w="3250"/>
            <w:tcMar>
              <w:top w:w="90" w:type="dxa"/>
              <w:bottom w:w="90" w:type="dxa"/>
              <w:left w:w="100" w:type="dxa"/>
              <w:right w:w="100" w:type="dxa"/>
            </w:tcMar>
            <w:shd w:fill="FFFFFF"/>
          </w:tcPr>
          <w:p>
            <w:pPr>
              <w:spacing w:after="20"/>
            </w:pPr>
            <w:sdt>
              <w:sdtPr>
                <w:alias w:val="sec_05-1-EN-2-3"/>
                <w:tag w:val="sec_05-1-EN-2-3"/>
                <w:text/>
              </w:sdtPr>
              <w:sdtContent>
                <w:r>
                  <w:rPr>
                    <w:rFonts w:ascii="Lato" w:hAnsi="Lato"/>
                    <w:sz w:val="18"/>
                    <w:color w:val="62716E"/>
                  </w:rPr>
                  <w:t>[Complete]</w:t>
                </w:r>
              </w:sdtContent>
            </w:sdt>
          </w:p>
        </w:tc>
      </w:tr>
      <w:tr>
        <w:trPr>
          <w:trHeight w:val="510"/>
        </w:trPr>
        <w:tc>
          <w:tcPr>
            <w:tcW w:type="dxa" w:w="3250"/>
            <w:tcMar>
              <w:top w:w="90" w:type="dxa"/>
              <w:bottom w:w="90" w:type="dxa"/>
              <w:left w:w="100" w:type="dxa"/>
              <w:right w:w="100" w:type="dxa"/>
            </w:tcMar>
            <w:shd w:fill="F1F5F2"/>
          </w:tcPr>
          <w:p>
            <w:pPr>
              <w:spacing w:after="20"/>
            </w:pPr>
            <w:sdt>
              <w:sdtPr>
                <w:alias w:val="sec_05-1-EN-3-1"/>
                <w:tag w:val="sec_05-1-EN-3-1"/>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05-1-EN-3-2"/>
                <w:tag w:val="sec_05-1-EN-3-2"/>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05-1-EN-3-3"/>
                <w:tag w:val="sec_05-1-EN-3-3"/>
                <w:text/>
              </w:sdtPr>
              <w:sdtContent>
                <w:r>
                  <w:rPr>
                    <w:rFonts w:ascii="Lato" w:hAnsi="Lato"/>
                    <w:sz w:val="18"/>
                    <w:color w:val="62716E"/>
                  </w:rPr>
                  <w:t>[Complete]</w:t>
                </w:r>
              </w:sdtContent>
            </w:sdt>
          </w:p>
        </w:tc>
      </w:tr>
    </w:tbl>
    <w:p>
      <w:pPr>
        <w:spacing w:after="0"/>
      </w:pPr>
    </w:p>
    <w:p>
      <w:pPr>
        <w:pStyle w:val="Heading2"/>
        <w:keepNext/>
      </w:pPr>
      <w:r>
        <w:t>No automatic replacement</w:t>
      </w:r>
    </w:p>
    <w:p>
      <w:pPr>
        <w:spacing w:after="80"/>
      </w:pPr>
      <w:r>
        <w:rPr>
          <w:rFonts w:ascii="Lato" w:hAnsi="Lato"/>
          <w:b w:val="0"/>
          <w:color w:val="62716E"/>
          <w:sz w:val="18"/>
        </w:rPr>
        <w:t>Do not add original and receiving quantities as new benefits. Cancellation alone is not replacement authority. No denominator, boundary change or administrative rename may reactivate a used outcome, erase a deficit, reset the original project start or free reserve committed elsewhere.</w:t>
      </w:r>
    </w:p>
    <w:tbl>
      <w:tblPr>
        <w:tblW w:type="auto" w:w="0"/>
        <w:tblLayout w:type="fixed"/>
        <w:tblLook w:firstColumn="1" w:firstRow="1" w:lastColumn="0" w:lastRow="0" w:noHBand="0" w:noVBand="1" w:val="04A0"/>
      </w:tblPr>
      <w:tblGrid>
        <w:gridCol w:w="9751"/>
      </w:tblGrid>
      <w:tr>
        <w:trPr>
          <w:trHeight w:val="964"/>
        </w:trPr>
        <w:tc>
          <w:tcPr>
            <w:tcW w:type="dxa" w:w="9746"/>
            <w:shd w:fill="F1F5F2"/>
            <w:tcMar>
              <w:top w:w="90" w:type="dxa"/>
              <w:bottom w:w="90" w:type="dxa"/>
              <w:left w:w="100" w:type="dxa"/>
              <w:right w:w="100" w:type="dxa"/>
            </w:tcMar>
          </w:tcPr>
          <w:p>
            <w:pPr>
              <w:spacing w:after="20"/>
            </w:pPr>
            <w:sdt>
              <w:sdtPr>
                <w:alias w:val="sec_05-2-EN"/>
                <w:tag w:val="sec_05-2-EN"/>
                <w:text/>
              </w:sdtPr>
              <w:sdtContent>
                <w:r>
                  <w:rPr>
                    <w:rFonts w:ascii="Lato" w:hAnsi="Lato"/>
                    <w:sz w:val="18"/>
                    <w:color w:val="62716E"/>
                  </w:rPr>
                  <w:t>[Enter response and exact evidence references.]</w:t>
                </w:r>
              </w:sdtContent>
            </w:sdt>
          </w:p>
        </w:tc>
      </w:tr>
    </w:tbl>
    <w:p>
      <w:pPr>
        <w:spacing w:after="20" w:before="0" w:line="96" w:lineRule="auto"/>
      </w:pPr>
    </w:p>
    <w:p>
      <w:bookmarkStart w:id="3006" w:name="sec_06"/>
      <w:pPr>
        <w:pStyle w:val="Heading1"/>
        <w:keepNext/>
        <w:pageBreakBefore/>
      </w:pPr>
      <w:r>
        <w:t>06  Forecast, monitored and verified records</w:t>
      </w:r>
      <w:bookmarkEnd w:id="3006"/>
    </w:p>
    <w:p>
      <w:pPr>
        <w:spacing w:after="120"/>
      </w:pPr>
      <w:r>
        <w:rPr>
          <w:rFonts w:ascii="Lato" w:hAnsi="Lato"/>
          <w:b w:val="0"/>
          <w:color w:val="62716E"/>
          <w:sz w:val="16"/>
        </w:rPr>
        <w:t>[1] Basis: P-01; P-13; P-14; MIG-04; MIG-09; U-01</w:t>
      </w:r>
    </w:p>
    <w:p>
      <w:pPr>
        <w:pStyle w:val="Heading2"/>
        <w:keepNext/>
      </w:pPr>
      <w:r>
        <w:t>Status-separated comparison</w:t>
      </w:r>
    </w:p>
    <w:p>
      <w:pPr>
        <w:keepNext/>
        <w:spacing w:before="40" w:after="60"/>
      </w:pPr>
      <w:r>
        <w:rPr>
          <w:rFonts w:ascii="Lato" w:hAnsi="Lato"/>
          <w:color w:val="315B50"/>
          <w:sz w:val="18"/>
        </w:rPr>
        <w:t>MIGRATION-RECONCILIATION-T12 / Calculation notation</w:t>
      </w:r>
    </w:p>
    <w:p>
      <w:pPr>
        <w:keepNext/>
        <w:spacing w:before="40" w:after="60"/>
      </w:pPr>
      <m:oMath>
        <m:r>
          <w:rPr>
            <w:sz w:val="18"/>
          </w:rPr>
          <m:t>Δ</m:t>
        </m:r>
        <m:sSub>
          <m:e>
            <m:r>
              <w:rPr>
                <w:sz w:val="18"/>
              </w:rPr>
              <m:t>Q</m:t>
            </m:r>
          </m:e>
          <m:sub>
            <m:r>
              <w:rPr>
                <w:sz w:val="18"/>
              </w:rPr>
              <m:t>t</m:t>
            </m:r>
          </m:sub>
        </m:sSub>
        <m:r>
          <w:rPr>
            <w:sz w:val="18"/>
          </w:rPr>
          <m:rPr>
            <m:sty m:val="p"/>
          </m:rPr>
          <m:t>=</m:t>
        </m:r>
        <m:sSubSup>
          <m:e>
            <m:r>
              <w:rPr>
                <w:sz w:val="18"/>
              </w:rPr>
              <m:t>Q</m:t>
            </m:r>
          </m:e>
          <m:sub>
            <m:r>
              <w:rPr>
                <w:sz w:val="18"/>
              </w:rPr>
              <m:t>t</m:t>
            </m:r>
          </m:sub>
          <m:sup>
            <m:r>
              <w:rPr>
                <w:sz w:val="18"/>
              </w:rPr>
              <m:rPr>
                <m:sty m:val="p"/>
              </m:rPr>
              <m:t>E</m:t>
            </m:r>
            <m:r>
              <w:rPr>
                <w:sz w:val="18"/>
              </w:rPr>
              <m:rPr>
                <m:sty m:val="p"/>
              </m:rPr>
              <m:t>P</m:t>
            </m:r>
          </m:sup>
        </m:sSubSup>
        <m:r>
          <w:rPr>
            <w:sz w:val="18"/>
          </w:rPr>
          <m:rPr>
            <m:sty m:val="p"/>
          </m:rPr>
          <m:t>−</m:t>
        </m:r>
        <m:sSubSup>
          <m:e>
            <m:r>
              <w:rPr>
                <w:sz w:val="18"/>
              </w:rPr>
              <m:t>Q</m:t>
            </m:r>
          </m:e>
          <m:sub>
            <m:r>
              <w:rPr>
                <w:sz w:val="18"/>
              </w:rPr>
              <m:t>t</m:t>
            </m:r>
          </m:sub>
          <m:sup>
            <m:r>
              <w:rPr>
                <w:sz w:val="18"/>
              </w:rPr>
              <m:rPr>
                <m:sty m:val="p"/>
              </m:rPr>
              <m:t>E</m:t>
            </m:r>
            <m:r>
              <w:rPr>
                <w:sz w:val="18"/>
              </w:rPr>
              <m:rPr>
                <m:sty m:val="p"/>
              </m:rPr>
              <m:t>A</m:t>
            </m:r>
          </m:sup>
        </m:sSubSup>
      </m:oMath>
    </w:p>
    <w:p>
      <w:pPr>
        <w:keepNext/>
        <w:spacing w:before="40" w:after="60"/>
      </w:pPr>
      <m:oMath>
        <m:r>
          <w:rPr>
            <w:sz w:val="18"/>
          </w:rPr>
          <m:t>Δ</m:t>
        </m:r>
        <m:sSub>
          <m:e>
            <m:r>
              <w:rPr>
                <w:sz w:val="18"/>
              </w:rPr>
              <m:t>Q</m:t>
            </m:r>
          </m:e>
          <m:sub>
            <m:r>
              <w:rPr>
                <w:sz w:val="18"/>
              </w:rPr>
              <m:t>t</m:t>
            </m:r>
          </m:sub>
        </m:sSub>
        <m:r>
          <w:rPr>
            <w:sz w:val="18"/>
          </w:rPr>
          <m:rPr>
            <m:sty m:val="p"/>
          </m:rPr>
          <m:t>=</m:t>
        </m:r>
        <m:r>
          <w:rPr>
            <w:sz w:val="18"/>
          </w:rPr>
          <m:t>Δ</m:t>
        </m:r>
        <m:sSub>
          <m:e>
            <m:r>
              <w:rPr>
                <w:sz w:val="18"/>
              </w:rPr>
              <m:t>N</m:t>
            </m:r>
          </m:e>
          <m:sub>
            <m:r>
              <w:rPr>
                <w:sz w:val="18"/>
              </w:rPr>
              <m:rPr>
                <m:sty m:val="p"/>
              </m:rPr>
              <m:t>B</m:t>
            </m:r>
            <m:r>
              <w:rPr>
                <w:sz w:val="18"/>
              </w:rPr>
              <m:rPr>
                <m:sty m:val="p"/>
              </m:rPr>
              <m:t>L</m:t>
            </m:r>
            <m:r>
              <w:rPr>
                <w:sz w:val="18"/>
              </w:rPr>
              <m:rPr>
                <m:sty m:val="p"/>
              </m:rPr>
              <m:t>,</m:t>
            </m:r>
            <m:r>
              <w:rPr>
                <w:sz w:val="18"/>
              </w:rPr>
              <m:t>t</m:t>
            </m:r>
          </m:sub>
        </m:sSub>
        <m:r>
          <w:rPr>
            <w:sz w:val="18"/>
          </w:rPr>
          <m:rPr>
            <m:sty m:val="p"/>
          </m:rPr>
          <m:t>−</m:t>
        </m:r>
        <m:r>
          <w:rPr>
            <w:sz w:val="18"/>
          </w:rPr>
          <m:t>Δ</m:t>
        </m:r>
        <m:sSub>
          <m:e>
            <m:r>
              <w:rPr>
                <w:sz w:val="18"/>
              </w:rPr>
              <m:t>N</m:t>
            </m:r>
          </m:e>
          <m:sub>
            <m:r>
              <w:rPr>
                <w:sz w:val="18"/>
              </w:rPr>
              <m:rPr>
                <m:sty m:val="p"/>
              </m:rPr>
              <m:t>P</m:t>
            </m:r>
            <m:r>
              <w:rPr>
                <w:sz w:val="18"/>
              </w:rPr>
              <m:rPr>
                <m:sty m:val="p"/>
              </m:rPr>
              <m:t>J</m:t>
            </m:r>
            <m:r>
              <w:rPr>
                <w:sz w:val="18"/>
              </w:rPr>
              <m:rPr>
                <m:sty m:val="p"/>
              </m:rPr>
              <m:t>,</m:t>
            </m:r>
            <m:r>
              <w:rPr>
                <w:sz w:val="18"/>
              </w:rPr>
              <m:t>t</m:t>
            </m:r>
          </m:sub>
        </m:sSub>
        <m:r>
          <w:rPr>
            <w:sz w:val="18"/>
          </w:rPr>
          <m:rPr>
            <m:sty m:val="p"/>
          </m:rPr>
          <m:t>−</m:t>
        </m:r>
        <m:r>
          <w:rPr>
            <w:sz w:val="18"/>
          </w:rPr>
          <m:t>Δ</m:t>
        </m:r>
        <m:sSub>
          <m:e>
            <m:r>
              <w:rPr>
                <w:sz w:val="18"/>
              </w:rPr>
              <m:t>L</m:t>
            </m:r>
          </m:e>
          <m:sub>
            <m:r>
              <w:rPr>
                <w:sz w:val="18"/>
              </w:rPr>
              <m:t>t</m:t>
            </m:r>
          </m:sub>
        </m:sSub>
      </m:oMath>
    </w:p>
    <w:p>
      <w:pPr>
        <w:keepNext/>
        <w:spacing w:before="40" w:after="60"/>
      </w:pPr>
      <w:r>
        <w:rPr>
          <w:rFonts w:ascii="Lato" w:hAnsi="Lato"/>
          <w:color w:val="315B50"/>
          <w:sz w:val="16"/>
        </w:rPr>
        <w:t>All deltas are EP minus the frozen EA value on the same support before uncertainty and reserve. r = deltaQ - (deltaBL - deltaPJ - deltaL) is an arithmetic residual. A forecast difference is not itself mitigation, causation, or a materiality finding.</w:t>
      </w:r>
    </w:p>
    <w:p>
      <w:pPr>
        <w:keepNext/>
        <w:spacing w:before="40" w:after="60"/>
      </w:pPr>
      <w:r>
        <w:rPr>
          <w:rFonts w:ascii="Lato" w:hAnsi="Lato"/>
          <w:color w:val="315B50"/>
          <w:sz w:val="14"/>
        </w:rPr>
        <w:t>Basis: M04.5; P-13; comparison identity | Workbook: Comparison!D:J</w:t>
      </w:r>
    </w:p>
    <w:tbl>
      <w:tblPr>
        <w:tblW w:type="auto" w:w="0"/>
        <w:jc w:val="center"/>
        <w:tblLayout w:type="fixed"/>
        <w:tblLook w:firstColumn="1" w:firstRow="1" w:lastColumn="0" w:lastRow="0" w:noHBand="0" w:noVBand="1" w:val="04A0"/>
      </w:tblPr>
      <w:tblGrid>
        <w:gridCol w:w="3250"/>
        <w:gridCol w:w="3250"/>
        <w:gridCol w:w="3250"/>
      </w:tblGrid>
      <w:tr>
        <w:trPr>
          <w:tblHeader/>
        </w:trPr>
        <w:tc>
          <w:tcPr>
            <w:tcW w:type="dxa" w:w="3250"/>
            <w:tcMar>
              <w:top w:w="90" w:type="dxa"/>
              <w:bottom w:w="90" w:type="dxa"/>
              <w:left w:w="100" w:type="dxa"/>
              <w:right w:w="100" w:type="dxa"/>
            </w:tcMar>
            <w:vAlign w:val="center"/>
            <w:shd w:fill="E6F0EB"/>
          </w:tcPr>
          <w:p>
            <w:r>
              <w:rPr>
                <w:rFonts w:ascii="Lato" w:hAnsi="Lato"/>
                <w:b/>
                <w:color w:val="173E34"/>
                <w:sz w:val="17"/>
              </w:rPr>
              <w:t>Original ex-ante version and vintage</w:t>
            </w:r>
          </w:p>
          <w:p>
            <w:pPr>
              <w:spacing w:before="40" w:after="40"/>
            </w:pPr>
            <m:oMath>
              <m:r>
                <w:rPr>
                  <w:sz w:val="16"/>
                  <w:color w:val="173E34"/>
                </w:rPr>
                <m:t>t</m:t>
              </m:r>
              <m:r>
                <w:rPr>
                  <w:sz w:val="16"/>
                  <w:color w:val="173E34"/>
                </w:rPr>
                <m:rPr>
                  <m:sty m:val="p"/>
                </m:rPr>
                <m:t>,</m:t>
              </m:r>
              <m:r>
                <w:rPr>
                  <w:sz w:val="16"/>
                  <w:color w:val="173E34"/>
                </w:rPr>
                <m:t> </m:t>
              </m:r>
              <m:r>
                <w:rPr>
                  <w:sz w:val="16"/>
                  <w:color w:val="173E34"/>
                </w:rPr>
                <m:t>z</m:t>
              </m:r>
            </m:oMath>
          </w:p>
        </w:tc>
        <w:tc>
          <w:tcPr>
            <w:tcW w:type="dxa" w:w="3250"/>
            <w:tcMar>
              <w:top w:w="90" w:type="dxa"/>
              <w:bottom w:w="90" w:type="dxa"/>
              <w:left w:w="100" w:type="dxa"/>
              <w:right w:w="100" w:type="dxa"/>
            </w:tcMar>
            <w:vAlign w:val="center"/>
            <w:shd w:fill="E6F0EB"/>
          </w:tcPr>
          <w:p>
            <w:r>
              <w:rPr>
                <w:rFonts w:ascii="Lato" w:hAnsi="Lato"/>
                <w:b/>
                <w:color w:val="173E34"/>
                <w:sz w:val="17"/>
              </w:rPr>
              <w:t>Ex-post record and observation support</w:t>
            </w:r>
          </w:p>
          <w:p>
            <w:pPr>
              <w:spacing w:before="40" w:after="40"/>
            </w:pPr>
            <m:oMath>
              <m:sSubSup>
                <m:e>
                  <m:r>
                    <w:rPr>
                      <w:sz w:val="16"/>
                      <w:color w:val="173E34"/>
                    </w:rPr>
                    <m:t>Q</m:t>
                  </m:r>
                </m:e>
                <m:sub>
                  <m:r>
                    <w:rPr>
                      <w:sz w:val="16"/>
                      <w:color w:val="173E34"/>
                    </w:rPr>
                    <m:t>t</m:t>
                  </m:r>
                </m:sub>
                <m:sup>
                  <m:r>
                    <w:rPr>
                      <w:sz w:val="16"/>
                      <w:color w:val="173E34"/>
                    </w:rPr>
                    <m:rPr>
                      <m:sty m:val="p"/>
                    </m:rPr>
                    <m:t>E</m:t>
                  </m:r>
                  <m:r>
                    <w:rPr>
                      <w:sz w:val="16"/>
                      <w:color w:val="173E34"/>
                    </w:rPr>
                    <m:rPr>
                      <m:sty m:val="p"/>
                    </m:rPr>
                    <m:t>A</m:t>
                  </m:r>
                </m:sup>
              </m:sSubSup>
              <m:r>
                <w:rPr>
                  <w:sz w:val="16"/>
                  <w:color w:val="173E34"/>
                </w:rPr>
                <m:rPr>
                  <m:sty m:val="p"/>
                </m:rPr>
                <m:t>,</m:t>
              </m:r>
              <m:r>
                <w:rPr>
                  <w:sz w:val="16"/>
                  <w:color w:val="173E34"/>
                </w:rPr>
                <m:t> </m:t>
              </m:r>
              <m:sSubSup>
                <m:e>
                  <m:r>
                    <w:rPr>
                      <w:sz w:val="16"/>
                      <w:color w:val="173E34"/>
                    </w:rPr>
                    <m:t>Q</m:t>
                  </m:r>
                </m:e>
                <m:sub>
                  <m:r>
                    <w:rPr>
                      <w:sz w:val="16"/>
                      <w:color w:val="173E34"/>
                    </w:rPr>
                    <m:t>t</m:t>
                  </m:r>
                </m:sub>
                <m:sup>
                  <m:r>
                    <w:rPr>
                      <w:sz w:val="16"/>
                      <w:color w:val="173E34"/>
                    </w:rPr>
                    <m:rPr>
                      <m:sty m:val="p"/>
                    </m:rPr>
                    <m:t>E</m:t>
                  </m:r>
                  <m:r>
                    <w:rPr>
                      <w:sz w:val="16"/>
                      <w:color w:val="173E34"/>
                    </w:rPr>
                    <m:rPr>
                      <m:sty m:val="p"/>
                    </m:rPr>
                    <m:t>P</m:t>
                  </m:r>
                </m:sup>
              </m:sSubSup>
            </m:oMath>
          </w:p>
        </w:tc>
        <w:tc>
          <w:tcPr>
            <w:tcW w:type="dxa" w:w="3250"/>
            <w:tcMar>
              <w:top w:w="90" w:type="dxa"/>
              <w:bottom w:w="90" w:type="dxa"/>
              <w:left w:w="100" w:type="dxa"/>
              <w:right w:w="100" w:type="dxa"/>
            </w:tcMar>
            <w:vAlign w:val="center"/>
            <w:shd w:fill="E6F0EB"/>
          </w:tcPr>
          <w:p>
            <w:r>
              <w:rPr>
                <w:rFonts w:ascii="Lato" w:hAnsi="Lato"/>
                <w:b/>
                <w:color w:val="173E34"/>
                <w:sz w:val="17"/>
              </w:rPr>
              <w:t>OVV opinion scope / receiving decision</w:t>
            </w:r>
          </w:p>
          <w:p>
            <w:pPr>
              <w:spacing w:before="40" w:after="40"/>
            </w:pPr>
            <m:oMath>
              <m:r>
                <w:rPr>
                  <w:sz w:val="16"/>
                  <w:color w:val="173E34"/>
                </w:rPr>
                <m:t>Δ</m:t>
              </m:r>
              <m:sSub>
                <m:e>
                  <m:r>
                    <w:rPr>
                      <w:sz w:val="16"/>
                      <w:color w:val="173E34"/>
                    </w:rPr>
                    <m:t>Q</m:t>
                  </m:r>
                </m:e>
                <m:sub>
                  <m:r>
                    <w:rPr>
                      <w:sz w:val="16"/>
                      <w:color w:val="173E34"/>
                    </w:rPr>
                    <m:t>t</m:t>
                  </m:r>
                </m:sub>
              </m:sSub>
              <m:r>
                <w:rPr>
                  <w:sz w:val="16"/>
                  <w:color w:val="173E34"/>
                </w:rPr>
                <m:rPr>
                  <m:sty m:val="p"/>
                </m:rPr>
                <m:t>,</m:t>
              </m:r>
              <m:r>
                <w:rPr>
                  <w:sz w:val="16"/>
                  <w:color w:val="173E34"/>
                </w:rPr>
                <m:t> </m:t>
              </m:r>
              <m:sSub>
                <m:e>
                  <m:r>
                    <w:rPr>
                      <w:sz w:val="16"/>
                      <w:color w:val="173E34"/>
                    </w:rPr>
                    <m:t>r</m:t>
                  </m:r>
                </m:e>
                <m:sub>
                  <m:r>
                    <w:rPr>
                      <w:sz w:val="16"/>
                      <w:color w:val="173E34"/>
                    </w:rPr>
                    <m:t>t</m:t>
                  </m:r>
                </m:sub>
              </m:sSub>
            </m:oMath>
          </w:p>
        </w:tc>
      </w:tr>
      <w:tr>
        <w:trPr>
          <w:trHeight w:val="510"/>
        </w:trPr>
        <w:tc>
          <w:tcPr>
            <w:tcW w:type="dxa" w:w="3250"/>
            <w:tcMar>
              <w:top w:w="90" w:type="dxa"/>
              <w:bottom w:w="90" w:type="dxa"/>
              <w:left w:w="100" w:type="dxa"/>
              <w:right w:w="100" w:type="dxa"/>
            </w:tcMar>
            <w:shd w:fill="F1F5F2"/>
          </w:tcPr>
          <w:p>
            <w:pPr>
              <w:spacing w:after="20"/>
            </w:pPr>
            <w:sdt>
              <w:sdtPr>
                <w:alias w:val="sec_06-0-EN-1-1"/>
                <w:tag w:val="sec_06-0-EN-1-1"/>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06-0-EN-1-2"/>
                <w:tag w:val="sec_06-0-EN-1-2"/>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06-0-EN-1-3"/>
                <w:tag w:val="sec_06-0-EN-1-3"/>
                <w:text/>
              </w:sdtPr>
              <w:sdtContent>
                <w:r>
                  <w:rPr>
                    <w:rFonts w:ascii="Lato" w:hAnsi="Lato"/>
                    <w:sz w:val="18"/>
                    <w:color w:val="62716E"/>
                  </w:rPr>
                  <w:t>[Complete]</w:t>
                </w:r>
              </w:sdtContent>
            </w:sdt>
          </w:p>
        </w:tc>
      </w:tr>
      <w:tr>
        <w:trPr>
          <w:trHeight w:val="510"/>
        </w:trPr>
        <w:tc>
          <w:tcPr>
            <w:tcW w:type="dxa" w:w="3250"/>
            <w:tcMar>
              <w:top w:w="90" w:type="dxa"/>
              <w:bottom w:w="90" w:type="dxa"/>
              <w:left w:w="100" w:type="dxa"/>
              <w:right w:w="100" w:type="dxa"/>
            </w:tcMar>
            <w:shd w:fill="FFFFFF"/>
          </w:tcPr>
          <w:p>
            <w:pPr>
              <w:spacing w:after="20"/>
            </w:pPr>
            <w:sdt>
              <w:sdtPr>
                <w:alias w:val="sec_06-0-EN-2-1"/>
                <w:tag w:val="sec_06-0-EN-2-1"/>
                <w:text/>
              </w:sdtPr>
              <w:sdtContent>
                <w:r>
                  <w:rPr>
                    <w:rFonts w:ascii="Lato" w:hAnsi="Lato"/>
                    <w:sz w:val="18"/>
                    <w:color w:val="62716E"/>
                  </w:rPr>
                  <w:t>[Complete]</w:t>
                </w:r>
              </w:sdtContent>
            </w:sdt>
          </w:p>
        </w:tc>
        <w:tc>
          <w:tcPr>
            <w:tcW w:type="dxa" w:w="3250"/>
            <w:tcMar>
              <w:top w:w="90" w:type="dxa"/>
              <w:bottom w:w="90" w:type="dxa"/>
              <w:left w:w="100" w:type="dxa"/>
              <w:right w:w="100" w:type="dxa"/>
            </w:tcMar>
            <w:shd w:fill="FFFFFF"/>
          </w:tcPr>
          <w:p>
            <w:pPr>
              <w:spacing w:after="20"/>
            </w:pPr>
            <w:sdt>
              <w:sdtPr>
                <w:alias w:val="sec_06-0-EN-2-2"/>
                <w:tag w:val="sec_06-0-EN-2-2"/>
                <w:text/>
              </w:sdtPr>
              <w:sdtContent>
                <w:r>
                  <w:rPr>
                    <w:rFonts w:ascii="Lato" w:hAnsi="Lato"/>
                    <w:sz w:val="18"/>
                    <w:color w:val="62716E"/>
                  </w:rPr>
                  <w:t>[Complete]</w:t>
                </w:r>
              </w:sdtContent>
            </w:sdt>
          </w:p>
        </w:tc>
        <w:tc>
          <w:tcPr>
            <w:tcW w:type="dxa" w:w="3250"/>
            <w:tcMar>
              <w:top w:w="90" w:type="dxa"/>
              <w:bottom w:w="90" w:type="dxa"/>
              <w:left w:w="100" w:type="dxa"/>
              <w:right w:w="100" w:type="dxa"/>
            </w:tcMar>
            <w:shd w:fill="FFFFFF"/>
          </w:tcPr>
          <w:p>
            <w:pPr>
              <w:spacing w:after="20"/>
            </w:pPr>
            <w:sdt>
              <w:sdtPr>
                <w:alias w:val="sec_06-0-EN-2-3"/>
                <w:tag w:val="sec_06-0-EN-2-3"/>
                <w:text/>
              </w:sdtPr>
              <w:sdtContent>
                <w:r>
                  <w:rPr>
                    <w:rFonts w:ascii="Lato" w:hAnsi="Lato"/>
                    <w:sz w:val="18"/>
                    <w:color w:val="62716E"/>
                  </w:rPr>
                  <w:t>[Complete]</w:t>
                </w:r>
              </w:sdtContent>
            </w:sdt>
          </w:p>
        </w:tc>
      </w:tr>
      <w:tr>
        <w:trPr>
          <w:trHeight w:val="510"/>
        </w:trPr>
        <w:tc>
          <w:tcPr>
            <w:tcW w:type="dxa" w:w="3250"/>
            <w:tcMar>
              <w:top w:w="90" w:type="dxa"/>
              <w:bottom w:w="90" w:type="dxa"/>
              <w:left w:w="100" w:type="dxa"/>
              <w:right w:w="100" w:type="dxa"/>
            </w:tcMar>
            <w:shd w:fill="F1F5F2"/>
          </w:tcPr>
          <w:p>
            <w:pPr>
              <w:spacing w:after="20"/>
            </w:pPr>
            <w:sdt>
              <w:sdtPr>
                <w:alias w:val="sec_06-0-EN-3-1"/>
                <w:tag w:val="sec_06-0-EN-3-1"/>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06-0-EN-3-2"/>
                <w:tag w:val="sec_06-0-EN-3-2"/>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06-0-EN-3-3"/>
                <w:tag w:val="sec_06-0-EN-3-3"/>
                <w:text/>
              </w:sdtPr>
              <w:sdtContent>
                <w:r>
                  <w:rPr>
                    <w:rFonts w:ascii="Lato" w:hAnsi="Lato"/>
                    <w:sz w:val="18"/>
                    <w:color w:val="62716E"/>
                  </w:rPr>
                  <w:t>[Complete]</w:t>
                </w:r>
              </w:sdtContent>
            </w:sdt>
          </w:p>
        </w:tc>
      </w:tr>
    </w:tbl>
    <w:p>
      <w:pPr>
        <w:spacing w:after="0"/>
      </w:pPr>
    </w:p>
    <w:p>
      <w:pPr>
        <w:pStyle w:val="Heading2"/>
        <w:keepNext/>
      </w:pPr>
      <w:r>
        <w:t>Historical versus future periods</w:t>
      </w:r>
    </w:p>
    <w:p>
      <w:pPr>
        <w:spacing w:after="80"/>
      </w:pPr>
      <w:r>
        <w:rPr>
          <w:rFonts w:ascii="Lato" w:hAnsi="Lato"/>
          <w:b w:val="0"/>
          <w:color w:val="62716E"/>
          <w:sz w:val="18"/>
        </w:rPr>
        <w:t>Specify whether each period is original, reconstructed, restated, reported, verified or authorized. Preserve an original forecast before creating a matched restatement. Separate historical unissued outcomes from future projections and from previous issuances.</w:t>
      </w:r>
    </w:p>
    <w:tbl>
      <w:tblPr>
        <w:tblW w:type="auto" w:w="0"/>
        <w:tblLayout w:type="fixed"/>
        <w:tblLook w:firstColumn="1" w:firstRow="1" w:lastColumn="0" w:lastRow="0" w:noHBand="0" w:noVBand="1" w:val="04A0"/>
      </w:tblPr>
      <w:tblGrid>
        <w:gridCol w:w="9751"/>
      </w:tblGrid>
      <w:tr>
        <w:trPr>
          <w:trHeight w:val="964"/>
        </w:trPr>
        <w:tc>
          <w:tcPr>
            <w:tcW w:type="dxa" w:w="9746"/>
            <w:shd w:fill="F1F5F2"/>
            <w:tcMar>
              <w:top w:w="90" w:type="dxa"/>
              <w:bottom w:w="90" w:type="dxa"/>
              <w:left w:w="100" w:type="dxa"/>
              <w:right w:w="100" w:type="dxa"/>
            </w:tcMar>
          </w:tcPr>
          <w:p>
            <w:pPr>
              <w:spacing w:after="20"/>
            </w:pPr>
            <w:sdt>
              <w:sdtPr>
                <w:alias w:val="sec_06-1-EN"/>
                <w:tag w:val="sec_06-1-EN"/>
                <w:text/>
              </w:sdtPr>
              <w:sdtContent>
                <w:r>
                  <w:rPr>
                    <w:rFonts w:ascii="Lato" w:hAnsi="Lato"/>
                    <w:sz w:val="18"/>
                    <w:color w:val="62716E"/>
                  </w:rPr>
                  <w:t>[Enter response and exact evidence references.]</w:t>
                </w:r>
              </w:sdtContent>
            </w:sdt>
          </w:p>
        </w:tc>
      </w:tr>
    </w:tbl>
    <w:p>
      <w:pPr>
        <w:spacing w:after="20" w:before="0" w:line="96" w:lineRule="auto"/>
      </w:pPr>
    </w:p>
    <w:p>
      <w:bookmarkStart w:id="3007" w:name="sec_07"/>
      <w:pPr>
        <w:pStyle w:val="Heading1"/>
        <w:keepNext/>
        <w:pageBreakBefore/>
      </w:pPr>
      <w:r>
        <w:t>07  Additionality, overlap and safeguard continuity</w:t>
      </w:r>
      <w:bookmarkEnd w:id="3007"/>
    </w:p>
    <w:p>
      <w:pPr>
        <w:spacing w:after="120"/>
      </w:pPr>
      <w:r>
        <w:rPr>
          <w:rFonts w:ascii="Lato" w:hAnsi="Lato"/>
          <w:b w:val="0"/>
          <w:color w:val="62716E"/>
          <w:sz w:val="16"/>
        </w:rPr>
        <w:t>[1] Basis: AO-01; AO-05; AO-08; AO-10; AO-11; AO-12; MIG-06</w:t>
      </w:r>
    </w:p>
    <w:p>
      <w:pPr>
        <w:pStyle w:val="Heading2"/>
        <w:keepNext/>
      </w:pPr>
      <w:r>
        <w:t>Existing interventions and rights</w:t>
      </w:r>
    </w:p>
    <w:p>
      <w:pPr>
        <w:spacing w:after="80"/>
      </w:pPr>
      <w:r>
        <w:rPr>
          <w:rFonts w:ascii="Lato" w:hAnsi="Lato"/>
          <w:b w:val="0"/>
          <w:color w:val="62716E"/>
          <w:sz w:val="18"/>
        </w:rPr>
        <w:t>Retain relevant earlier activities, authority, participation and safeguard evidence. A new applicant cannot assume that an area with existing interventions is untreated. Distinguish polygon overlap from an actual claim intersection and document any shared outcome without multiplying it.</w:t>
      </w:r>
    </w:p>
    <w:tbl>
      <w:tblPr>
        <w:tblW w:type="auto" w:w="0"/>
        <w:tblLayout w:type="fixed"/>
        <w:tblLook w:firstColumn="1" w:firstRow="1" w:lastColumn="0" w:lastRow="0" w:noHBand="0" w:noVBand="1" w:val="04A0"/>
      </w:tblPr>
      <w:tblGrid>
        <w:gridCol w:w="9751"/>
      </w:tblGrid>
      <w:tr>
        <w:trPr>
          <w:trHeight w:val="964"/>
        </w:trPr>
        <w:tc>
          <w:tcPr>
            <w:tcW w:type="dxa" w:w="9746"/>
            <w:shd w:fill="F1F5F2"/>
            <w:tcMar>
              <w:top w:w="90" w:type="dxa"/>
              <w:bottom w:w="90" w:type="dxa"/>
              <w:left w:w="100" w:type="dxa"/>
              <w:right w:w="100" w:type="dxa"/>
            </w:tcMar>
          </w:tcPr>
          <w:p>
            <w:pPr>
              <w:spacing w:after="20"/>
            </w:pPr>
            <w:sdt>
              <w:sdtPr>
                <w:alias w:val="sec_07-0-EN"/>
                <w:tag w:val="sec_07-0-EN"/>
                <w:text/>
              </w:sdtPr>
              <w:sdtContent>
                <w:r>
                  <w:rPr>
                    <w:rFonts w:ascii="Lato" w:hAnsi="Lato"/>
                    <w:sz w:val="18"/>
                    <w:color w:val="62716E"/>
                  </w:rPr>
                  <w:t>[Enter response and exact evidence references.]</w:t>
                </w:r>
              </w:sdtContent>
            </w:sdt>
          </w:p>
        </w:tc>
      </w:tr>
    </w:tbl>
    <w:p>
      <w:pPr>
        <w:spacing w:after="20" w:before="0" w:line="96" w:lineRule="auto"/>
      </w:pPr>
    </w:p>
    <w:p>
      <w:pPr>
        <w:pStyle w:val="Heading2"/>
        <w:keepNext/>
      </w:pPr>
      <w:r>
        <w:t>Continuity and disputed scope</w:t>
      </w:r>
    </w:p>
    <w:tbl>
      <w:tblPr>
        <w:tblW w:type="auto" w:w="0"/>
        <w:jc w:val="center"/>
        <w:tblLayout w:type="fixed"/>
        <w:tblLook w:firstColumn="1" w:firstRow="1" w:lastColumn="0" w:lastRow="0" w:noHBand="0" w:noVBand="1" w:val="04A0"/>
      </w:tblPr>
      <w:tblGrid>
        <w:gridCol w:w="3250"/>
        <w:gridCol w:w="3250"/>
        <w:gridCol w:w="3250"/>
      </w:tblGrid>
      <w:tr>
        <w:trPr>
          <w:tblHeader/>
        </w:trPr>
        <w:tc>
          <w:tcPr>
            <w:tcW w:type="dxa" w:w="3250"/>
            <w:shd w:fill="215F52"/>
            <w:tcMar>
              <w:top w:w="90" w:type="dxa"/>
              <w:bottom w:w="90" w:type="dxa"/>
              <w:left w:w="100" w:type="dxa"/>
              <w:right w:w="100" w:type="dxa"/>
            </w:tcMar>
            <w:vAlign w:val="center"/>
          </w:tcPr>
          <w:p>
            <w:r>
              <w:rPr>
                <w:rFonts w:ascii="Lato" w:hAnsi="Lato"/>
                <w:b/>
                <w:color w:val="FFFFFF"/>
                <w:sz w:val="17"/>
              </w:rPr>
              <w:t>Right / intervention / complaint</w:t>
            </w:r>
          </w:p>
        </w:tc>
        <w:tc>
          <w:tcPr>
            <w:tcW w:type="dxa" w:w="3250"/>
            <w:shd w:fill="215F52"/>
            <w:tcMar>
              <w:top w:w="90" w:type="dxa"/>
              <w:bottom w:w="90" w:type="dxa"/>
              <w:left w:w="100" w:type="dxa"/>
              <w:right w:w="100" w:type="dxa"/>
            </w:tcMar>
            <w:vAlign w:val="center"/>
          </w:tcPr>
          <w:p>
            <w:r>
              <w:rPr>
                <w:rFonts w:ascii="Lato" w:hAnsi="Lato"/>
                <w:b/>
                <w:color w:val="FFFFFF"/>
                <w:sz w:val="17"/>
              </w:rPr>
              <w:t>Evidence and earlier disposition</w:t>
            </w:r>
          </w:p>
        </w:tc>
        <w:tc>
          <w:tcPr>
            <w:tcW w:type="dxa" w:w="3250"/>
            <w:shd w:fill="215F52"/>
            <w:tcMar>
              <w:top w:w="90" w:type="dxa"/>
              <w:bottom w:w="90" w:type="dxa"/>
              <w:left w:w="100" w:type="dxa"/>
              <w:right w:w="100" w:type="dxa"/>
            </w:tcMar>
            <w:vAlign w:val="center"/>
          </w:tcPr>
          <w:p>
            <w:r>
              <w:rPr>
                <w:rFonts w:ascii="Lato" w:hAnsi="Lato"/>
                <w:b/>
                <w:color w:val="FFFFFF"/>
                <w:sz w:val="17"/>
              </w:rPr>
              <w:t>Current conclusion / remedy / retained restriction</w:t>
            </w:r>
          </w:p>
        </w:tc>
      </w:tr>
      <w:tr>
        <w:trPr>
          <w:trHeight w:val="510"/>
        </w:trPr>
        <w:tc>
          <w:tcPr>
            <w:tcW w:type="dxa" w:w="3250"/>
            <w:tcMar>
              <w:top w:w="90" w:type="dxa"/>
              <w:bottom w:w="90" w:type="dxa"/>
              <w:left w:w="100" w:type="dxa"/>
              <w:right w:w="100" w:type="dxa"/>
            </w:tcMar>
            <w:shd w:fill="F1F5F2"/>
          </w:tcPr>
          <w:p>
            <w:pPr>
              <w:spacing w:after="20"/>
            </w:pPr>
            <w:sdt>
              <w:sdtPr>
                <w:alias w:val="sec_07-1-EN-1-1"/>
                <w:tag w:val="sec_07-1-EN-1-1"/>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07-1-EN-1-2"/>
                <w:tag w:val="sec_07-1-EN-1-2"/>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07-1-EN-1-3"/>
                <w:tag w:val="sec_07-1-EN-1-3"/>
                <w:text/>
              </w:sdtPr>
              <w:sdtContent>
                <w:r>
                  <w:rPr>
                    <w:rFonts w:ascii="Lato" w:hAnsi="Lato"/>
                    <w:sz w:val="18"/>
                    <w:color w:val="62716E"/>
                  </w:rPr>
                  <w:t>[Complete]</w:t>
                </w:r>
              </w:sdtContent>
            </w:sdt>
          </w:p>
        </w:tc>
      </w:tr>
      <w:tr>
        <w:trPr>
          <w:trHeight w:val="510"/>
        </w:trPr>
        <w:tc>
          <w:tcPr>
            <w:tcW w:type="dxa" w:w="3250"/>
            <w:tcMar>
              <w:top w:w="90" w:type="dxa"/>
              <w:bottom w:w="90" w:type="dxa"/>
              <w:left w:w="100" w:type="dxa"/>
              <w:right w:w="100" w:type="dxa"/>
            </w:tcMar>
            <w:shd w:fill="FFFFFF"/>
          </w:tcPr>
          <w:p>
            <w:pPr>
              <w:spacing w:after="20"/>
            </w:pPr>
            <w:sdt>
              <w:sdtPr>
                <w:alias w:val="sec_07-1-EN-2-1"/>
                <w:tag w:val="sec_07-1-EN-2-1"/>
                <w:text/>
              </w:sdtPr>
              <w:sdtContent>
                <w:r>
                  <w:rPr>
                    <w:rFonts w:ascii="Lato" w:hAnsi="Lato"/>
                    <w:sz w:val="18"/>
                    <w:color w:val="62716E"/>
                  </w:rPr>
                  <w:t>[Complete]</w:t>
                </w:r>
              </w:sdtContent>
            </w:sdt>
          </w:p>
        </w:tc>
        <w:tc>
          <w:tcPr>
            <w:tcW w:type="dxa" w:w="3250"/>
            <w:tcMar>
              <w:top w:w="90" w:type="dxa"/>
              <w:bottom w:w="90" w:type="dxa"/>
              <w:left w:w="100" w:type="dxa"/>
              <w:right w:w="100" w:type="dxa"/>
            </w:tcMar>
            <w:shd w:fill="FFFFFF"/>
          </w:tcPr>
          <w:p>
            <w:pPr>
              <w:spacing w:after="20"/>
            </w:pPr>
            <w:sdt>
              <w:sdtPr>
                <w:alias w:val="sec_07-1-EN-2-2"/>
                <w:tag w:val="sec_07-1-EN-2-2"/>
                <w:text/>
              </w:sdtPr>
              <w:sdtContent>
                <w:r>
                  <w:rPr>
                    <w:rFonts w:ascii="Lato" w:hAnsi="Lato"/>
                    <w:sz w:val="18"/>
                    <w:color w:val="62716E"/>
                  </w:rPr>
                  <w:t>[Complete]</w:t>
                </w:r>
              </w:sdtContent>
            </w:sdt>
          </w:p>
        </w:tc>
        <w:tc>
          <w:tcPr>
            <w:tcW w:type="dxa" w:w="3250"/>
            <w:tcMar>
              <w:top w:w="90" w:type="dxa"/>
              <w:bottom w:w="90" w:type="dxa"/>
              <w:left w:w="100" w:type="dxa"/>
              <w:right w:w="100" w:type="dxa"/>
            </w:tcMar>
            <w:shd w:fill="FFFFFF"/>
          </w:tcPr>
          <w:p>
            <w:pPr>
              <w:spacing w:after="20"/>
            </w:pPr>
            <w:sdt>
              <w:sdtPr>
                <w:alias w:val="sec_07-1-EN-2-3"/>
                <w:tag w:val="sec_07-1-EN-2-3"/>
                <w:text/>
              </w:sdtPr>
              <w:sdtContent>
                <w:r>
                  <w:rPr>
                    <w:rFonts w:ascii="Lato" w:hAnsi="Lato"/>
                    <w:sz w:val="18"/>
                    <w:color w:val="62716E"/>
                  </w:rPr>
                  <w:t>[Complete]</w:t>
                </w:r>
              </w:sdtContent>
            </w:sdt>
          </w:p>
        </w:tc>
      </w:tr>
      <w:tr>
        <w:trPr>
          <w:trHeight w:val="510"/>
        </w:trPr>
        <w:tc>
          <w:tcPr>
            <w:tcW w:type="dxa" w:w="3250"/>
            <w:tcMar>
              <w:top w:w="90" w:type="dxa"/>
              <w:bottom w:w="90" w:type="dxa"/>
              <w:left w:w="100" w:type="dxa"/>
              <w:right w:w="100" w:type="dxa"/>
            </w:tcMar>
            <w:shd w:fill="F1F5F2"/>
          </w:tcPr>
          <w:p>
            <w:pPr>
              <w:spacing w:after="20"/>
            </w:pPr>
            <w:sdt>
              <w:sdtPr>
                <w:alias w:val="sec_07-1-EN-3-1"/>
                <w:tag w:val="sec_07-1-EN-3-1"/>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07-1-EN-3-2"/>
                <w:tag w:val="sec_07-1-EN-3-2"/>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07-1-EN-3-3"/>
                <w:tag w:val="sec_07-1-EN-3-3"/>
                <w:text/>
              </w:sdtPr>
              <w:sdtContent>
                <w:r>
                  <w:rPr>
                    <w:rFonts w:ascii="Lato" w:hAnsi="Lato"/>
                    <w:sz w:val="18"/>
                    <w:color w:val="62716E"/>
                  </w:rPr>
                  <w:t>[Complete]</w:t>
                </w:r>
              </w:sdtContent>
            </w:sdt>
          </w:p>
        </w:tc>
      </w:tr>
    </w:tbl>
    <w:p>
      <w:pPr>
        <w:spacing w:after="0"/>
      </w:pPr>
    </w:p>
    <w:p>
      <w:bookmarkStart w:id="3008" w:name="sec_08"/>
      <w:pPr>
        <w:pStyle w:val="Heading1"/>
        <w:keepNext/>
        <w:pageBreakBefore/>
      </w:pPr>
      <w:r>
        <w:t>08  Receiving decision and monitoring handover</w:t>
      </w:r>
      <w:bookmarkEnd w:id="3008"/>
    </w:p>
    <w:p>
      <w:pPr>
        <w:spacing w:after="120"/>
      </w:pPr>
      <w:r>
        <w:rPr>
          <w:rFonts w:ascii="Lato" w:hAnsi="Lato"/>
          <w:b w:val="0"/>
          <w:color w:val="62716E"/>
          <w:sz w:val="16"/>
        </w:rPr>
        <w:t>[1] Basis: MIG-09; MIG-10; MIG-11; MIG-16; MIG-17; P-09; FRM-06</w:t>
      </w:r>
    </w:p>
    <w:p>
      <w:pPr>
        <w:pStyle w:val="Heading2"/>
        <w:keepNext/>
      </w:pPr>
      <w:r>
        <w:t>Requirement and disposition</w:t>
      </w:r>
    </w:p>
    <w:tbl>
      <w:tblPr>
        <w:tblW w:type="auto" w:w="0"/>
        <w:jc w:val="center"/>
        <w:tblLayout w:type="fixed"/>
        <w:tblLook w:firstColumn="1" w:firstRow="1" w:lastColumn="0" w:lastRow="0" w:noHBand="0" w:noVBand="1" w:val="04A0"/>
      </w:tblPr>
      <w:tblGrid>
        <w:gridCol w:w="3250"/>
        <w:gridCol w:w="3250"/>
        <w:gridCol w:w="3250"/>
      </w:tblGrid>
      <w:tr>
        <w:trPr>
          <w:tblHeader/>
        </w:trPr>
        <w:tc>
          <w:tcPr>
            <w:tcW w:type="dxa" w:w="3250"/>
            <w:shd w:fill="215F52"/>
            <w:tcMar>
              <w:top w:w="90" w:type="dxa"/>
              <w:bottom w:w="90" w:type="dxa"/>
              <w:left w:w="100" w:type="dxa"/>
              <w:right w:w="100" w:type="dxa"/>
            </w:tcMar>
            <w:vAlign w:val="center"/>
          </w:tcPr>
          <w:p>
            <w:r>
              <w:rPr>
                <w:rFonts w:ascii="Lato" w:hAnsi="Lato"/>
                <w:b/>
                <w:color w:val="FFFFFF"/>
                <w:sz w:val="17"/>
              </w:rPr>
              <w:t>NEBIOT requirement / source evidence</w:t>
            </w:r>
          </w:p>
        </w:tc>
        <w:tc>
          <w:tcPr>
            <w:tcW w:type="dxa" w:w="3250"/>
            <w:shd w:fill="215F52"/>
            <w:tcMar>
              <w:top w:w="90" w:type="dxa"/>
              <w:bottom w:w="90" w:type="dxa"/>
              <w:left w:w="100" w:type="dxa"/>
              <w:right w:w="100" w:type="dxa"/>
            </w:tcMar>
            <w:vAlign w:val="center"/>
          </w:tcPr>
          <w:p>
            <w:r>
              <w:rPr>
                <w:rFonts w:ascii="Lato" w:hAnsi="Lato"/>
                <w:b/>
                <w:color w:val="FFFFFF"/>
                <w:sz w:val="17"/>
              </w:rPr>
              <w:t>Accepted, conditional or not accepted scope</w:t>
            </w:r>
          </w:p>
        </w:tc>
        <w:tc>
          <w:tcPr>
            <w:tcW w:type="dxa" w:w="3250"/>
            <w:shd w:fill="215F52"/>
            <w:tcMar>
              <w:top w:w="90" w:type="dxa"/>
              <w:bottom w:w="90" w:type="dxa"/>
              <w:left w:w="100" w:type="dxa"/>
              <w:right w:w="100" w:type="dxa"/>
            </w:tcMar>
            <w:vAlign w:val="center"/>
          </w:tcPr>
          <w:p>
            <w:r>
              <w:rPr>
                <w:rFonts w:ascii="Lato" w:hAnsi="Lato"/>
                <w:b/>
                <w:color w:val="FFFFFF"/>
                <w:sz w:val="17"/>
              </w:rPr>
              <w:t>Correction / owner / independent decision</w:t>
            </w:r>
          </w:p>
        </w:tc>
      </w:tr>
      <w:tr>
        <w:trPr>
          <w:trHeight w:val="510"/>
        </w:trPr>
        <w:tc>
          <w:tcPr>
            <w:tcW w:type="dxa" w:w="3250"/>
            <w:tcMar>
              <w:top w:w="90" w:type="dxa"/>
              <w:bottom w:w="90" w:type="dxa"/>
              <w:left w:w="100" w:type="dxa"/>
              <w:right w:w="100" w:type="dxa"/>
            </w:tcMar>
            <w:shd w:fill="F1F5F2"/>
          </w:tcPr>
          <w:p>
            <w:pPr>
              <w:spacing w:after="20"/>
            </w:pPr>
            <w:sdt>
              <w:sdtPr>
                <w:alias w:val="sec_08-0-EN-1-1"/>
                <w:tag w:val="sec_08-0-EN-1-1"/>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08-0-EN-1-2"/>
                <w:tag w:val="sec_08-0-EN-1-2"/>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08-0-EN-1-3"/>
                <w:tag w:val="sec_08-0-EN-1-3"/>
                <w:text/>
              </w:sdtPr>
              <w:sdtContent>
                <w:r>
                  <w:rPr>
                    <w:rFonts w:ascii="Lato" w:hAnsi="Lato"/>
                    <w:sz w:val="18"/>
                    <w:color w:val="62716E"/>
                  </w:rPr>
                  <w:t>[Complete]</w:t>
                </w:r>
              </w:sdtContent>
            </w:sdt>
          </w:p>
        </w:tc>
      </w:tr>
      <w:tr>
        <w:trPr>
          <w:trHeight w:val="510"/>
        </w:trPr>
        <w:tc>
          <w:tcPr>
            <w:tcW w:type="dxa" w:w="3250"/>
            <w:tcMar>
              <w:top w:w="90" w:type="dxa"/>
              <w:bottom w:w="90" w:type="dxa"/>
              <w:left w:w="100" w:type="dxa"/>
              <w:right w:w="100" w:type="dxa"/>
            </w:tcMar>
            <w:shd w:fill="FFFFFF"/>
          </w:tcPr>
          <w:p>
            <w:pPr>
              <w:spacing w:after="20"/>
            </w:pPr>
            <w:sdt>
              <w:sdtPr>
                <w:alias w:val="sec_08-0-EN-2-1"/>
                <w:tag w:val="sec_08-0-EN-2-1"/>
                <w:text/>
              </w:sdtPr>
              <w:sdtContent>
                <w:r>
                  <w:rPr>
                    <w:rFonts w:ascii="Lato" w:hAnsi="Lato"/>
                    <w:sz w:val="18"/>
                    <w:color w:val="62716E"/>
                  </w:rPr>
                  <w:t>[Complete]</w:t>
                </w:r>
              </w:sdtContent>
            </w:sdt>
          </w:p>
        </w:tc>
        <w:tc>
          <w:tcPr>
            <w:tcW w:type="dxa" w:w="3250"/>
            <w:tcMar>
              <w:top w:w="90" w:type="dxa"/>
              <w:bottom w:w="90" w:type="dxa"/>
              <w:left w:w="100" w:type="dxa"/>
              <w:right w:w="100" w:type="dxa"/>
            </w:tcMar>
            <w:shd w:fill="FFFFFF"/>
          </w:tcPr>
          <w:p>
            <w:pPr>
              <w:spacing w:after="20"/>
            </w:pPr>
            <w:sdt>
              <w:sdtPr>
                <w:alias w:val="sec_08-0-EN-2-2"/>
                <w:tag w:val="sec_08-0-EN-2-2"/>
                <w:text/>
              </w:sdtPr>
              <w:sdtContent>
                <w:r>
                  <w:rPr>
                    <w:rFonts w:ascii="Lato" w:hAnsi="Lato"/>
                    <w:sz w:val="18"/>
                    <w:color w:val="62716E"/>
                  </w:rPr>
                  <w:t>[Complete]</w:t>
                </w:r>
              </w:sdtContent>
            </w:sdt>
          </w:p>
        </w:tc>
        <w:tc>
          <w:tcPr>
            <w:tcW w:type="dxa" w:w="3250"/>
            <w:tcMar>
              <w:top w:w="90" w:type="dxa"/>
              <w:bottom w:w="90" w:type="dxa"/>
              <w:left w:w="100" w:type="dxa"/>
              <w:right w:w="100" w:type="dxa"/>
            </w:tcMar>
            <w:shd w:fill="FFFFFF"/>
          </w:tcPr>
          <w:p>
            <w:pPr>
              <w:spacing w:after="20"/>
            </w:pPr>
            <w:sdt>
              <w:sdtPr>
                <w:alias w:val="sec_08-0-EN-2-3"/>
                <w:tag w:val="sec_08-0-EN-2-3"/>
                <w:text/>
              </w:sdtPr>
              <w:sdtContent>
                <w:r>
                  <w:rPr>
                    <w:rFonts w:ascii="Lato" w:hAnsi="Lato"/>
                    <w:sz w:val="18"/>
                    <w:color w:val="62716E"/>
                  </w:rPr>
                  <w:t>[Complete]</w:t>
                </w:r>
              </w:sdtContent>
            </w:sdt>
          </w:p>
        </w:tc>
      </w:tr>
      <w:tr>
        <w:trPr>
          <w:trHeight w:val="510"/>
        </w:trPr>
        <w:tc>
          <w:tcPr>
            <w:tcW w:type="dxa" w:w="3250"/>
            <w:tcMar>
              <w:top w:w="90" w:type="dxa"/>
              <w:bottom w:w="90" w:type="dxa"/>
              <w:left w:w="100" w:type="dxa"/>
              <w:right w:w="100" w:type="dxa"/>
            </w:tcMar>
            <w:shd w:fill="F1F5F2"/>
          </w:tcPr>
          <w:p>
            <w:pPr>
              <w:spacing w:after="20"/>
            </w:pPr>
            <w:sdt>
              <w:sdtPr>
                <w:alias w:val="sec_08-0-EN-3-1"/>
                <w:tag w:val="sec_08-0-EN-3-1"/>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08-0-EN-3-2"/>
                <w:tag w:val="sec_08-0-EN-3-2"/>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08-0-EN-3-3"/>
                <w:tag w:val="sec_08-0-EN-3-3"/>
                <w:text/>
              </w:sdtPr>
              <w:sdtContent>
                <w:r>
                  <w:rPr>
                    <w:rFonts w:ascii="Lato" w:hAnsi="Lato"/>
                    <w:sz w:val="18"/>
                    <w:color w:val="62716E"/>
                  </w:rPr>
                  <w:t>[Complete]</w:t>
                </w:r>
              </w:sdtContent>
            </w:sdt>
          </w:p>
        </w:tc>
      </w:tr>
    </w:tbl>
    <w:p>
      <w:pPr>
        <w:spacing w:after="0"/>
      </w:pPr>
    </w:p>
    <w:p>
      <w:pPr>
        <w:pStyle w:val="Heading2"/>
        <w:keepNext/>
      </w:pPr>
      <w:r>
        <w:t>Transition and subsequent reporting</w:t>
      </w:r>
    </w:p>
    <w:p>
      <w:pPr>
        <w:spacing w:after="80"/>
      </w:pPr>
      <w:r>
        <w:rPr>
          <w:rFonts w:ascii="Lato" w:hAnsi="Lato"/>
          <w:b w:val="0"/>
          <w:color w:val="62716E"/>
          <w:sz w:val="18"/>
        </w:rPr>
        <w:t>Record applicable versions, cutover, retained restrictions, data custody, accepting parties, next monitoring actions and liabilities. Retain the original archive separately. State what the decision permits and what remains blocked; no new NVEU follows from the reconciliation alone.</w:t>
      </w:r>
    </w:p>
    <w:tbl>
      <w:tblPr>
        <w:tblW w:type="auto" w:w="0"/>
        <w:tblLayout w:type="fixed"/>
        <w:tblLook w:firstColumn="1" w:firstRow="1" w:lastColumn="0" w:lastRow="0" w:noHBand="0" w:noVBand="1" w:val="04A0"/>
      </w:tblPr>
      <w:tblGrid>
        <w:gridCol w:w="9751"/>
      </w:tblGrid>
      <w:tr>
        <w:trPr>
          <w:trHeight w:val="964"/>
        </w:trPr>
        <w:tc>
          <w:tcPr>
            <w:tcW w:type="dxa" w:w="9746"/>
            <w:shd w:fill="F1F5F2"/>
            <w:tcMar>
              <w:top w:w="90" w:type="dxa"/>
              <w:bottom w:w="90" w:type="dxa"/>
              <w:left w:w="100" w:type="dxa"/>
              <w:right w:w="100" w:type="dxa"/>
            </w:tcMar>
          </w:tcPr>
          <w:p>
            <w:pPr>
              <w:spacing w:after="20"/>
            </w:pPr>
            <w:sdt>
              <w:sdtPr>
                <w:alias w:val="sec_08-1-EN"/>
                <w:tag w:val="sec_08-1-EN"/>
                <w:text/>
              </w:sdtPr>
              <w:sdtContent>
                <w:r>
                  <w:rPr>
                    <w:rFonts w:ascii="Lato" w:hAnsi="Lato"/>
                    <w:sz w:val="18"/>
                    <w:color w:val="62716E"/>
                  </w:rPr>
                  <w:t>[Enter response and exact evidence references.]</w:t>
                </w:r>
              </w:sdtContent>
            </w:sdt>
          </w:p>
        </w:tc>
      </w:tr>
    </w:tbl>
    <w:p>
      <w:pPr>
        <w:spacing w:after="20" w:before="0" w:line="96" w:lineRule="auto"/>
      </w:pPr>
    </w:p>
    <w:p>
      <w:pPr>
        <w:pStyle w:val="Heading2"/>
        <w:keepNext/>
      </w:pPr>
      <w:r>
        <w:t>Signatures and authority</w:t>
      </w:r>
    </w:p>
    <w:tbl>
      <w:tblPr>
        <w:tblW w:type="auto" w:w="0"/>
        <w:jc w:val="center"/>
        <w:tblLayout w:type="fixed"/>
        <w:tblLook w:firstColumn="1" w:firstRow="1" w:lastColumn="0" w:lastRow="0" w:noHBand="0" w:noVBand="1" w:val="04A0"/>
      </w:tblPr>
      <w:tblGrid>
        <w:gridCol w:w="3250"/>
        <w:gridCol w:w="3250"/>
        <w:gridCol w:w="3250"/>
      </w:tblGrid>
      <w:tr>
        <w:trPr>
          <w:tblHeader/>
        </w:trPr>
        <w:tc>
          <w:tcPr>
            <w:tcW w:type="dxa" w:w="3250"/>
            <w:shd w:fill="215F52"/>
            <w:tcMar>
              <w:top w:w="90" w:type="dxa"/>
              <w:bottom w:w="90" w:type="dxa"/>
              <w:left w:w="100" w:type="dxa"/>
              <w:right w:w="100" w:type="dxa"/>
            </w:tcMar>
            <w:vAlign w:val="center"/>
          </w:tcPr>
          <w:p>
            <w:r>
              <w:rPr>
                <w:rFonts w:ascii="Lato" w:hAnsi="Lato"/>
                <w:b/>
                <w:color w:val="FFFFFF"/>
                <w:sz w:val="17"/>
              </w:rPr>
              <w:t>Role / organization</w:t>
            </w:r>
          </w:p>
        </w:tc>
        <w:tc>
          <w:tcPr>
            <w:tcW w:type="dxa" w:w="3250"/>
            <w:shd w:fill="215F52"/>
            <w:tcMar>
              <w:top w:w="90" w:type="dxa"/>
              <w:bottom w:w="90" w:type="dxa"/>
              <w:left w:w="100" w:type="dxa"/>
              <w:right w:w="100" w:type="dxa"/>
            </w:tcMar>
            <w:vAlign w:val="center"/>
          </w:tcPr>
          <w:p>
            <w:r>
              <w:rPr>
                <w:rFonts w:ascii="Lato" w:hAnsi="Lato"/>
                <w:b/>
                <w:color w:val="FFFFFF"/>
                <w:sz w:val="17"/>
              </w:rPr>
              <w:t>Name, date and signature</w:t>
            </w:r>
          </w:p>
        </w:tc>
        <w:tc>
          <w:tcPr>
            <w:tcW w:type="dxa" w:w="3250"/>
            <w:shd w:fill="215F52"/>
            <w:tcMar>
              <w:top w:w="90" w:type="dxa"/>
              <w:bottom w:w="90" w:type="dxa"/>
              <w:left w:w="100" w:type="dxa"/>
              <w:right w:w="100" w:type="dxa"/>
            </w:tcMar>
            <w:vAlign w:val="center"/>
          </w:tcPr>
          <w:p>
            <w:r>
              <w:rPr>
                <w:rFonts w:ascii="Lato" w:hAnsi="Lato"/>
                <w:b/>
                <w:color w:val="FFFFFF"/>
                <w:sz w:val="17"/>
              </w:rPr>
              <w:t>Mandate / decision / evidence reference</w:t>
            </w:r>
          </w:p>
        </w:tc>
      </w:tr>
      <w:tr>
        <w:trPr>
          <w:trHeight w:val="510"/>
        </w:trPr>
        <w:tc>
          <w:tcPr>
            <w:tcW w:type="dxa" w:w="3250"/>
            <w:tcMar>
              <w:top w:w="90" w:type="dxa"/>
              <w:bottom w:w="90" w:type="dxa"/>
              <w:left w:w="100" w:type="dxa"/>
              <w:right w:w="100" w:type="dxa"/>
            </w:tcMar>
            <w:shd w:fill="F1F5F2"/>
          </w:tcPr>
          <w:p>
            <w:pPr>
              <w:spacing w:after="20"/>
            </w:pPr>
            <w:sdt>
              <w:sdtPr>
                <w:alias w:val="sec_08-2-EN-1-1"/>
                <w:tag w:val="sec_08-2-EN-1-1"/>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08-2-EN-1-2"/>
                <w:tag w:val="sec_08-2-EN-1-2"/>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08-2-EN-1-3"/>
                <w:tag w:val="sec_08-2-EN-1-3"/>
                <w:text/>
              </w:sdtPr>
              <w:sdtContent>
                <w:r>
                  <w:rPr>
                    <w:rFonts w:ascii="Lato" w:hAnsi="Lato"/>
                    <w:sz w:val="18"/>
                    <w:color w:val="62716E"/>
                  </w:rPr>
                  <w:t>[Complete]</w:t>
                </w:r>
              </w:sdtContent>
            </w:sdt>
          </w:p>
        </w:tc>
      </w:tr>
      <w:tr>
        <w:trPr>
          <w:trHeight w:val="510"/>
        </w:trPr>
        <w:tc>
          <w:tcPr>
            <w:tcW w:type="dxa" w:w="3250"/>
            <w:tcMar>
              <w:top w:w="90" w:type="dxa"/>
              <w:bottom w:w="90" w:type="dxa"/>
              <w:left w:w="100" w:type="dxa"/>
              <w:right w:w="100" w:type="dxa"/>
            </w:tcMar>
            <w:shd w:fill="FFFFFF"/>
          </w:tcPr>
          <w:p>
            <w:pPr>
              <w:spacing w:after="20"/>
            </w:pPr>
            <w:sdt>
              <w:sdtPr>
                <w:alias w:val="sec_08-2-EN-2-1"/>
                <w:tag w:val="sec_08-2-EN-2-1"/>
                <w:text/>
              </w:sdtPr>
              <w:sdtContent>
                <w:r>
                  <w:rPr>
                    <w:rFonts w:ascii="Lato" w:hAnsi="Lato"/>
                    <w:sz w:val="18"/>
                    <w:color w:val="62716E"/>
                  </w:rPr>
                  <w:t>[Complete]</w:t>
                </w:r>
              </w:sdtContent>
            </w:sdt>
          </w:p>
        </w:tc>
        <w:tc>
          <w:tcPr>
            <w:tcW w:type="dxa" w:w="3250"/>
            <w:tcMar>
              <w:top w:w="90" w:type="dxa"/>
              <w:bottom w:w="90" w:type="dxa"/>
              <w:left w:w="100" w:type="dxa"/>
              <w:right w:w="100" w:type="dxa"/>
            </w:tcMar>
            <w:shd w:fill="FFFFFF"/>
          </w:tcPr>
          <w:p>
            <w:pPr>
              <w:spacing w:after="20"/>
            </w:pPr>
            <w:sdt>
              <w:sdtPr>
                <w:alias w:val="sec_08-2-EN-2-2"/>
                <w:tag w:val="sec_08-2-EN-2-2"/>
                <w:text/>
              </w:sdtPr>
              <w:sdtContent>
                <w:r>
                  <w:rPr>
                    <w:rFonts w:ascii="Lato" w:hAnsi="Lato"/>
                    <w:sz w:val="18"/>
                    <w:color w:val="62716E"/>
                  </w:rPr>
                  <w:t>[Complete]</w:t>
                </w:r>
              </w:sdtContent>
            </w:sdt>
          </w:p>
        </w:tc>
        <w:tc>
          <w:tcPr>
            <w:tcW w:type="dxa" w:w="3250"/>
            <w:tcMar>
              <w:top w:w="90" w:type="dxa"/>
              <w:bottom w:w="90" w:type="dxa"/>
              <w:left w:w="100" w:type="dxa"/>
              <w:right w:w="100" w:type="dxa"/>
            </w:tcMar>
            <w:shd w:fill="FFFFFF"/>
          </w:tcPr>
          <w:p>
            <w:pPr>
              <w:spacing w:after="20"/>
            </w:pPr>
            <w:sdt>
              <w:sdtPr>
                <w:alias w:val="sec_08-2-EN-2-3"/>
                <w:tag w:val="sec_08-2-EN-2-3"/>
                <w:text/>
              </w:sdtPr>
              <w:sdtContent>
                <w:r>
                  <w:rPr>
                    <w:rFonts w:ascii="Lato" w:hAnsi="Lato"/>
                    <w:sz w:val="18"/>
                    <w:color w:val="62716E"/>
                  </w:rPr>
                  <w:t>[Complete]</w:t>
                </w:r>
              </w:sdtContent>
            </w:sdt>
          </w:p>
        </w:tc>
      </w:tr>
      <w:tr>
        <w:trPr>
          <w:trHeight w:val="510"/>
        </w:trPr>
        <w:tc>
          <w:tcPr>
            <w:tcW w:type="dxa" w:w="3250"/>
            <w:tcMar>
              <w:top w:w="90" w:type="dxa"/>
              <w:bottom w:w="90" w:type="dxa"/>
              <w:left w:w="100" w:type="dxa"/>
              <w:right w:w="100" w:type="dxa"/>
            </w:tcMar>
            <w:shd w:fill="F1F5F2"/>
          </w:tcPr>
          <w:p>
            <w:pPr>
              <w:spacing w:after="20"/>
            </w:pPr>
            <w:sdt>
              <w:sdtPr>
                <w:alias w:val="sec_08-2-EN-3-1"/>
                <w:tag w:val="sec_08-2-EN-3-1"/>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08-2-EN-3-2"/>
                <w:tag w:val="sec_08-2-EN-3-2"/>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08-2-EN-3-3"/>
                <w:tag w:val="sec_08-2-EN-3-3"/>
                <w:text/>
              </w:sdtPr>
              <w:sdtContent>
                <w:r>
                  <w:rPr>
                    <w:rFonts w:ascii="Lato" w:hAnsi="Lato"/>
                    <w:sz w:val="18"/>
                    <w:color w:val="62716E"/>
                  </w:rPr>
                  <w:t>[Complete]</w:t>
                </w:r>
              </w:sdtContent>
            </w:sdt>
          </w:p>
        </w:tc>
      </w:tr>
    </w:tbl>
    <w:p>
      <w:bookmarkStart w:id="99001" w:name="calc_register"/>
      <w:pPr>
        <w:pStyle w:val="Heading1"/>
        <w:keepNext/>
        <w:pageBreakBefore/>
      </w:pPr>
      <w:r>
        <w:t>CALC — Calculation traceability and notation</w:t>
      </w:r>
      <w:bookmarkEnd w:id="99001"/>
    </w:p>
    <w:p>
      <w:pPr>
        <w:spacing w:after="100"/>
      </w:pPr>
      <w:r>
        <w:t>Record each calculated quantity as a uniquely identified row. Retain the exact source expression and a separate expression for any NEBIOT adaptation. A translated label does not change a formula. Units, included pools, sign convention, observation period, input status, and mathematical domain are part of the calculation record. An administrative table does not need an invented equation. Source-defined variables that remain ambiguous require clarification rather than an assumed meaning.</w:t>
      </w:r>
    </w:p>
    <w:p>
      <w:pPr>
        <w:pStyle w:val="Heading2"/>
        <w:keepNext/>
        <w:spacing w:after="100"/>
      </w:pPr>
      <w:r>
        <w:t>Indices and status</w:t>
      </w:r>
    </w:p>
    <w:p>
      <w:pPr>
        <w:spacing w:after="100"/>
      </w:pPr>
      <w:r>
        <w:t>EA = dated forecast; EP = reporting-period account; t = interval; i,j = declared strata or classes; o = disjoint organ or pool; g = gas; tau = disturbance cohort; l = calculation/component row.</w:t>
      </w:r>
    </w:p>
    <w:p>
      <w:pPr>
        <w:pStyle w:val="Heading2"/>
        <w:keepNext/>
        <w:spacing w:after="100"/>
      </w:pPr>
      <w:r>
        <w:t>One calculation record — repeat for each result</w:t>
      </w:r>
    </w:p>
    <w:tbl>
      <w:tblPr>
        <w:tblW w:type="auto" w:w="0"/>
        <w:tblLayout w:type="fixed"/>
        <w:tblLook w:firstColumn="1" w:firstRow="1" w:lastColumn="0" w:lastRow="0" w:noHBand="0" w:noVBand="1" w:val="04A0"/>
      </w:tblPr>
      <w:tblGrid>
        <w:gridCol w:w="3240"/>
        <w:gridCol w:w="6120"/>
      </w:tblGrid>
      <w:tr>
        <w:trPr/>
        <w:tc>
          <w:tcPr>
            <w:tcW w:type="dxa" w:w="4873"/>
            <w:shd w:fill="215F52"/>
          </w:tcPr>
          <w:p>
            <w:pPr>
              <w:spacing w:after="80"/>
            </w:pPr>
            <w:r>
              <w:rPr>
                <w:rFonts w:ascii="Lato" w:hAnsi="Lato"/>
                <w:b/>
                <w:color w:val="FFFFFF"/>
                <w:sz w:val="18"/>
              </w:rPr>
              <w:t>Field</w:t>
            </w:r>
          </w:p>
        </w:tc>
        <w:tc>
          <w:tcPr>
            <w:tcW w:type="dxa" w:w="4873"/>
            <w:shd w:fill="215F52"/>
          </w:tcPr>
          <w:p>
            <w:pPr>
              <w:spacing w:after="80"/>
            </w:pPr>
            <w:r>
              <w:rPr>
                <w:rFonts w:ascii="Lato" w:hAnsi="Lato"/>
                <w:b/>
                <w:color w:val="FFFFFF"/>
                <w:sz w:val="18"/>
              </w:rPr>
              <w:t>Record</w:t>
            </w:r>
          </w:p>
        </w:tc>
      </w:tr>
      <w:tr>
        <w:trPr/>
        <w:tc>
          <w:tcPr>
            <w:tcW w:type="dxa" w:w="3240"/>
          </w:tcPr>
          <w:p>
            <w:pPr>
              <w:spacing w:after="80"/>
            </w:pPr>
            <w:r>
              <w:rPr>
                <w:rFonts w:ascii="Lato" w:hAnsi="Lato"/>
                <w:sz w:val="18"/>
              </w:rPr>
              <w:t>Calculation row / symbol</w:t>
            </w:r>
          </w:p>
        </w:tc>
        <w:tc>
          <w:tcPr>
            <w:tcW w:type="dxa" w:w="6120"/>
          </w:tcPr>
          <w:p>
            <w:pPr>
              <w:spacing w:after="80"/>
            </w:pPr>
            <w:r>
              <w:rPr>
                <w:rFonts w:ascii="Lato" w:hAnsi="Lato"/>
                <w:sz w:val="18"/>
              </w:rPr>
              <w:t>[Complete]</w:t>
            </w:r>
          </w:p>
        </w:tc>
      </w:tr>
      <w:tr>
        <w:trPr/>
        <w:tc>
          <w:tcPr>
            <w:tcW w:type="dxa" w:w="3240"/>
          </w:tcPr>
          <w:p>
            <w:pPr>
              <w:spacing w:after="80"/>
            </w:pPr>
            <w:r>
              <w:rPr>
                <w:rFonts w:ascii="Lato" w:hAnsi="Lato"/>
                <w:sz w:val="18"/>
              </w:rPr>
              <w:t>Definition and intended use</w:t>
            </w:r>
          </w:p>
        </w:tc>
        <w:tc>
          <w:tcPr>
            <w:tcW w:type="dxa" w:w="6120"/>
          </w:tcPr>
          <w:p>
            <w:pPr>
              <w:spacing w:after="80"/>
            </w:pPr>
            <w:r>
              <w:rPr>
                <w:rFonts w:ascii="Lato" w:hAnsi="Lato"/>
                <w:sz w:val="18"/>
              </w:rPr>
              <w:t>[Complete]</w:t>
            </w:r>
          </w:p>
        </w:tc>
      </w:tr>
      <w:tr>
        <w:trPr/>
        <w:tc>
          <w:tcPr>
            <w:tcW w:type="dxa" w:w="3240"/>
          </w:tcPr>
          <w:p>
            <w:pPr>
              <w:spacing w:after="80"/>
            </w:pPr>
            <w:r>
              <w:rPr>
                <w:rFonts w:ascii="Lato" w:hAnsi="Lato"/>
                <w:sz w:val="18"/>
              </w:rPr>
              <w:t>Exact source file / version / fingerprint</w:t>
            </w:r>
          </w:p>
        </w:tc>
        <w:tc>
          <w:tcPr>
            <w:tcW w:type="dxa" w:w="6120"/>
          </w:tcPr>
          <w:p>
            <w:pPr>
              <w:spacing w:after="80"/>
            </w:pPr>
            <w:r>
              <w:rPr>
                <w:rFonts w:ascii="Lato" w:hAnsi="Lato"/>
                <w:sz w:val="18"/>
              </w:rPr>
              <w:t>[Complete]</w:t>
            </w:r>
          </w:p>
        </w:tc>
      </w:tr>
      <w:tr>
        <w:trPr/>
        <w:tc>
          <w:tcPr>
            <w:tcW w:type="dxa" w:w="3240"/>
          </w:tcPr>
          <w:p>
            <w:pPr>
              <w:spacing w:after="80"/>
            </w:pPr>
            <w:r>
              <w:rPr>
                <w:rFonts w:ascii="Lato" w:hAnsi="Lato"/>
                <w:sz w:val="18"/>
              </w:rPr>
              <w:t>Worksheet / cell or raw record ID</w:t>
            </w:r>
          </w:p>
        </w:tc>
        <w:tc>
          <w:tcPr>
            <w:tcW w:type="dxa" w:w="6120"/>
          </w:tcPr>
          <w:p>
            <w:pPr>
              <w:spacing w:after="80"/>
            </w:pPr>
            <w:r>
              <w:rPr>
                <w:rFonts w:ascii="Lato" w:hAnsi="Lato"/>
                <w:sz w:val="18"/>
              </w:rPr>
              <w:t>[Complete]</w:t>
            </w:r>
          </w:p>
        </w:tc>
      </w:tr>
      <w:tr>
        <w:trPr/>
        <w:tc>
          <w:tcPr>
            <w:tcW w:type="dxa" w:w="3240"/>
          </w:tcPr>
          <w:p>
            <w:pPr>
              <w:spacing w:after="80"/>
            </w:pPr>
            <w:r>
              <w:rPr>
                <w:rFonts w:ascii="Lato" w:hAnsi="Lato"/>
                <w:sz w:val="18"/>
              </w:rPr>
              <w:t>Original expression and original unit</w:t>
            </w:r>
          </w:p>
        </w:tc>
        <w:tc>
          <w:tcPr>
            <w:tcW w:type="dxa" w:w="6120"/>
          </w:tcPr>
          <w:p>
            <w:pPr>
              <w:spacing w:after="80"/>
            </w:pPr>
            <w:r>
              <w:rPr>
                <w:rFonts w:ascii="Lato" w:hAnsi="Lato"/>
                <w:sz w:val="18"/>
              </w:rPr>
              <w:t>[Complete]</w:t>
            </w:r>
          </w:p>
        </w:tc>
      </w:tr>
      <w:tr>
        <w:trPr/>
        <w:tc>
          <w:tcPr>
            <w:tcW w:type="dxa" w:w="3240"/>
          </w:tcPr>
          <w:p>
            <w:pPr>
              <w:spacing w:after="80"/>
            </w:pPr>
            <w:r>
              <w:rPr>
                <w:rFonts w:ascii="Lato" w:hAnsi="Lato"/>
                <w:sz w:val="18"/>
              </w:rPr>
              <w:t>Inputs: symbols, values, units and periods</w:t>
            </w:r>
          </w:p>
        </w:tc>
        <w:tc>
          <w:tcPr>
            <w:tcW w:type="dxa" w:w="6120"/>
          </w:tcPr>
          <w:p>
            <w:pPr>
              <w:spacing w:after="80"/>
            </w:pPr>
            <w:r>
              <w:rPr>
                <w:rFonts w:ascii="Lato" w:hAnsi="Lato"/>
                <w:sz w:val="18"/>
              </w:rPr>
              <w:t>[Complete]</w:t>
            </w:r>
          </w:p>
        </w:tc>
      </w:tr>
      <w:tr>
        <w:trPr/>
        <w:tc>
          <w:tcPr>
            <w:tcW w:type="dxa" w:w="3240"/>
          </w:tcPr>
          <w:p>
            <w:pPr>
              <w:spacing w:after="80"/>
            </w:pPr>
            <w:r>
              <w:rPr>
                <w:rFonts w:ascii="Lato" w:hAnsi="Lato"/>
                <w:sz w:val="18"/>
              </w:rPr>
              <w:t>Receiving equation / standard identifier</w:t>
            </w:r>
          </w:p>
        </w:tc>
        <w:tc>
          <w:tcPr>
            <w:tcW w:type="dxa" w:w="6120"/>
          </w:tcPr>
          <w:p>
            <w:pPr>
              <w:spacing w:after="80"/>
            </w:pPr>
            <w:r>
              <w:rPr>
                <w:rFonts w:ascii="Lato" w:hAnsi="Lato"/>
                <w:sz w:val="18"/>
              </w:rPr>
              <w:t>[Complete]</w:t>
            </w:r>
          </w:p>
        </w:tc>
      </w:tr>
      <w:tr>
        <w:trPr/>
        <w:tc>
          <w:tcPr>
            <w:tcW w:type="dxa" w:w="3240"/>
          </w:tcPr>
          <w:p>
            <w:pPr>
              <w:spacing w:after="80"/>
            </w:pPr>
            <w:r>
              <w:rPr>
                <w:rFonts w:ascii="Lato" w:hAnsi="Lato"/>
                <w:sz w:val="18"/>
              </w:rPr>
              <w:t>Transformation, conversion and rationale</w:t>
            </w:r>
          </w:p>
        </w:tc>
        <w:tc>
          <w:tcPr>
            <w:tcW w:type="dxa" w:w="6120"/>
          </w:tcPr>
          <w:p>
            <w:pPr>
              <w:spacing w:after="80"/>
            </w:pPr>
            <w:r>
              <w:rPr>
                <w:rFonts w:ascii="Lato" w:hAnsi="Lato"/>
                <w:sz w:val="18"/>
              </w:rPr>
              <w:t>[Complete]</w:t>
            </w:r>
          </w:p>
        </w:tc>
      </w:tr>
      <w:tr>
        <w:trPr/>
        <w:tc>
          <w:tcPr>
            <w:tcW w:type="dxa" w:w="3240"/>
          </w:tcPr>
          <w:p>
            <w:pPr>
              <w:spacing w:after="80"/>
            </w:pPr>
            <w:r>
              <w:rPr>
                <w:rFonts w:ascii="Lato" w:hAnsi="Lato"/>
                <w:sz w:val="18"/>
              </w:rPr>
              <w:t>Unrounded intermediate and final values</w:t>
            </w:r>
          </w:p>
        </w:tc>
        <w:tc>
          <w:tcPr>
            <w:tcW w:type="dxa" w:w="6120"/>
          </w:tcPr>
          <w:p>
            <w:pPr>
              <w:spacing w:after="80"/>
            </w:pPr>
            <w:r>
              <w:rPr>
                <w:rFonts w:ascii="Lato" w:hAnsi="Lato"/>
                <w:sz w:val="18"/>
              </w:rPr>
              <w:t>[Complete]</w:t>
            </w:r>
          </w:p>
        </w:tc>
      </w:tr>
      <w:tr>
        <w:trPr/>
        <w:tc>
          <w:tcPr>
            <w:tcW w:type="dxa" w:w="3240"/>
          </w:tcPr>
          <w:p>
            <w:pPr>
              <w:spacing w:after="80"/>
            </w:pPr>
            <w:r>
              <w:rPr>
                <w:rFonts w:ascii="Lato" w:hAnsi="Lato"/>
                <w:sz w:val="18"/>
              </w:rPr>
              <w:t>Report table / row / output location</w:t>
            </w:r>
          </w:p>
        </w:tc>
        <w:tc>
          <w:tcPr>
            <w:tcW w:type="dxa" w:w="6120"/>
          </w:tcPr>
          <w:p>
            <w:pPr>
              <w:spacing w:after="80"/>
            </w:pPr>
            <w:r>
              <w:rPr>
                <w:rFonts w:ascii="Lato" w:hAnsi="Lato"/>
                <w:sz w:val="18"/>
              </w:rPr>
              <w:t>[Complete]</w:t>
            </w:r>
          </w:p>
        </w:tc>
      </w:tr>
      <w:tr>
        <w:trPr/>
        <w:tc>
          <w:tcPr>
            <w:tcW w:type="dxa" w:w="3240"/>
          </w:tcPr>
          <w:p>
            <w:pPr>
              <w:spacing w:after="80"/>
            </w:pPr>
            <w:r>
              <w:rPr>
                <w:rFonts w:ascii="Lato" w:hAnsi="Lato"/>
                <w:sz w:val="18"/>
              </w:rPr>
              <w:t>Recalculation difference / tolerance basis</w:t>
            </w:r>
          </w:p>
        </w:tc>
        <w:tc>
          <w:tcPr>
            <w:tcW w:type="dxa" w:w="6120"/>
          </w:tcPr>
          <w:p>
            <w:pPr>
              <w:spacing w:after="80"/>
            </w:pPr>
            <w:r>
              <w:rPr>
                <w:rFonts w:ascii="Lato" w:hAnsi="Lato"/>
                <w:sz w:val="18"/>
              </w:rPr>
              <w:t>[Complete]</w:t>
            </w:r>
          </w:p>
        </w:tc>
      </w:tr>
      <w:tr>
        <w:trPr/>
        <w:tc>
          <w:tcPr>
            <w:tcW w:type="dxa" w:w="3240"/>
          </w:tcPr>
          <w:p>
            <w:pPr>
              <w:spacing w:after="80"/>
            </w:pPr>
            <w:r>
              <w:rPr>
                <w:rFonts w:ascii="Lato" w:hAnsi="Lato"/>
                <w:sz w:val="18"/>
              </w:rPr>
              <w:t>Independent reviewer / finding / disposition</w:t>
            </w:r>
          </w:p>
        </w:tc>
        <w:tc>
          <w:tcPr>
            <w:tcW w:type="dxa" w:w="6120"/>
          </w:tcPr>
          <w:p>
            <w:pPr>
              <w:spacing w:after="80"/>
            </w:pPr>
            <w:r>
              <w:rPr>
                <w:rFonts w:ascii="Lato" w:hAnsi="Lato"/>
                <w:sz w:val="18"/>
              </w:rPr>
              <w:t>[Complete]</w:t>
            </w:r>
          </w:p>
        </w:tc>
      </w:tr>
    </w:tbl>
    <w:p>
      <w:pPr>
        <w:pStyle w:val="Heading2"/>
        <w:keepNext/>
        <w:spacing w:after="100"/>
      </w:pPr>
      <w:r>
        <w:t>Arithmetic comparison, not materiality</w:t>
      </w:r>
    </w:p>
    <w:p>
      <w:pPr>
        <w:spacing w:after="100"/>
      </w:pPr>
      <m:oMath>
        <m:sSub>
          <m:e>
            <m:r>
              <w:rPr>
                <w:sz w:val="20"/>
              </w:rPr>
              <m:t>δ</m:t>
            </m:r>
          </m:e>
          <m:sub>
            <m:r>
              <w:rPr>
                <w:sz w:val="20"/>
              </w:rPr>
              <m:rPr>
                <m:sty m:val="p"/>
              </m:rPr>
              <m:t>ℓ</m:t>
            </m:r>
          </m:sub>
        </m:sSub>
        <m:r>
          <w:rPr>
            <w:sz w:val="20"/>
          </w:rPr>
          <m:rPr>
            <m:sty m:val="p"/>
          </m:rPr>
          <m:t>=</m:t>
        </m:r>
        <m:sSubSup>
          <m:e>
            <m:r>
              <w:rPr>
                <w:sz w:val="20"/>
              </w:rPr>
              <m:t>v</m:t>
            </m:r>
          </m:e>
          <m:sub>
            <m:r>
              <w:rPr>
                <w:sz w:val="20"/>
              </w:rPr>
              <m:rPr>
                <m:sty m:val="p"/>
              </m:rPr>
              <m:t>ℓ</m:t>
            </m:r>
          </m:sub>
          <m:sup>
            <m:r>
              <w:rPr>
                <w:sz w:val="20"/>
              </w:rPr>
              <m:rPr>
                <m:sty m:val="p"/>
              </m:rPr>
              <m:t>r</m:t>
            </m:r>
            <m:r>
              <w:rPr>
                <w:sz w:val="20"/>
              </w:rPr>
              <m:rPr>
                <m:sty m:val="p"/>
              </m:rPr>
              <m:t>e</m:t>
            </m:r>
            <m:r>
              <w:rPr>
                <w:sz w:val="20"/>
              </w:rPr>
              <m:rPr>
                <m:sty m:val="p"/>
              </m:rPr>
              <m:t>c</m:t>
            </m:r>
            <m:r>
              <w:rPr>
                <w:sz w:val="20"/>
              </w:rPr>
              <m:rPr>
                <m:sty m:val="p"/>
              </m:rPr>
              <m:t>a</m:t>
            </m:r>
            <m:r>
              <w:rPr>
                <w:sz w:val="20"/>
              </w:rPr>
              <m:rPr>
                <m:sty m:val="p"/>
              </m:rPr>
              <m:t>l</m:t>
            </m:r>
            <m:r>
              <w:rPr>
                <w:sz w:val="20"/>
              </w:rPr>
              <m:rPr>
                <m:sty m:val="p"/>
              </m:rPr>
              <m:t>c</m:t>
            </m:r>
          </m:sup>
        </m:sSubSup>
        <m:r>
          <w:rPr>
            <w:sz w:val="20"/>
          </w:rPr>
          <m:rPr>
            <m:sty m:val="p"/>
          </m:rPr>
          <m:t>−</m:t>
        </m:r>
        <m:sSubSup>
          <m:e>
            <m:r>
              <w:rPr>
                <w:sz w:val="20"/>
              </w:rPr>
              <m:t>v</m:t>
            </m:r>
          </m:e>
          <m:sub>
            <m:r>
              <w:rPr>
                <w:sz w:val="20"/>
              </w:rPr>
              <m:rPr>
                <m:sty m:val="p"/>
              </m:rPr>
              <m:t>ℓ</m:t>
            </m:r>
          </m:sub>
          <m:sup>
            <m:r>
              <w:rPr>
                <w:sz w:val="20"/>
              </w:rPr>
              <m:rPr>
                <m:sty m:val="p"/>
              </m:rPr>
              <m:t>r</m:t>
            </m:r>
            <m:r>
              <w:rPr>
                <w:sz w:val="20"/>
              </w:rPr>
              <m:rPr>
                <m:sty m:val="p"/>
              </m:rPr>
              <m:t>e</m:t>
            </m:r>
            <m:r>
              <w:rPr>
                <w:sz w:val="20"/>
              </w:rPr>
              <m:rPr>
                <m:sty m:val="p"/>
              </m:rPr>
              <m:t>f</m:t>
            </m:r>
            <m:r>
              <w:rPr>
                <w:sz w:val="20"/>
              </w:rPr>
              <m:rPr>
                <m:sty m:val="p"/>
              </m:rPr>
              <m:t>e</m:t>
            </m:r>
            <m:r>
              <w:rPr>
                <w:sz w:val="20"/>
              </w:rPr>
              <m:rPr>
                <m:sty m:val="p"/>
              </m:rPr>
              <m:t>r</m:t>
            </m:r>
            <m:r>
              <w:rPr>
                <w:sz w:val="20"/>
              </w:rPr>
              <m:rPr>
                <m:sty m:val="p"/>
              </m:rPr>
              <m:t>e</m:t>
            </m:r>
            <m:r>
              <w:rPr>
                <w:sz w:val="20"/>
              </w:rPr>
              <m:rPr>
                <m:sty m:val="p"/>
              </m:rPr>
              <m:t>n</m:t>
            </m:r>
            <m:r>
              <w:rPr>
                <w:sz w:val="20"/>
              </w:rPr>
              <m:rPr>
                <m:sty m:val="p"/>
              </m:rPr>
              <m:t>c</m:t>
            </m:r>
            <m:r>
              <w:rPr>
                <w:sz w:val="20"/>
              </w:rPr>
              <m:rPr>
                <m:sty m:val="p"/>
              </m:rPr>
              <m:t>e</m:t>
            </m:r>
          </m:sup>
        </m:sSubSup>
      </m:oMath>
    </w:p>
    <w:p>
      <w:pPr>
        <w:spacing w:after="100"/>
      </w:pPr>
      <m:oMath>
        <m:d>
          <m:dPr>
            <m:begChr m:val="|"/>
            <m:endChr m:val="|"/>
            <m:sepChr m:val=""/>
            <m:grow/>
          </m:dPr>
          <m:e>
            <m:sSub>
              <m:e>
                <m:r>
                  <w:rPr>
                    <w:sz w:val="20"/>
                  </w:rPr>
                  <m:t>δ</m:t>
                </m:r>
              </m:e>
              <m:sub>
                <m:r>
                  <w:rPr>
                    <w:sz w:val="20"/>
                  </w:rPr>
                  <m:rPr>
                    <m:sty m:val="p"/>
                  </m:rPr>
                  <m:t>ℓ</m:t>
                </m:r>
              </m:sub>
            </m:sSub>
          </m:e>
        </m:d>
        <m:r>
          <w:rPr>
            <w:sz w:val="20"/>
          </w:rPr>
          <m:rPr>
            <m:sty m:val="p"/>
          </m:rPr>
          <m:t>≤</m:t>
        </m:r>
        <m:sSub>
          <m:e>
            <m:r>
              <w:rPr>
                <w:sz w:val="20"/>
              </w:rPr>
              <m:t>ε</m:t>
            </m:r>
          </m:e>
          <m:sub>
            <m:r>
              <w:rPr>
                <w:sz w:val="20"/>
              </w:rPr>
              <m:t>a</m:t>
            </m:r>
          </m:sub>
        </m:sSub>
        <m:r>
          <w:rPr>
            <w:sz w:val="20"/>
          </w:rPr>
          <m:rPr>
            <m:sty m:val="p"/>
          </m:rPr>
          <m:t>+</m:t>
        </m:r>
        <m:sSub>
          <m:e>
            <m:r>
              <w:rPr>
                <w:sz w:val="20"/>
              </w:rPr>
              <m:t>ε</m:t>
            </m:r>
          </m:e>
          <m:sub>
            <m:r>
              <w:rPr>
                <w:sz w:val="20"/>
              </w:rPr>
              <m:t>r</m:t>
            </m:r>
          </m:sub>
        </m:sSub>
        <m:d>
          <m:dPr>
            <m:begChr m:val="|"/>
            <m:endChr m:val="|"/>
            <m:sepChr m:val=""/>
            <m:grow/>
          </m:dPr>
          <m:e>
            <m:sSubSup>
              <m:e>
                <m:r>
                  <w:rPr>
                    <w:sz w:val="20"/>
                  </w:rPr>
                  <m:t>v</m:t>
                </m:r>
              </m:e>
              <m:sub>
                <m:r>
                  <w:rPr>
                    <w:sz w:val="20"/>
                  </w:rPr>
                  <m:rPr>
                    <m:sty m:val="p"/>
                  </m:rPr>
                  <m:t>ℓ</m:t>
                </m:r>
              </m:sub>
              <m:sup>
                <m:r>
                  <w:rPr>
                    <w:sz w:val="20"/>
                  </w:rPr>
                  <m:rPr>
                    <m:sty m:val="p"/>
                  </m:rPr>
                  <m:t>r</m:t>
                </m:r>
                <m:r>
                  <w:rPr>
                    <w:sz w:val="20"/>
                  </w:rPr>
                  <m:rPr>
                    <m:sty m:val="p"/>
                  </m:rPr>
                  <m:t>e</m:t>
                </m:r>
                <m:r>
                  <w:rPr>
                    <w:sz w:val="20"/>
                  </w:rPr>
                  <m:rPr>
                    <m:sty m:val="p"/>
                  </m:rPr>
                  <m:t>f</m:t>
                </m:r>
                <m:r>
                  <w:rPr>
                    <w:sz w:val="20"/>
                  </w:rPr>
                  <m:rPr>
                    <m:sty m:val="p"/>
                  </m:rPr>
                  <m:t>e</m:t>
                </m:r>
                <m:r>
                  <w:rPr>
                    <w:sz w:val="20"/>
                  </w:rPr>
                  <m:rPr>
                    <m:sty m:val="p"/>
                  </m:rPr>
                  <m:t>r</m:t>
                </m:r>
                <m:r>
                  <w:rPr>
                    <w:sz w:val="20"/>
                  </w:rPr>
                  <m:rPr>
                    <m:sty m:val="p"/>
                  </m:rPr>
                  <m:t>e</m:t>
                </m:r>
                <m:r>
                  <w:rPr>
                    <w:sz w:val="20"/>
                  </w:rPr>
                  <m:rPr>
                    <m:sty m:val="p"/>
                  </m:rPr>
                  <m:t>n</m:t>
                </m:r>
                <m:r>
                  <w:rPr>
                    <w:sz w:val="20"/>
                  </w:rPr>
                  <m:rPr>
                    <m:sty m:val="p"/>
                  </m:rPr>
                  <m:t>c</m:t>
                </m:r>
                <m:r>
                  <w:rPr>
                    <w:sz w:val="20"/>
                  </w:rPr>
                  <m:rPr>
                    <m:sty m:val="p"/>
                  </m:rPr>
                  <m:t>e</m:t>
                </m:r>
              </m:sup>
            </m:sSubSup>
          </m:e>
        </m:d>
      </m:oMath>
    </w:p>
    <w:p>
      <w:pPr>
        <w:spacing w:after="100"/>
      </w:pPr>
      <w:r>
        <w:t>The absolute tolerance has the result unit; the relative tolerance is dimensionless. These are software-comparison settings, not materiality thresholds. Compare unrounded values. Reproduce the source method first, and record any harmonization or methodological change separately.</w:t>
      </w:r>
    </w:p>
    <w:sectPr w:rsidR="00FC693F" w:rsidRPr="0006063C" w:rsidSect="00034616">
      <w:headerReference w:type="default" r:id="rId9"/>
      <w:footerReference w:type="default" r:id="rId10"/>
      <w:headerReference w:type="first" r:id="rId12"/>
      <w:footerReference w:type="first" r:id="rId13"/>
      <w:pgSz w:w="11906" w:h="16838"/>
      <w:pgMar w:top="936" w:right="1080" w:bottom="950" w:left="1080" w:header="403"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749" w:val="right"/>
      </w:tabs>
      <w:spacing w:before="60"/>
      <w:pBdr>
        <w:top w:val="single" w:sz="4" w:color="C9D5CE" w:space="5"/>
      </w:pBdr>
    </w:pPr>
    <w:r>
      <w:rPr>
        <w:rFonts w:ascii="Arial" w:hAnsi="Arial"/>
        <w:b w:val="0"/>
        <w:i w:val="0"/>
        <w:color w:val="62716E"/>
        <w:sz w:val="14"/>
      </w:rPr>
      <w:t>TEMPLATE 1.2  / MIG-REC /  NEBIOT 0.8.2</w:t>
    </w:r>
    <w:r>
      <w:tab/>
    </w:r>
    <w:r>
      <w:rPr>
        <w:rFonts w:ascii="Arial" w:hAnsi="Arial"/>
        <w:b w:val="0"/>
        <w:i w:val="0"/>
        <w:color w:val="62716E"/>
        <w:sz w:val="14"/>
      </w:rPr>
      <w:t xml:space="preserve">Page </w:t>
    </w:r>
    <w:fldSimple w:instr="PAGE">
      <w:r>
        <w:t>1</w:t>
      </w:r>
    </w:fldSimple>
    <w:r>
      <w:t xml:space="preserve"> / </w:t>
    </w:r>
    <w:fldSimple w:instr="NUMPAGES">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749" w:val="right"/>
      </w:tabs>
      <w:spacing w:after="60"/>
      <w:pBdr>
        <w:bottom w:val="single" w:sz="4" w:color="C9D5CE" w:space="5"/>
      </w:pBdr>
    </w:pPr>
    <w:r>
      <w:rPr>
        <w:rFonts w:ascii="Arial" w:hAnsi="Arial"/>
        <w:b/>
        <w:i w:val="0"/>
        <w:color w:val="215F52"/>
        <w:sz w:val="16"/>
      </w:rPr>
      <w:t>NEBIOT   /   MIGRATION RECONCILIATION</w:t>
    </w:r>
    <w:r>
      <w:tab/>
    </w:r>
    <w:r>
      <w:rPr>
        <w:rFonts w:ascii="Arial" w:hAnsi="Arial"/>
        <w:b w:val="0"/>
        <w:i w:val="0"/>
        <w:color w:val="62716E"/>
        <w:sz w:val="16"/>
      </w:rPr>
      <w:t>EN   |   1.2</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19"/>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40"/>
      <w:outlineLvl w:val="0"/>
    </w:pPr>
    <w:rPr>
      <w:rFonts w:asciiTheme="majorHAnsi" w:eastAsiaTheme="majorEastAsia" w:hAnsiTheme="majorHAnsi" w:cstheme="majorBidi" w:ascii="Georgia" w:hAnsi="Georgia"/>
      <w:b/>
      <w:bCs/>
      <w:color w:val="215F52"/>
      <w:sz w:val="38"/>
      <w:szCs w:val="28"/>
    </w:rPr>
  </w:style>
  <w:style w:type="paragraph" w:styleId="Heading2">
    <w:name w:val="heading 2"/>
    <w:basedOn w:val="Normal"/>
    <w:next w:val="Normal"/>
    <w:link w:val="Heading2Char"/>
    <w:uiPriority w:val="9"/>
    <w:unhideWhenUsed/>
    <w:qFormat/>
    <w:rsid w:val="00FC693F"/>
    <w:pPr>
      <w:keepNext/>
      <w:keepLines/>
      <w:spacing w:before="140" w:after="140"/>
      <w:outlineLvl w:val="1"/>
    </w:pPr>
    <w:rPr>
      <w:rFonts w:asciiTheme="majorHAnsi" w:eastAsiaTheme="majorEastAsia" w:hAnsiTheme="majorHAnsi" w:cstheme="majorBidi" w:ascii="Arial" w:hAnsi="Arial"/>
      <w:b/>
      <w:bCs/>
      <w:color w:val="215F52"/>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140"/>
      <w:contextualSpacing/>
    </w:pPr>
    <w:rPr>
      <w:rFonts w:asciiTheme="majorHAnsi" w:eastAsiaTheme="majorEastAsia" w:hAnsiTheme="majorHAnsi" w:cstheme="majorBidi" w:ascii="Georgia" w:hAnsi="Georgia"/>
      <w:color w:val="215F52"/>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eader" Target="header2.xml"/><Relationship Id="rId13"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Migration Reconciliation | NEBIOT</dc:title>
  <dc:subject>Reporting template | NEBIOT Standard 0.8.2</dc:subject>
  <dc:creator>Henry Arellano-Peña</dc:creator>
  <cp:keywords>NEBIOT, PD, template</cp:keywords>
  <dc:description/>
  <cp:lastModifiedBy>NEBIOT</cp:lastModifiedBy>
  <cp:revision>1</cp:revision>
  <dcterms:created xsi:type="dcterms:W3CDTF">2026-09-25T00:00:00Z</dcterms:created>
  <dcterms:modified xsi:type="dcterms:W3CDTF">2026-09-25T00:00:00Z</dcterms:modified>
  <cp:category>Project documentation template</cp:category>
  <cp:version>1.2</cp:version>
</cp:coreProperties>
</file>