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40" w:line="259" w:lineRule="auto"/>
      </w:pPr>
      <w:r>
        <w:rPr>
          <w:rFonts w:ascii="Arial" w:hAnsi="Arial"/>
          <w:b w:val="0"/>
          <w:i w:val="0"/>
          <w:color w:val="A6813D"/>
          <w:sz w:val="17"/>
        </w:rPr>
        <w:t>NEBIOT  /  DOCUMENTACIÓN DEL PROYECTO</w:t>
      </w:r>
    </w:p>
    <w:p>
      <w:pPr>
        <w:jc w:val="center"/>
      </w:pPr>
      <w:r>
        <w:drawing>
          <wp:inline xmlns:a="http://schemas.openxmlformats.org/drawingml/2006/main" xmlns:pic="http://schemas.openxmlformats.org/drawingml/2006/picture">
            <wp:extent cx="5760720" cy="1918365"/>
            <wp:docPr id="1" name="Picture 1" descr="NEBIOT — Español"/>
            <wp:cNvGraphicFramePr>
              <a:graphicFrameLocks noChangeAspect="1"/>
            </wp:cNvGraphicFramePr>
            <a:graphic>
              <a:graphicData uri="http://schemas.openxmlformats.org/drawingml/2006/picture">
                <pic:pic>
                  <pic:nvPicPr>
                    <pic:cNvPr id="0" name="NEBIOT-Spanish-6000px.png"/>
                    <pic:cNvPicPr/>
                  </pic:nvPicPr>
                  <pic:blipFill>
                    <a:blip r:embed="rId11"/>
                    <a:stretch>
                      <a:fillRect/>
                    </a:stretch>
                  </pic:blipFill>
                  <pic:spPr>
                    <a:xfrm>
                      <a:off x="0" y="0"/>
                      <a:ext cx="5760720" cy="1918365"/>
                    </a:xfrm>
                    <a:prstGeom prst="rect"/>
                  </pic:spPr>
                </pic:pic>
              </a:graphicData>
            </a:graphic>
          </wp:inline>
        </w:drawing>
      </w:r>
    </w:p>
    <w:p>
      <w:pPr>
        <w:keepNext w:val="0"/>
        <w:spacing w:after="180" w:line="259" w:lineRule="auto"/>
      </w:pPr>
      <w:r>
        <w:rPr>
          <w:rFonts w:ascii="Arial" w:hAnsi="Arial"/>
          <w:b w:val="0"/>
          <w:i w:val="0"/>
          <w:color w:val="62716E"/>
          <w:sz w:val="16"/>
        </w:rPr>
        <w:t>Autoridad del programa: Nuevo Estándar Biotropical — NEBIOT S.A.S.</w:t>
      </w:r>
    </w:p>
    <w:p>
      <w:pPr>
        <w:pStyle w:val="Title"/>
        <w:spacing w:after="160"/>
        <w:pBdr>
          <w:bottom w:val="single" w:sz="8" w:color="A6813D" w:space="5"/>
        </w:pBdr>
      </w:pPr>
      <w:r>
        <w:t>Conciliación de migración</w:t>
      </w:r>
    </w:p>
    <w:p>
      <w:pPr>
        <w:keepNext w:val="0"/>
        <w:spacing w:after="180" w:line="259" w:lineRule="auto"/>
      </w:pPr>
      <w:r>
        <w:rPr>
          <w:rFonts w:ascii="Arial" w:hAnsi="Arial"/>
          <w:b w:val="0"/>
          <w:i/>
          <w:color w:val="215F52"/>
          <w:sz w:val="21"/>
        </w:rPr>
        <w:t>Cuentas original, armonizada y NEBIOT de resultados</w:t>
      </w:r>
    </w:p>
    <w:p>
      <w:pPr>
        <w:keepNext w:val="0"/>
        <w:spacing w:after="260" w:line="259" w:lineRule="auto"/>
      </w:pPr>
      <w:r>
        <w:rPr>
          <w:rFonts w:ascii="Arial" w:hAnsi="Arial"/>
          <w:b w:val="0"/>
          <w:i w:val="0"/>
          <w:color w:val="62716E"/>
          <w:sz w:val="17"/>
        </w:rPr>
        <w:t>Estándar de referencia: NEBIOT 0.8.2   |   Edición de plantilla 1.2</w:t>
      </w:r>
    </w:p>
    <w:p>
      <w:pPr>
        <w:keepNext w:val="0"/>
        <w:spacing w:after="200" w:line="259" w:lineRule="auto"/>
      </w:pPr>
      <w:r>
        <w:rPr>
          <w:rFonts w:ascii="Arial" w:hAnsi="Arial"/>
          <w:b w:val="0"/>
          <w:i/>
          <w:color w:val="215F52"/>
          <w:sz w:val="32"/>
        </w:rPr>
        <w:t>[NOMBRE DEL PROYECTO]</w:t>
      </w:r>
    </w:p>
    <w:p>
      <w:pPr>
        <w:spacing w:after="80"/>
      </w:pPr>
      <w:r>
        <w:rPr>
          <w:rFonts w:ascii="Arial" w:hAnsi="Arial"/>
          <w:b/>
          <w:i w:val="0"/>
          <w:color w:val="243A36"/>
          <w:sz w:val="18"/>
        </w:rPr>
        <w:t xml:space="preserve">ID del proyecto: </w:t>
      </w:r>
      <w:r>
        <w:rPr>
          <w:rFonts w:ascii="Arial" w:hAnsi="Arial"/>
          <w:b w:val="0"/>
          <w:i/>
          <w:color w:val="62716E"/>
          <w:sz w:val="18"/>
        </w:rPr>
        <w:t>[Completar]</w:t>
      </w:r>
    </w:p>
    <w:p>
      <w:pPr>
        <w:spacing w:after="80"/>
      </w:pPr>
      <w:r>
        <w:rPr>
          <w:rFonts w:ascii="Arial" w:hAnsi="Arial"/>
          <w:b/>
          <w:i w:val="0"/>
          <w:color w:val="243A36"/>
          <w:sz w:val="18"/>
        </w:rPr>
        <w:t xml:space="preserve">País / jurisdicción: </w:t>
      </w:r>
      <w:r>
        <w:rPr>
          <w:rFonts w:ascii="Arial" w:hAnsi="Arial"/>
          <w:b w:val="0"/>
          <w:i/>
          <w:color w:val="62716E"/>
          <w:sz w:val="18"/>
        </w:rPr>
        <w:t>[Completar]</w:t>
      </w:r>
    </w:p>
    <w:p>
      <w:pPr>
        <w:spacing w:after="80"/>
      </w:pPr>
      <w:r>
        <w:rPr>
          <w:rFonts w:ascii="Arial" w:hAnsi="Arial"/>
          <w:b/>
          <w:i w:val="0"/>
          <w:color w:val="243A36"/>
          <w:sz w:val="18"/>
        </w:rPr>
        <w:t xml:space="preserve">Versión del documento del proyecto: </w:t>
      </w:r>
      <w:r>
        <w:rPr>
          <w:rFonts w:ascii="Arial" w:hAnsi="Arial"/>
          <w:b w:val="0"/>
          <w:i/>
          <w:color w:val="62716E"/>
          <w:sz w:val="18"/>
        </w:rPr>
        <w:t>[Completar]</w:t>
      </w:r>
    </w:p>
    <w:p>
      <w:pPr>
        <w:spacing w:after="80"/>
      </w:pPr>
      <w:r>
        <w:rPr>
          <w:rFonts w:ascii="Arial" w:hAnsi="Arial"/>
          <w:b/>
          <w:i w:val="0"/>
          <w:color w:val="243A36"/>
          <w:sz w:val="18"/>
        </w:rPr>
        <w:t xml:space="preserve">Fecha de emisión (AAAA-MM-DD): </w:t>
      </w:r>
      <w:r>
        <w:rPr>
          <w:rFonts w:ascii="Arial" w:hAnsi="Arial"/>
          <w:b w:val="0"/>
          <w:i/>
          <w:color w:val="62716E"/>
          <w:sz w:val="18"/>
        </w:rPr>
        <w:t>[Completar]</w:t>
      </w:r>
    </w:p>
    <w:p>
      <w:pPr>
        <w:keepNext w:val="0"/>
        <w:spacing w:after="100" w:line="259" w:lineRule="auto"/>
      </w:pPr>
      <w:r>
        <w:rPr>
          <w:rFonts w:ascii="Arial" w:hAnsi="Arial"/>
          <w:b w:val="0"/>
          <w:i w:val="0"/>
          <w:color w:val="215F52"/>
          <w:sz w:val="21"/>
        </w:rPr>
        <w:t>Organizaciones ejecutoras y partes interesadas</w:t>
      </w:r>
    </w:p>
    <w:tbl>
      <w:tblPr>
        <w:tblW w:type="auto" w:w="0"/>
        <w:jc w:val="center"/>
        <w:tblLayout w:type="fixed"/>
        <w:tblLook w:firstColumn="1" w:firstRow="1" w:lastColumn="0" w:lastRow="0" w:noHBand="0" w:noVBand="1" w:val="04A0"/>
      </w:tblPr>
      <w:tblGrid>
        <w:gridCol w:w="3249"/>
        <w:gridCol w:w="3249"/>
        <w:gridCol w:w="3249"/>
      </w:tblGrid>
      <w:tr>
        <w:trPr>
          <w:trHeight w:val="1296" w:hRule="atLeast"/>
        </w:trPr>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ENTIDAD EJECUTORA</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PROPONENTE DEL PROYECTO</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TITULARES / PARTES INTERESADAS</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r>
    </w:tbl>
    <w:p>
      <w:pPr>
        <w:keepNext w:val="0"/>
        <w:spacing w:after="160" w:line="259" w:lineRule="auto"/>
      </w:pPr>
      <w:r>
        <w:rPr>
          <w:rFonts w:ascii="Arial" w:hAnsi="Arial"/>
          <w:b w:val="0"/>
          <w:i w:val="0"/>
          <w:color w:val="62716E"/>
          <w:sz w:val="16"/>
        </w:rPr>
        <w:t>Use logotipos autorizados e identifique la función real de cada organización. Exhibir un logotipo no establece consentimiento, propiedad, respaldo, validación ni admisión. Retire espacios sin usar de la presentación final.</w:t>
      </w:r>
    </w:p>
    <w:p>
      <w:pPr>
        <w:keepNext w:val="0"/>
        <w:spacing w:after="100" w:line="259" w:lineRule="auto"/>
      </w:pPr>
      <w:r>
        <w:rPr>
          <w:rFonts w:ascii="Arial" w:hAnsi="Arial"/>
          <w:b w:val="0"/>
          <w:i w:val="0"/>
          <w:color w:val="62716E"/>
          <w:sz w:val="15"/>
        </w:rPr>
        <w:t>Se conserva la grafía SAS del logotipo; S.A.S. es la convención de puntuación utilizada en el texto.</w:t>
      </w:r>
    </w:p>
    <w:p>
      <w:r>
        <w:br w:type="page"/>
      </w:r>
    </w:p>
    <w:p>
      <w:pPr>
        <w:pStyle w:val="Heading1"/>
        <w:keepNext/>
      </w:pPr>
      <w:r>
        <w:t>Licencia y uso de esta plantilla</w:t>
      </w:r>
    </w:p>
    <w:p>
      <w:pPr>
        <w:keepNext w:val="0"/>
        <w:spacing w:after="220" w:line="259" w:lineRule="auto"/>
      </w:pPr>
      <w:r>
        <w:rPr>
          <w:rFonts w:ascii="Arial" w:hAnsi="Arial"/>
          <w:b w:val="0"/>
          <w:i w:val="0"/>
          <w:color w:val="243A36"/>
          <w:sz w:val="19"/>
        </w:rPr>
        <w:t>Este documento es publicado por Nuevo Estándar Biotropical—NEBIOT S.A.S. Henry Arellano-Peña es el autor metodológico de NEB001 y NEB002. Los derechos sobre los materiales protegidos de NEBIOT permanecen en sus respectivos titulares. El uso comercial, la reproducción, la adaptación, la redistribución y el sublicenciamiento de material protegido están sujetos a la licencia aplicable o al permiso escrito específico del titular facultado para autorizarlo; los permisos de uso dentro del programa NEBIOT deberán registrarse en FRM-07 conforme a S-21. El acceso a este documento no otorga por sí mismo una licencia comercial, no transfiere titularidad, no autoriza el sublicenciamiento, no confiere admisión al programa ni autoriza la certificación o emisión de unidades ambientales. Las publicaciones de respaldo y los datos, programas informáticos e imágenes de terceros conservan sus respectivas licencias y obligaciones de atribución; no se afectan los permisos lícitos existentes ni los usos permitidos por la legislación aplicable. Los revisores independientes autorizados deberán disponer del acceso necesario para inspección, recálculo e informe conforme a S-22, sujeto a los permisos aplicables y las salvaguardas de confidencialidad.</w:t>
      </w:r>
    </w:p>
    <w:p>
      <w:pPr>
        <w:pStyle w:val="Heading2"/>
        <w:keepNext/>
      </w:pPr>
      <w:r>
        <w:t>Instrucciones de diligenciamiento</w:t>
      </w:r>
    </w:p>
    <w:p>
      <w:pPr>
        <w:keepNext w:val="0"/>
        <w:spacing w:after="180" w:line="259" w:lineRule="auto"/>
      </w:pPr>
      <w:r>
        <w:rPr>
          <w:rFonts w:ascii="Arial" w:hAnsi="Arial"/>
          <w:b w:val="0"/>
          <w:i w:val="0"/>
          <w:color w:val="243A36"/>
          <w:sz w:val="19"/>
        </w:rPr>
        <w:t>Esta plantilla organiza la evidencia exigida para su etapa según el Estándar NEBIOT versión 0.8.2. No sustituye el estándar, sus métodos aplicables, el perfil aprobado ni los formularios controlados. Complete campos entre corchetes y amplíe tablas o áreas de texto. Para conceptos no aplicables, registre motivo y decisión del revisor; no los suprima silenciosamente. Identifique información desconocida como faltante, no cero. Distinga observaciones, supuestos, proyecciones, resultados verificados y NVEU autorizadas. Los requisitos se evalúan en la etapa correspondiente; campos de etapas futuras no implican cumplimiento previo.</w:t>
      </w:r>
    </w:p>
    <w:p>
      <w:pPr>
        <w:pStyle w:val="Heading2"/>
        <w:keepNext/>
      </w:pPr>
      <w:r>
        <w:t>Referencia y alcance</w:t>
      </w:r>
    </w:p>
    <w:p>
      <w:pPr>
        <w:keepNext w:val="0"/>
        <w:spacing w:after="200" w:line="259" w:lineRule="auto"/>
      </w:pPr>
      <w:r>
        <w:rPr>
          <w:rFonts w:ascii="Arial" w:hAnsi="Arial"/>
          <w:b w:val="0"/>
          <w:i w:val="0"/>
          <w:color w:val="243A36"/>
          <w:sz w:val="17"/>
        </w:rPr>
        <w:t>[1] NEBIOT. Estándar NEBIOT, versión controlada 0.8.2. NEB-DOC-000, edición integrada. Dependencias principales: NEB-CYC-001; NEB-STD-001 y Anexo A; NEB-MTH-001/002; NEB-UNT-001; NEB-PRO-001; NEB-MIG-001; NEB-AUD-001 y NEB-FRM-001. Las referencias a cláusulas, ecuaciones, AP y FRM remiten a esa versión. Son dependencias normativas externas, no secciones faltantes de esta plantilla.</w:t>
      </w:r>
    </w:p>
    <w:p>
      <w:pPr>
        <w:keepNext w:val="0"/>
        <w:spacing w:after="140" w:line="259" w:lineRule="auto"/>
      </w:pPr>
      <w:r>
        <w:rPr>
          <w:rFonts w:ascii="Arial" w:hAnsi="Arial"/>
          <w:b w:val="0"/>
          <w:i w:val="0"/>
          <w:color w:val="243A36"/>
          <w:sz w:val="18"/>
        </w:rPr>
        <w:t>NIP conserva el nombre Nota de Idea de proyecto. PD identifica la Conciliación de migración.</w:t>
      </w:r>
    </w:p>
    <w:p>
      <w:pPr>
        <w:keepNext w:val="0"/>
        <w:spacing w:after="0" w:line="259" w:lineRule="auto"/>
      </w:pPr>
      <w:r>
        <w:rPr>
          <w:rFonts w:ascii="Arial" w:hAnsi="Arial"/>
          <w:b w:val="0"/>
          <w:i w:val="0"/>
          <w:color w:val="243A36"/>
          <w:sz w:val="18"/>
        </w:rPr>
        <w:t>NEBIOT presta la evaluación técnica, diseño y monitoreo contratados. El proponente y ejecutor identificados conservan responsabilidades de ejecución según S-25; los intereses excepcionales NEBIOT siguen S-26.</w:t>
      </w:r>
    </w:p>
    <w:p>
      <w:r>
        <w:br w:type="page"/>
      </w:r>
    </w:p>
    <w:p>
      <w:pPr>
        <w:pStyle w:val="Heading1"/>
        <w:keepNext/>
      </w:pPr>
      <w:r>
        <w:t>Control documental y contenido</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6824"/>
      </w:tblGrid>
      <w:tr>
        <w:trPr>
          <w:trHeight w:val="374" w:hRule="atLeast"/>
          <w:tblHeader/>
        </w:trPr>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Control</w:t>
            </w:r>
          </w:p>
        </w:tc>
        <w:tc>
          <w:tcPr>
            <w:tcW w:type="dxa" w:w="682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Registro</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Plantilla</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MIG-REC / 1.2 / ES</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Estándar de referencia</w:t>
            </w:r>
          </w:p>
        </w:tc>
        <w:tc>
          <w:tcPr>
            <w:tcW w:type="dxa" w:w="6824"/>
            <w:vAlign w:val="center"/>
            <w:tcMar>
              <w:top w:w="70" w:type="dxa"/>
              <w:start w:w="85" w:type="dxa"/>
              <w:bottom w:w="70" w:type="dxa"/>
              <w:end w:w="85" w:type="dxa"/>
            </w:tcMar>
          </w:tcPr>
          <w:p>
            <w:pPr>
              <w:spacing w:after="0" w:line="250" w:lineRule="auto"/>
            </w:pPr>
            <w:r>
              <w:rPr>
                <w:rFonts w:ascii="Arial" w:hAnsi="Arial"/>
                <w:b w:val="0"/>
                <w:i w:val="0"/>
                <w:color w:val="243A36"/>
                <w:sz w:val="16"/>
              </w:rPr>
              <w:t>NEBIOT 0.8.2 / MIG-03</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Preparador / revisor</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Distribución / restricciones</w:t>
            </w:r>
          </w:p>
        </w:tc>
        <w:tc>
          <w:tcPr>
            <w:tcW w:type="dxa" w:w="682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852"/>
        <w:gridCol w:w="2242"/>
        <w:gridCol w:w="5654"/>
      </w:tblGrid>
      <w:tr>
        <w:trPr>
          <w:trHeight w:val="360" w:hRule="atLeast"/>
          <w:tblHeader/>
        </w:trPr>
        <w:tc>
          <w:tcPr>
            <w:tcW w:type="dxa" w:w="185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Versión</w:t>
            </w:r>
          </w:p>
        </w:tc>
        <w:tc>
          <w:tcPr>
            <w:tcW w:type="dxa" w:w="224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Fecha</w:t>
            </w:r>
          </w:p>
        </w:tc>
        <w:tc>
          <w:tcPr>
            <w:tcW w:type="dxa" w:w="565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Cambio y autoridad</w:t>
            </w:r>
          </w:p>
        </w:tc>
      </w:tr>
      <w:tr>
        <w:trPr>
          <w:trHeight w:val="360" w:hRule="atLeast"/>
        </w:trPr>
        <w:tc>
          <w:tcPr>
            <w:tcW w:type="dxa" w:w="185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224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565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r>
    </w:tbl>
    <w:p>
      <w:pPr>
        <w:keepNext w:val="0"/>
        <w:spacing w:after="60" w:line="259" w:lineRule="auto"/>
      </w:pPr>
      <w:r>
        <w:rPr>
          <w:rFonts w:ascii="Arial" w:hAnsi="Arial"/>
          <w:b w:val="0"/>
          <w:i w:val="0"/>
          <w:color w:val="243A36"/>
          <w:sz w:val="2"/>
        </w:rPr>
      </w:r>
    </w:p>
    <w:p>
      <w:pPr>
        <w:keepNext w:val="0"/>
        <w:spacing w:after="100" w:line="259" w:lineRule="auto"/>
      </w:pPr>
      <w:r>
        <w:rPr>
          <w:rFonts w:ascii="Arial" w:hAnsi="Arial"/>
          <w:b/>
          <w:i w:val="0"/>
          <w:color w:val="215F52"/>
          <w:sz w:val="22"/>
        </w:rPr>
        <w:t>Contenido</w:t>
      </w:r>
    </w:p>
    <w:p>
      <w:pPr>
        <w:spacing w:after="60"/>
      </w:pPr>
      <w:hyperlink w:anchor="sec_01">
        <w:r>
          <w:rPr>
            <w:color w:val="215F52"/>
          </w:rPr>
          <w:t>01  Origen, mandato y ruta de migración</w:t>
        </w:r>
      </w:hyperlink>
    </w:p>
    <w:p>
      <w:pPr>
        <w:spacing w:after="60"/>
      </w:pPr>
      <w:hyperlink w:anchor="sec_02">
        <w:r>
          <w:rPr>
            <w:color w:val="215F52"/>
          </w:rPr>
          <w:t>02  Correspondencia espacial, temporal y de magnitudes</w:t>
        </w:r>
      </w:hyperlink>
    </w:p>
    <w:p>
      <w:pPr>
        <w:spacing w:after="60"/>
      </w:pPr>
      <w:hyperlink w:anchor="sec_03">
        <w:r>
          <w:rPr>
            <w:color w:val="215F52"/>
          </w:rPr>
          <w:t>03  Correspondencia de métodos y fórmulas</w:t>
        </w:r>
      </w:hyperlink>
    </w:p>
    <w:p>
      <w:pPr>
        <w:spacing w:after="60"/>
      </w:pPr>
      <w:hyperlink w:anchor="sec_04">
        <w:r>
          <w:rPr>
            <w:color w:val="215F52"/>
          </w:rPr>
          <w:t>04  Cantidades originales, armonizadas y receptoras</w:t>
        </w:r>
      </w:hyperlink>
    </w:p>
    <w:p>
      <w:pPr>
        <w:spacing w:after="60"/>
      </w:pPr>
      <w:hyperlink w:anchor="sec_05">
        <w:r>
          <w:rPr>
            <w:color w:val="215F52"/>
          </w:rPr>
          <w:t>05  Estado histórico de declaraciones y obligaciones</w:t>
        </w:r>
      </w:hyperlink>
    </w:p>
    <w:p>
      <w:pPr>
        <w:spacing w:after="60"/>
      </w:pPr>
      <w:hyperlink w:anchor="sec_06">
        <w:r>
          <w:rPr>
            <w:color w:val="215F52"/>
          </w:rPr>
          <w:t>06  Registros proyectados, monitoreados y verificados</w:t>
        </w:r>
      </w:hyperlink>
    </w:p>
    <w:p>
      <w:pPr>
        <w:spacing w:after="60"/>
      </w:pPr>
      <w:hyperlink w:anchor="sec_07">
        <w:r>
          <w:rPr>
            <w:color w:val="215F52"/>
          </w:rPr>
          <w:t>07  Continuidad de adicionalidad, traslapes y salvaguardas</w:t>
        </w:r>
      </w:hyperlink>
    </w:p>
    <w:p>
      <w:pPr>
        <w:spacing w:after="60"/>
      </w:pPr>
      <w:hyperlink w:anchor="sec_08">
        <w:r>
          <w:rPr>
            <w:color w:val="215F52"/>
          </w:rPr>
          <w:t>08  Decisión receptora y entrega al monitoreo</w:t>
        </w:r>
      </w:hyperlink>
    </w:p>
    <w:p>
      <w:pPr>
        <w:spacing w:after="80"/>
      </w:pPr>
      <w:hyperlink w:anchor="calc_register" w:history="1">
        <w:r>
          <w:rPr>
            <w:color w:val="215F52"/>
          </w:rPr>
          <w:t>CALC  Trazabilidad y notación del cálculo</w:t>
        </w:r>
      </w:hyperlink>
    </w:p>
    <w:p>
      <w:bookmarkStart w:id="3001" w:name="sec_01"/>
      <w:pPr>
        <w:pStyle w:val="Heading1"/>
        <w:keepNext/>
        <w:pageBreakBefore/>
      </w:pPr>
      <w:r>
        <w:t>01  Origen, mandato y ruta de migración</w:t>
      </w:r>
      <w:bookmarkEnd w:id="3001"/>
    </w:p>
    <w:p>
      <w:pPr>
        <w:spacing w:after="120"/>
      </w:pPr>
      <w:r>
        <w:rPr>
          <w:rFonts w:ascii="Lato" w:hAnsi="Lato"/>
          <w:b w:val="0"/>
          <w:color w:val="62716E"/>
          <w:sz w:val="16"/>
        </w:rPr>
        <w:t>[1] Referencia: MIG-01; MIG-02; MIG-03; S-21; S-25; FRM-04; FRM-07</w:t>
      </w:r>
    </w:p>
    <w:p>
      <w:pPr>
        <w:pStyle w:val="Heading2"/>
        <w:keepNext/>
      </w:pPr>
      <w:r>
        <w:t>Identidad de registros originales</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Programa / proyecto / versión metodológica</w:t>
            </w:r>
          </w:p>
        </w:tc>
        <w:tc>
          <w:tcPr>
            <w:tcW w:type="dxa" w:w="3250"/>
            <w:shd w:fill="215F52"/>
            <w:tcMar>
              <w:top w:w="90" w:type="dxa"/>
              <w:bottom w:w="90" w:type="dxa"/>
              <w:left w:w="100" w:type="dxa"/>
              <w:right w:w="100" w:type="dxa"/>
            </w:tcMar>
            <w:vAlign w:val="center"/>
          </w:tcPr>
          <w:p>
            <w:r>
              <w:rPr>
                <w:rFonts w:ascii="Lato" w:hAnsi="Lato"/>
                <w:b/>
                <w:color w:val="FFFFFF"/>
                <w:sz w:val="17"/>
              </w:rPr>
              <w:t>Documento original, libro y fecha</w:t>
            </w:r>
          </w:p>
        </w:tc>
        <w:tc>
          <w:tcPr>
            <w:tcW w:type="dxa" w:w="3250"/>
            <w:shd w:fill="215F52"/>
            <w:tcMar>
              <w:top w:w="90" w:type="dxa"/>
              <w:bottom w:w="90" w:type="dxa"/>
              <w:left w:w="100" w:type="dxa"/>
              <w:right w:w="100" w:type="dxa"/>
            </w:tcMar>
            <w:vAlign w:val="center"/>
          </w:tcPr>
          <w:p>
            <w:r>
              <w:rPr>
                <w:rFonts w:ascii="Lato" w:hAnsi="Lato"/>
                <w:b/>
                <w:color w:val="FFFFFF"/>
                <w:sz w:val="17"/>
              </w:rPr>
              <w:t>Autoridad, derecho de uso y estado</w:t>
            </w:r>
          </w:p>
        </w:tc>
      </w:tr>
      <w:tr>
        <w:trPr>
          <w:trHeight w:val="510"/>
        </w:trPr>
        <w:tc>
          <w:tcPr>
            <w:tcW w:type="dxa" w:w="3250"/>
            <w:tcMar>
              <w:top w:w="90" w:type="dxa"/>
              <w:bottom w:w="90" w:type="dxa"/>
              <w:left w:w="100" w:type="dxa"/>
              <w:right w:w="100" w:type="dxa"/>
            </w:tcMar>
            <w:shd w:fill="F1F5F2"/>
          </w:tcPr>
          <w:p>
            <w:pPr>
              <w:spacing w:after="20"/>
            </w:pPr>
            <w:sdt>
              <w:sdtPr>
                <w:alias w:val="sec_01-0-ES-1-1"/>
                <w:tag w:val="sec_01-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1-0-ES-1-2"/>
                <w:tag w:val="sec_01-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1-0-ES-1-3"/>
                <w:tag w:val="sec_01-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1-0-ES-2-1"/>
                <w:tag w:val="sec_01-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1-0-ES-2-2"/>
                <w:tag w:val="sec_01-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1-0-ES-2-3"/>
                <w:tag w:val="sec_01-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1-0-ES-3-1"/>
                <w:tag w:val="sec_01-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1-0-ES-3-2"/>
                <w:tag w:val="sec_01-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1-0-ES-3-3"/>
                <w:tag w:val="sec_01-0-ES-3-3"/>
                <w:text/>
              </w:sdtPr>
              <w:sdtContent>
                <w:r>
                  <w:rPr>
                    <w:rFonts w:ascii="Lato" w:hAnsi="Lato"/>
                    <w:sz w:val="18"/>
                    <w:color w:val="62716E"/>
                  </w:rPr>
                  <w:t>[Completar]</w:t>
                </w:r>
              </w:sdtContent>
            </w:sdt>
          </w:p>
        </w:tc>
      </w:tr>
    </w:tbl>
    <w:p>
      <w:pPr>
        <w:spacing w:after="0"/>
      </w:pPr>
    </w:p>
    <w:p>
      <w:pPr>
        <w:pStyle w:val="Heading2"/>
        <w:keepNext/>
      </w:pPr>
      <w:r>
        <w:t>Cambio solicitado</w:t>
      </w:r>
    </w:p>
    <w:p>
      <w:pPr>
        <w:spacing w:after="80"/>
      </w:pPr>
      <w:r>
        <w:rPr>
          <w:rFonts w:ascii="Lato" w:hAnsi="Lato"/>
          <w:b w:val="0"/>
          <w:color w:val="62716E"/>
          <w:sz w:val="18"/>
        </w:rPr>
        <w:t>Distinguir transferencia de proyecto, cambio de metodología, reutilización de datos, reevaluación de resultado no emitido y tratamiento de otras unidades de carbono externas emitidas. Identificar responsabilidades, derechos, restricciones originales y decisión NEBIOT solicitada.</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1-1-ES"/>
                <w:tag w:val="sec_01-1-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Fechas y alcance</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Inicio original / historia de reportes</w:t>
            </w:r>
          </w:p>
        </w:tc>
        <w:tc>
          <w:tcPr>
            <w:tcW w:type="dxa" w:w="3250"/>
            <w:shd w:fill="215F52"/>
            <w:tcMar>
              <w:top w:w="90" w:type="dxa"/>
              <w:bottom w:w="90" w:type="dxa"/>
              <w:left w:w="100" w:type="dxa"/>
              <w:right w:w="100" w:type="dxa"/>
            </w:tcMar>
            <w:vAlign w:val="center"/>
          </w:tcPr>
          <w:p>
            <w:r>
              <w:rPr>
                <w:rFonts w:ascii="Lato" w:hAnsi="Lato"/>
                <w:b/>
                <w:color w:val="FFFFFF"/>
                <w:sz w:val="17"/>
              </w:rPr>
              <w:t>Fecha de transición y elegibilidad histórica</w:t>
            </w:r>
          </w:p>
        </w:tc>
        <w:tc>
          <w:tcPr>
            <w:tcW w:type="dxa" w:w="3250"/>
            <w:shd w:fill="215F52"/>
            <w:tcMar>
              <w:top w:w="90" w:type="dxa"/>
              <w:bottom w:w="90" w:type="dxa"/>
              <w:left w:w="100" w:type="dxa"/>
              <w:right w:w="100" w:type="dxa"/>
            </w:tcMar>
            <w:vAlign w:val="center"/>
          </w:tcPr>
          <w:p>
            <w:r>
              <w:rPr>
                <w:rFonts w:ascii="Lato" w:hAnsi="Lato"/>
                <w:b/>
                <w:color w:val="FFFFFF"/>
                <w:sz w:val="17"/>
              </w:rPr>
              <w:t>Monitoreo futuro / restricción pendiente</w:t>
            </w:r>
          </w:p>
        </w:tc>
      </w:tr>
      <w:tr>
        <w:trPr>
          <w:trHeight w:val="510"/>
        </w:trPr>
        <w:tc>
          <w:tcPr>
            <w:tcW w:type="dxa" w:w="3250"/>
            <w:tcMar>
              <w:top w:w="90" w:type="dxa"/>
              <w:bottom w:w="90" w:type="dxa"/>
              <w:left w:w="100" w:type="dxa"/>
              <w:right w:w="100" w:type="dxa"/>
            </w:tcMar>
            <w:shd w:fill="F1F5F2"/>
          </w:tcPr>
          <w:p>
            <w:pPr>
              <w:spacing w:after="20"/>
            </w:pPr>
            <w:sdt>
              <w:sdtPr>
                <w:alias w:val="sec_01-2-ES-1-1"/>
                <w:tag w:val="sec_01-2-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1-2-ES-1-2"/>
                <w:tag w:val="sec_01-2-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1-2-ES-1-3"/>
                <w:tag w:val="sec_01-2-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1-2-ES-2-1"/>
                <w:tag w:val="sec_01-2-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1-2-ES-2-2"/>
                <w:tag w:val="sec_01-2-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1-2-ES-2-3"/>
                <w:tag w:val="sec_01-2-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1-2-ES-3-1"/>
                <w:tag w:val="sec_01-2-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1-2-ES-3-2"/>
                <w:tag w:val="sec_01-2-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1-2-ES-3-3"/>
                <w:tag w:val="sec_01-2-ES-3-3"/>
                <w:text/>
              </w:sdtPr>
              <w:sdtContent>
                <w:r>
                  <w:rPr>
                    <w:rFonts w:ascii="Lato" w:hAnsi="Lato"/>
                    <w:sz w:val="18"/>
                    <w:color w:val="62716E"/>
                  </w:rPr>
                  <w:t>[Completar]</w:t>
                </w:r>
              </w:sdtContent>
            </w:sdt>
          </w:p>
        </w:tc>
      </w:tr>
    </w:tbl>
    <w:p>
      <w:pPr>
        <w:spacing w:after="0"/>
      </w:pPr>
    </w:p>
    <w:p>
      <w:bookmarkStart w:id="3002" w:name="sec_02"/>
      <w:pPr>
        <w:pStyle w:val="Heading1"/>
        <w:keepNext/>
        <w:pageBreakBefore/>
      </w:pPr>
      <w:r>
        <w:t>02  Correspondencia espacial, temporal y de magnitudes</w:t>
      </w:r>
      <w:bookmarkEnd w:id="3002"/>
    </w:p>
    <w:p>
      <w:pPr>
        <w:spacing w:after="120"/>
      </w:pPr>
      <w:r>
        <w:rPr>
          <w:rFonts w:ascii="Lato" w:hAnsi="Lato"/>
          <w:b w:val="0"/>
          <w:color w:val="62716E"/>
          <w:sz w:val="16"/>
        </w:rPr>
        <w:t>[1] Referencia: MIG-03; MIG-04; MIG-13; MIG-14; P-13; AO-09</w:t>
      </w:r>
    </w:p>
    <w:p>
      <w:pPr>
        <w:pStyle w:val="Heading2"/>
        <w:keepNext/>
      </w:pPr>
      <w:r>
        <w:t>Matriz de compatibilidad</w:t>
      </w:r>
    </w:p>
    <w:p>
      <w:pPr>
        <w:keepNext/>
        <w:spacing w:before="40" w:after="60"/>
      </w:pPr>
      <w:r>
        <w:rPr>
          <w:rFonts w:ascii="Lato" w:hAnsi="Lato"/>
          <w:color w:val="315B50"/>
          <w:sz w:val="18"/>
        </w:rPr>
        <w:t>MIGRATION-RECONCILIATION-T05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Dimensión / definición original</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Definición receptora / diferencia</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Evidencia / corrección / alcance aceptado</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sec_02-0-ES-1-1"/>
                <w:tag w:val="sec_02-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0-ES-1-2"/>
                <w:tag w:val="sec_02-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0-ES-1-3"/>
                <w:tag w:val="sec_02-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2-0-ES-2-1"/>
                <w:tag w:val="sec_02-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2-0-ES-2-2"/>
                <w:tag w:val="sec_02-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2-0-ES-2-3"/>
                <w:tag w:val="sec_02-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2-0-ES-3-1"/>
                <w:tag w:val="sec_02-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0-ES-3-2"/>
                <w:tag w:val="sec_02-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0-ES-3-3"/>
                <w:tag w:val="sec_02-0-ES-3-3"/>
                <w:text/>
              </w:sdtPr>
              <w:sdtContent>
                <w:r>
                  <w:rPr>
                    <w:rFonts w:ascii="Lato" w:hAnsi="Lato"/>
                    <w:sz w:val="18"/>
                    <w:color w:val="62716E"/>
                  </w:rPr>
                  <w:t>[Completar]</w:t>
                </w:r>
              </w:sdtContent>
            </w:sdt>
          </w:p>
        </w:tc>
      </w:tr>
    </w:tbl>
    <w:p>
      <w:pPr>
        <w:spacing w:after="0"/>
      </w:pPr>
    </w:p>
    <w:p>
      <w:pPr>
        <w:pStyle w:val="Heading2"/>
        <w:keepNext/>
      </w:pPr>
      <w:r>
        <w:t>Dimensiones mínimas comparables</w:t>
      </w:r>
    </w:p>
    <w:p>
      <w:pPr>
        <w:spacing w:after="80"/>
      </w:pPr>
      <w:r>
        <w:rPr>
          <w:rFonts w:ascii="Lato" w:hAnsi="Lato"/>
          <w:b w:val="0"/>
          <w:color w:val="62716E"/>
          <w:sz w:val="18"/>
        </w:rPr>
        <w:t>Conciliar límites de proyecto y fugas, estratos, bosque y eventos, fechas, períodos, gases y PCG, reservorios, unidades, precisión y estado de fuentes. La etiqueta emisiones netas puede incluir distintas deducciones; identificar aritmética real antes de comparar totales.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2-1-ES"/>
                <w:tag w:val="sec_02-1-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Decisión de reutilización calificada</w:t>
      </w:r>
    </w:p>
    <w:p>
      <w:pPr>
        <w:keepNext/>
        <w:spacing w:before="40" w:after="60"/>
      </w:pPr>
      <w:r>
        <w:rPr>
          <w:rFonts w:ascii="Lato" w:hAnsi="Lato"/>
          <w:color w:val="315B50"/>
          <w:sz w:val="18"/>
        </w:rPr>
        <w:t>MIGRATION-RECONCILIATION-T06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Entrada / ruta A, B o C</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Conservar, complementar, sustituir o excluir</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Evidencia, revisor y límite de uso</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sec_02-2-ES-1-1"/>
                <w:tag w:val="sec_02-2-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2-ES-1-2"/>
                <w:tag w:val="sec_02-2-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2-ES-1-3"/>
                <w:tag w:val="sec_02-2-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2-2-ES-2-1"/>
                <w:tag w:val="sec_02-2-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2-2-ES-2-2"/>
                <w:tag w:val="sec_02-2-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2-2-ES-2-3"/>
                <w:tag w:val="sec_02-2-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2-2-ES-3-1"/>
                <w:tag w:val="sec_02-2-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2-ES-3-2"/>
                <w:tag w:val="sec_02-2-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2-ES-3-3"/>
                <w:tag w:val="sec_02-2-ES-3-3"/>
                <w:text/>
              </w:sdtPr>
              <w:sdtContent>
                <w:r>
                  <w:rPr>
                    <w:rFonts w:ascii="Lato" w:hAnsi="Lato"/>
                    <w:sz w:val="18"/>
                    <w:color w:val="62716E"/>
                  </w:rPr>
                  <w:t>[Completar]</w:t>
                </w:r>
              </w:sdtContent>
            </w:sdt>
          </w:p>
        </w:tc>
      </w:tr>
    </w:tbl>
    <w:p>
      <w:pPr>
        <w:spacing w:after="0"/>
      </w:pPr>
    </w:p>
    <w:p>
      <w:bookmarkStart w:id="3003" w:name="sec_03"/>
      <w:pPr>
        <w:pStyle w:val="Heading1"/>
        <w:keepNext/>
        <w:pageBreakBefore/>
      </w:pPr>
      <w:r>
        <w:t>03  Correspondencia de métodos y fórmulas</w:t>
      </w:r>
      <w:bookmarkEnd w:id="3003"/>
    </w:p>
    <w:p>
      <w:pPr>
        <w:spacing w:after="120"/>
      </w:pPr>
      <w:r>
        <w:rPr>
          <w:rFonts w:ascii="Lato" w:hAnsi="Lato"/>
          <w:b w:val="0"/>
          <w:color w:val="62716E"/>
          <w:sz w:val="16"/>
        </w:rPr>
        <w:t>[1] Referencia: MIG-03; MIG-05; T-01; F-01; F-P01; F-P02</w:t>
      </w:r>
    </w:p>
    <w:p>
      <w:pPr>
        <w:pStyle w:val="Heading2"/>
        <w:keepNext/>
      </w:pPr>
      <w:r>
        <w:t>Trazabilidad del cálculo</w:t>
      </w:r>
    </w:p>
    <w:p>
      <w:pPr>
        <w:keepNext/>
        <w:spacing w:before="40" w:after="60"/>
      </w:pPr>
      <w:r>
        <w:rPr>
          <w:rFonts w:ascii="Lato" w:hAnsi="Lato"/>
          <w:color w:val="315B50"/>
          <w:sz w:val="18"/>
        </w:rPr>
        <w:t>MIGRATION-RECONCILIATION-T07 / Notación del cálculo</w:t>
      </w:r>
    </w:p>
    <w:p>
      <w:pPr>
        <w:keepNext/>
        <w:spacing w:before="40" w:after="60"/>
      </w:pPr>
      <m:oMath>
        <m:sSub>
          <m:e>
            <m:r>
              <w:rPr>
                <w:sz w:val="18"/>
              </w:rPr>
              <m:t>q</m:t>
            </m:r>
          </m:e>
          <m:sub>
            <m:r>
              <w:rPr>
                <w:sz w:val="18"/>
              </w:rPr>
              <m:rPr>
                <m:sty m:val="p"/>
              </m:rPr>
              <m:t>ℓ</m:t>
            </m:r>
            <m:r>
              <w:rPr>
                <w:sz w:val="18"/>
              </w:rPr>
              <m:rPr>
                <m:sty m:val="p"/>
              </m:rPr>
              <m:t>,</m:t>
            </m:r>
            <m:r>
              <w:rPr>
                <w:sz w:val="18"/>
              </w:rPr>
              <m:t>s</m:t>
            </m:r>
            <m:r>
              <w:rPr>
                <w:sz w:val="18"/>
              </w:rPr>
              <m:rPr>
                <m:sty m:val="p"/>
              </m:rPr>
              <m:t>,</m:t>
            </m:r>
            <m:r>
              <w:rPr>
                <w:sz w:val="18"/>
              </w:rPr>
              <m:t>t</m:t>
            </m:r>
          </m:sub>
        </m:sSub>
        <m:r>
          <w:rPr>
            <w:sz w:val="18"/>
          </w:rPr>
          <m:rPr>
            <m:sty m:val="p"/>
          </m:rPr>
          <m:t>=</m:t>
        </m:r>
        <m:sSub>
          <m:e>
            <m:r>
              <w:rPr>
                <w:sz w:val="18"/>
              </w:rPr>
              <m:t>x</m:t>
            </m:r>
          </m:e>
          <m:sub>
            <m:r>
              <w:rPr>
                <w:sz w:val="18"/>
              </w:rPr>
              <m:rPr>
                <m:sty m:val="p"/>
              </m:rPr>
              <m:t>ℓ</m:t>
            </m:r>
            <m:r>
              <w:rPr>
                <w:sz w:val="18"/>
              </w:rPr>
              <m:rPr>
                <m:sty m:val="p"/>
              </m:rPr>
              <m:t>,</m:t>
            </m:r>
            <m:r>
              <w:rPr>
                <w:sz w:val="18"/>
              </w:rPr>
              <m:t>s</m:t>
            </m:r>
            <m:r>
              <w:rPr>
                <w:sz w:val="18"/>
              </w:rPr>
              <m:rPr>
                <m:sty m:val="p"/>
              </m:rPr>
              <m:t>,</m:t>
            </m:r>
            <m:r>
              <w:rPr>
                <w:sz w:val="18"/>
              </w:rPr>
              <m:t>t</m:t>
            </m:r>
          </m:sub>
        </m:sSub>
        <m:sSub>
          <m:e>
            <m:r>
              <w:rPr>
                <w:sz w:val="18"/>
              </w:rPr>
              <m:t>f</m:t>
            </m:r>
          </m:e>
          <m:sub>
            <m:r>
              <w:rPr>
                <w:sz w:val="18"/>
              </w:rPr>
              <m:rPr>
                <m:sty m:val="p"/>
              </m:rPr>
              <m:t>ℓ</m:t>
            </m:r>
            <m:r>
              <w:rPr>
                <w:sz w:val="18"/>
              </w:rPr>
              <m:rPr>
                <m:sty m:val="p"/>
              </m:rPr>
              <m:t>,</m:t>
            </m:r>
            <m:r>
              <w:rPr>
                <w:sz w:val="18"/>
              </w:rPr>
              <m:t>s</m:t>
            </m:r>
            <m:r>
              <w:rPr>
                <w:sz w:val="18"/>
              </w:rPr>
              <m:rPr>
                <m:sty m:val="p"/>
              </m:rPr>
              <m:t>,</m:t>
            </m:r>
            <m:r>
              <w:rPr>
                <w:sz w:val="18"/>
              </w:rPr>
              <m:t>t</m:t>
            </m:r>
          </m:sub>
        </m:sSub>
      </m:oMath>
    </w:p>
    <w:p>
      <w:pPr>
        <w:keepNext/>
        <w:spacing w:before="40" w:after="60"/>
      </w:pPr>
      <m:oMath>
        <m:sSub>
          <m:e>
            <m:r>
              <w:rPr>
                <w:sz w:val="18"/>
              </w:rPr>
              <m:t>N</m:t>
            </m:r>
          </m:e>
          <m:sub>
            <m:r>
              <w:rPr>
                <w:sz w:val="18"/>
              </w:rPr>
              <m:t>s</m:t>
            </m:r>
            <m:r>
              <w:rPr>
                <w:sz w:val="18"/>
              </w:rPr>
              <m:rPr>
                <m:sty m:val="p"/>
              </m:rPr>
              <m:t>,</m:t>
            </m:r>
            <m:r>
              <w:rPr>
                <w:sz w:val="18"/>
              </w:rPr>
              <m:t>t</m:t>
            </m:r>
          </m:sub>
        </m:sSub>
        <m:r>
          <w:rPr>
            <w:sz w:val="18"/>
          </w:rPr>
          <m:rPr>
            <m:sty m:val="p"/>
          </m:rPr>
          <m:t>=</m:t>
        </m:r>
        <m:nary>
          <m:naryPr>
            <m:chr m:val="∑"/>
            <m:limLoc m:val="undOvr"/>
            <m:subHide m:val="off"/>
            <m:supHide m:val="on"/>
          </m:naryPr>
          <m:sub>
            <m:r>
              <w:rPr>
                <w:sz w:val="18"/>
              </w:rPr>
              <m:rPr>
                <m:sty m:val="p"/>
              </m:rPr>
              <m:t>ℓ</m:t>
            </m:r>
            <m:r>
              <w:rPr>
                <w:sz w:val="18"/>
              </w:rPr>
              <m:rPr>
                <m:sty m:val="p"/>
              </m:rPr>
              <m:t>∈</m:t>
            </m:r>
            <m:sSub>
              <m:e>
                <m:r>
                  <w:rPr>
                    <w:sz w:val="18"/>
                  </w:rPr>
                  <m:rPr>
                    <m:sty m:val="p"/>
                    <m:scr m:val="script"/>
                  </m:rPr>
                  <m:t>I</m:t>
                </m:r>
              </m:e>
              <m:sub>
                <m:r>
                  <w:rPr>
                    <w:sz w:val="18"/>
                  </w:rPr>
                  <m:t>s</m:t>
                </m:r>
                <m:r>
                  <w:rPr>
                    <w:sz w:val="18"/>
                  </w:rPr>
                  <m:rPr>
                    <m:sty m:val="p"/>
                  </m:rPr>
                  <m:t>,</m:t>
                </m:r>
                <m:r>
                  <w:rPr>
                    <w:sz w:val="18"/>
                  </w:rPr>
                  <m:t>t</m:t>
                </m:r>
              </m:sub>
            </m:sSub>
          </m:sub>
          <m:sup>
            <m:r>
              <w:rPr>
                <w:sz w:val="18"/>
              </w:rPr>
              <m:t>​</m:t>
            </m:r>
          </m:sup>
          <m:e>
            <m:sSub>
              <m:e>
                <m:r>
                  <w:rPr>
                    <w:sz w:val="18"/>
                  </w:rPr>
                  <m:t>q</m:t>
                </m:r>
              </m:e>
              <m:sub>
                <m:r>
                  <w:rPr>
                    <w:sz w:val="18"/>
                  </w:rPr>
                  <m:rPr>
                    <m:sty m:val="p"/>
                  </m:rPr>
                  <m:t>ℓ</m:t>
                </m:r>
                <m:r>
                  <w:rPr>
                    <w:sz w:val="18"/>
                  </w:rPr>
                  <m:rPr>
                    <m:sty m:val="p"/>
                  </m:rPr>
                  <m:t>,</m:t>
                </m:r>
                <m:r>
                  <w:rPr>
                    <w:sz w:val="18"/>
                  </w:rPr>
                  <m:t>s</m:t>
                </m:r>
                <m:r>
                  <w:rPr>
                    <w:sz w:val="18"/>
                  </w:rPr>
                  <m:rPr>
                    <m:sty m:val="p"/>
                  </m:rPr>
                  <m:t>,</m:t>
                </m:r>
                <m:r>
                  <w:rPr>
                    <w:sz w:val="18"/>
                  </w:rPr>
                  <m:t>t</m:t>
                </m:r>
              </m:sub>
            </m:sSub>
          </m:e>
        </m:nary>
      </m:oMath>
    </w:p>
    <w:p>
      <w:pPr>
        <w:keepNext/>
        <w:spacing w:before="40" w:after="60"/>
      </w:pPr>
      <w:r>
        <w:rPr>
          <w:rFonts w:ascii="Lato" w:hAnsi="Lato"/>
          <w:color w:val="315B50"/>
          <w:sz w:val="16"/>
        </w:rPr>
        <w:t>Las unidades de x y f producen t CO2e por período. I contiene componentes incluidos, sustentados y disjuntos de igual base, período y cuenta. Para masa precalculada, f=1 se ingresa explícitamente con su significado. BL y PJ son emisiones netas; LK es fuga atribuible.</w:t>
      </w:r>
    </w:p>
    <w:p>
      <w:pPr>
        <w:keepNext/>
        <w:spacing w:before="40" w:after="60"/>
      </w:pPr>
      <w:r>
        <w:rPr>
          <w:rFonts w:ascii="Lato" w:hAnsi="Lato"/>
          <w:color w:val="315B50"/>
          <w:sz w:val="14"/>
        </w:rPr>
        <w:t>Base: M04.4; M04.5; T-08; implementación aritmética | Libro: Components!G:I; ExAnte!F:H; ExPost!F:H</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Hoja / celdas / ecuación original</w:t>
            </w:r>
          </w:p>
          <w:p>
            <w:pPr>
              <w:spacing w:before="40" w:after="40"/>
            </w:pPr>
            <m:oMath>
              <m:r>
                <w:rPr>
                  <w:sz w:val="16"/>
                  <w:color w:val="173E34"/>
                </w:rPr>
                <m:rPr>
                  <m:sty m:val="p"/>
                </m:rPr>
                <m:t>ℓ</m:t>
              </m:r>
              <m:r>
                <w:rPr>
                  <w:sz w:val="16"/>
                  <w:color w:val="173E34"/>
                </w:rPr>
                <m:rPr>
                  <m:sty m:val="p"/>
                </m:rPr>
                <m:t>,</m:t>
              </m:r>
              <m:r>
                <w:rPr>
                  <w:sz w:val="16"/>
                  <w:color w:val="173E34"/>
                </w:rPr>
                <m:t> </m:t>
              </m:r>
              <m:r>
                <w:rPr>
                  <w:sz w:val="16"/>
                  <w:color w:val="173E34"/>
                </w:rPr>
                <m:t>s</m:t>
              </m:r>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Significado, unidad, estado y dependencias</w:t>
            </w:r>
          </w:p>
          <w:p>
            <w:pPr>
              <w:spacing w:before="40" w:after="40"/>
            </w:pPr>
            <m:oMath>
              <m:sSub>
                <m:e>
                  <m:r>
                    <w:rPr>
                      <w:sz w:val="16"/>
                      <w:color w:val="173E34"/>
                    </w:rPr>
                    <m:t>x</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f</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Ecuación NEBIOT / tratamiento / justificación</w:t>
            </w:r>
          </w:p>
          <w:p>
            <w:pPr>
              <w:spacing w:before="40" w:after="40"/>
            </w:pPr>
            <m:oMath>
              <m:sSub>
                <m:e>
                  <m:r>
                    <w:rPr>
                      <w:sz w:val="16"/>
                      <w:color w:val="173E34"/>
                    </w:rPr>
                    <m:t>q</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t>s</m:t>
                  </m:r>
                  <m:r>
                    <w:rPr>
                      <w:sz w:val="16"/>
                      <w:color w:val="173E34"/>
                    </w:rPr>
                    <m:rPr>
                      <m:sty m:val="p"/>
                    </m:rPr>
                    <m:t>,</m:t>
                  </m:r>
                  <m:r>
                    <w:rPr>
                      <w:sz w:val="16"/>
                      <w:color w:val="173E34"/>
                    </w:rPr>
                    <m:t>t</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3-0-ES-1-1"/>
                <w:tag w:val="sec_03-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3-0-ES-1-2"/>
                <w:tag w:val="sec_03-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3-0-ES-1-3"/>
                <w:tag w:val="sec_03-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3-0-ES-2-1"/>
                <w:tag w:val="sec_03-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3-0-ES-2-2"/>
                <w:tag w:val="sec_03-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3-0-ES-2-3"/>
                <w:tag w:val="sec_03-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3-0-ES-3-1"/>
                <w:tag w:val="sec_03-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3-0-ES-3-2"/>
                <w:tag w:val="sec_03-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3-0-ES-3-3"/>
                <w:tag w:val="sec_03-0-ES-3-3"/>
                <w:text/>
              </w:sdtPr>
              <w:sdtContent>
                <w:r>
                  <w:rPr>
                    <w:rFonts w:ascii="Lato" w:hAnsi="Lato"/>
                    <w:sz w:val="18"/>
                    <w:color w:val="62716E"/>
                  </w:rPr>
                  <w:t>[Completar]</w:t>
                </w:r>
              </w:sdtContent>
            </w:sdt>
          </w:p>
        </w:tc>
      </w:tr>
    </w:tbl>
    <w:p>
      <w:pPr>
        <w:spacing w:after="0"/>
      </w:pPr>
    </w:p>
    <w:p>
      <w:pPr>
        <w:pStyle w:val="Heading2"/>
        <w:keepNext/>
      </w:pPr>
      <w:r>
        <w:t>Supuestos y significados pendientes</w:t>
      </w:r>
    </w:p>
    <w:p>
      <w:pPr>
        <w:spacing w:after="80"/>
      </w:pPr>
      <w:r>
        <w:rPr>
          <w:rFonts w:ascii="Lato" w:hAnsi="Lato"/>
          <w:b w:val="0"/>
          <w:color w:val="62716E"/>
          <w:sz w:val="18"/>
        </w:rPr>
        <w:t>Separar cantidades fijadas, salidas de modelos importadas, fórmulas, valores copiados y exclusiones manuales. No adoptar silenciosamente efectividad, ajustes de fuga, reservas ni intervalos específicos de la fuente. Un comparador alométrico heredado no es implementación de medición por órganos.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3-1-ES"/>
                <w:tag w:val="sec_03-1-ES"/>
                <w:text/>
              </w:sdtPr>
              <w:sdtContent>
                <w:r>
                  <w:rPr>
                    <w:rFonts w:ascii="Lato" w:hAnsi="Lato"/>
                    <w:sz w:val="18"/>
                    <w:color w:val="62716E"/>
                  </w:rPr>
                  <w:t>[Registrar respuesta y referencias exactas de evidencia.]</w:t>
                </w:r>
              </w:sdtContent>
            </w:sdt>
          </w:p>
        </w:tc>
      </w:tr>
    </w:tbl>
    <w:p>
      <w:pPr>
        <w:spacing w:after="20" w:before="0" w:line="96" w:lineRule="auto"/>
      </w:pPr>
    </w:p>
    <w:p>
      <w:bookmarkStart w:id="3004" w:name="sec_04"/>
      <w:pPr>
        <w:pStyle w:val="Heading1"/>
        <w:keepNext/>
        <w:pageBreakBefore/>
      </w:pPr>
      <w:r>
        <w:t>04  Cantidades originales, armonizadas y receptoras</w:t>
      </w:r>
      <w:bookmarkEnd w:id="3004"/>
    </w:p>
    <w:p>
      <w:pPr>
        <w:spacing w:after="120"/>
      </w:pPr>
      <w:r>
        <w:rPr>
          <w:rFonts w:ascii="Lato" w:hAnsi="Lato"/>
          <w:b w:val="0"/>
          <w:color w:val="62716E"/>
          <w:sz w:val="16"/>
        </w:rPr>
        <w:t>[1] Referencia: MIG-05; P-13; F-R01; F-R03; S-18</w:t>
      </w:r>
    </w:p>
    <w:p>
      <w:pPr>
        <w:pStyle w:val="Heading2"/>
        <w:keepNext/>
      </w:pPr>
      <w:r>
        <w:t>Conciliación equivalente</w:t>
      </w:r>
    </w:p>
    <w:p>
      <w:pPr>
        <w:keepNext/>
        <w:spacing w:before="40" w:after="60"/>
      </w:pPr>
      <w:r>
        <w:rPr>
          <w:rFonts w:ascii="Lato" w:hAnsi="Lato"/>
          <w:color w:val="315B50"/>
          <w:sz w:val="18"/>
        </w:rPr>
        <w:t>MIGRATION-RECONCILIATION-T08 / Notación del cálculo</w:t>
      </w:r>
    </w:p>
    <w:p>
      <w:pPr>
        <w:keepNext/>
        <w:spacing w:before="40" w:after="60"/>
      </w:pPr>
      <m:oMath>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 </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r>
          <w:rPr>
            <w:sz w:val="18"/>
          </w:rPr>
          <m:rPr>
            <m:sty m:val="p"/>
          </m:rPr>
          <m:t>=</m:t>
        </m:r>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oMath>
    </w:p>
    <w:p>
      <w:pPr>
        <w:keepNext/>
        <w:spacing w:before="40" w:after="60"/>
      </w:pPr>
      <m:oMath>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oMath>
    </w:p>
    <w:p>
      <w:pPr>
        <w:keepNext/>
        <w:spacing w:before="40" w:after="60"/>
      </w:pPr>
      <w:r>
        <w:rPr>
          <w:rFonts w:ascii="Lato" w:hAnsi="Lato"/>
          <w:color w:val="315B50"/>
          <w:sz w:val="16"/>
        </w:rPr>
        <w:t>src conserva resultado original; harm aplica método original a base comparable acordada; NEB es resultado receptor sobre esa base. La identidad telescópica explica diferencias, no elegibilidad. No forzar diferencia metodológica cero.</w:t>
      </w:r>
    </w:p>
    <w:p>
      <w:pPr>
        <w:keepNext/>
        <w:spacing w:before="40" w:after="60"/>
      </w:pPr>
      <w:r>
        <w:rPr>
          <w:rFonts w:ascii="Lato" w:hAnsi="Lato"/>
          <w:color w:val="315B50"/>
          <w:sz w:val="14"/>
        </w:rPr>
        <w:t>Base: MIG-05; P-13; identidad de conciliación | Libro: Migration!E:K</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Período / cantidad / unidad</w:t>
            </w:r>
          </w:p>
          <w:p>
            <w:pPr>
              <w:spacing w:before="40" w:after="40"/>
            </w:pPr>
            <m:oMath>
              <m:r>
                <w:rPr>
                  <w:sz w:val="16"/>
                  <w:color w:val="173E34"/>
                </w:rPr>
                <m:t>t</m:t>
              </m:r>
              <m:r>
                <w:rPr>
                  <w:sz w:val="16"/>
                  <w:color w:val="173E34"/>
                </w:rPr>
                <m:rPr>
                  <m:sty m:val="p"/>
                </m:rPr>
                <m:t>,</m:t>
              </m:r>
              <m:r>
                <w:rPr>
                  <w:sz w:val="16"/>
                  <w:color w:val="173E34"/>
                </w:rPr>
                <m:t> </m:t>
              </m:r>
              <m:r>
                <w:rPr>
                  <w:sz w:val="16"/>
                  <w:color w:val="173E34"/>
                </w:rPr>
                <m:t>u</m:t>
              </m:r>
            </m:oMath>
          </w:p>
        </w:tc>
        <w:tc>
          <w:tcPr>
            <w:tcW w:type="dxa" w:w="3250"/>
            <w:tcMar>
              <w:top w:w="90" w:type="dxa"/>
              <w:bottom w:w="90" w:type="dxa"/>
              <w:left w:w="100" w:type="dxa"/>
              <w:right w:w="100" w:type="dxa"/>
            </w:tcMar>
            <w:vAlign w:val="center"/>
            <w:shd w:fill="E6F0EB"/>
          </w:tcPr>
          <w:p>
            <w:r>
              <w:rPr>
                <w:rFonts w:ascii="Lato" w:hAnsi="Lato"/>
                <w:b/>
                <w:color w:val="173E34"/>
                <w:sz w:val="17"/>
              </w:rPr>
              <w:t>Original / original armonizado / NEBIOT</w:t>
            </w:r>
          </w:p>
          <w:p>
            <w:pPr>
              <w:spacing w:before="40" w:after="40"/>
            </w:pPr>
            <m:oMath>
              <m:sSup>
                <m:e>
                  <m:r>
                    <w:rPr>
                      <w:sz w:val="16"/>
                      <w:color w:val="173E34"/>
                    </w:rPr>
                    <m:t>q</m:t>
                  </m:r>
                </m:e>
                <m:sup>
                  <m:r>
                    <w:rPr>
                      <w:sz w:val="16"/>
                      <w:color w:val="173E34"/>
                    </w:rPr>
                    <m:rPr>
                      <m:sty m:val="p"/>
                    </m:rPr>
                    <m:t>s</m:t>
                  </m:r>
                  <m:r>
                    <w:rPr>
                      <w:sz w:val="16"/>
                      <w:color w:val="173E34"/>
                    </w:rPr>
                    <m:rPr>
                      <m:sty m:val="p"/>
                    </m:rPr>
                    <m:t>r</m:t>
                  </m:r>
                  <m:r>
                    <w:rPr>
                      <w:sz w:val="16"/>
                      <w:color w:val="173E34"/>
                    </w:rPr>
                    <m:rPr>
                      <m:sty m:val="p"/>
                    </m:rPr>
                    <m:t>c</m:t>
                  </m:r>
                </m:sup>
              </m:sSup>
              <m:r>
                <w:rPr>
                  <w:sz w:val="16"/>
                  <w:color w:val="173E34"/>
                </w:rPr>
                <m:rPr>
                  <m:sty m:val="p"/>
                </m:rPr>
                <m:t>,</m:t>
              </m:r>
              <m:r>
                <w:rPr>
                  <w:sz w:val="16"/>
                  <w:color w:val="173E34"/>
                </w:rPr>
                <m:t> </m:t>
              </m:r>
              <m:sSup>
                <m:e>
                  <m:r>
                    <w:rPr>
                      <w:sz w:val="16"/>
                      <w:color w:val="173E34"/>
                    </w:rPr>
                    <m:t>q</m:t>
                  </m:r>
                </m:e>
                <m:sup>
                  <m:r>
                    <w:rPr>
                      <w:sz w:val="16"/>
                      <w:color w:val="173E34"/>
                    </w:rPr>
                    <m:rPr>
                      <m:sty m:val="p"/>
                    </m:rPr>
                    <m:t>h</m:t>
                  </m:r>
                  <m:r>
                    <w:rPr>
                      <w:sz w:val="16"/>
                      <w:color w:val="173E34"/>
                    </w:rPr>
                    <m:rPr>
                      <m:sty m:val="p"/>
                    </m:rPr>
                    <m:t>a</m:t>
                  </m:r>
                  <m:r>
                    <w:rPr>
                      <w:sz w:val="16"/>
                      <w:color w:val="173E34"/>
                    </w:rPr>
                    <m:rPr>
                      <m:sty m:val="p"/>
                    </m:rPr>
                    <m:t>r</m:t>
                  </m:r>
                  <m:r>
                    <w:rPr>
                      <w:sz w:val="16"/>
                      <w:color w:val="173E34"/>
                    </w:rPr>
                    <m:rPr>
                      <m:sty m:val="p"/>
                    </m:rPr>
                    <m:t>m</m:t>
                  </m:r>
                </m:sup>
              </m:sSup>
              <m:r>
                <w:rPr>
                  <w:sz w:val="16"/>
                  <w:color w:val="173E34"/>
                </w:rPr>
                <m:rPr>
                  <m:sty m:val="p"/>
                </m:rPr>
                <m:t>,</m:t>
              </m:r>
              <m:r>
                <w:rPr>
                  <w:sz w:val="16"/>
                  <w:color w:val="173E34"/>
                </w:rPr>
                <m:t> </m:t>
              </m:r>
              <m:sSup>
                <m:e>
                  <m:r>
                    <w:rPr>
                      <w:sz w:val="16"/>
                      <w:color w:val="173E34"/>
                    </w:rPr>
                    <m:t>q</m:t>
                  </m:r>
                </m:e>
                <m:sup>
                  <m:r>
                    <w:rPr>
                      <w:sz w:val="16"/>
                      <w:color w:val="173E34"/>
                    </w:rPr>
                    <m:rPr>
                      <m:sty m:val="p"/>
                    </m:rPr>
                    <m:t>N</m:t>
                  </m:r>
                  <m:r>
                    <w:rPr>
                      <w:sz w:val="16"/>
                      <w:color w:val="173E34"/>
                    </w:rPr>
                    <m:rPr>
                      <m:sty m:val="p"/>
                    </m:rPr>
                    <m:t>E</m:t>
                  </m:r>
                  <m:r>
                    <w:rPr>
                      <w:sz w:val="16"/>
                      <w:color w:val="173E34"/>
                    </w:rPr>
                    <m:rPr>
                      <m:sty m:val="p"/>
                    </m:rPr>
                    <m:t>B</m:t>
                  </m:r>
                </m:sup>
              </m:sSup>
            </m:oMath>
          </w:p>
        </w:tc>
        <w:tc>
          <w:tcPr>
            <w:tcW w:type="dxa" w:w="3250"/>
            <w:tcMar>
              <w:top w:w="90" w:type="dxa"/>
              <w:bottom w:w="90" w:type="dxa"/>
              <w:left w:w="100" w:type="dxa"/>
              <w:right w:w="100" w:type="dxa"/>
            </w:tcMar>
            <w:vAlign w:val="center"/>
            <w:shd w:fill="E6F0EB"/>
          </w:tcPr>
          <w:p>
            <w:r>
              <w:rPr>
                <w:rFonts w:ascii="Lato" w:hAnsi="Lato"/>
                <w:b/>
                <w:color w:val="173E34"/>
                <w:sz w:val="17"/>
              </w:rPr>
              <w:t>Diferencia por base y método / evidencia</w:t>
            </w:r>
          </w:p>
          <w:p>
            <w:pPr>
              <w:spacing w:before="40" w:after="40"/>
            </w:pPr>
            <m:oMath>
              <m:r>
                <w:rPr>
                  <w:sz w:val="16"/>
                  <w:color w:val="173E34"/>
                </w:rPr>
                <m:t>Δ</m:t>
              </m:r>
              <m:sSub>
                <m:e>
                  <m:r>
                    <w:rPr>
                      <w:sz w:val="16"/>
                      <w:color w:val="173E34"/>
                    </w:rPr>
                    <m:t>q</m:t>
                  </m:r>
                </m:e>
                <m:sub>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i</m:t>
                  </m:r>
                  <m:r>
                    <w:rPr>
                      <w:sz w:val="16"/>
                      <w:color w:val="173E34"/>
                    </w:rPr>
                    <m:rPr>
                      <m:sty m:val="p"/>
                    </m:rPr>
                    <m:t>s</m:t>
                  </m:r>
                </m:sub>
              </m:sSub>
              <m:r>
                <w:rPr>
                  <w:sz w:val="16"/>
                  <w:color w:val="173E34"/>
                </w:rPr>
                <m:rPr>
                  <m:sty m:val="p"/>
                </m:rPr>
                <m:t>,</m:t>
              </m:r>
              <m:r>
                <w:rPr>
                  <w:sz w:val="16"/>
                  <w:color w:val="173E34"/>
                </w:rPr>
                <m:t> </m:t>
              </m:r>
              <m:r>
                <w:rPr>
                  <w:sz w:val="16"/>
                  <w:color w:val="173E34"/>
                </w:rPr>
                <m:t>Δ</m:t>
              </m:r>
              <m:sSub>
                <m:e>
                  <m:r>
                    <w:rPr>
                      <w:sz w:val="16"/>
                      <w:color w:val="173E34"/>
                    </w:rPr>
                    <m:t>q</m:t>
                  </m:r>
                </m:e>
                <m:sub>
                  <m:r>
                    <w:rPr>
                      <w:sz w:val="16"/>
                      <w:color w:val="173E34"/>
                    </w:rPr>
                    <m:rPr>
                      <m:sty m:val="p"/>
                    </m:rPr>
                    <m:t>m</m:t>
                  </m:r>
                  <m:r>
                    <w:rPr>
                      <w:sz w:val="16"/>
                      <w:color w:val="173E34"/>
                    </w:rPr>
                    <m:rPr>
                      <m:sty m:val="p"/>
                    </m:rPr>
                    <m:t>e</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d</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4-0-ES-1-1"/>
                <w:tag w:val="sec_04-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4-0-ES-1-2"/>
                <w:tag w:val="sec_04-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4-0-ES-1-3"/>
                <w:tag w:val="sec_04-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4-0-ES-2-1"/>
                <w:tag w:val="sec_04-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4-0-ES-2-2"/>
                <w:tag w:val="sec_04-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4-0-ES-2-3"/>
                <w:tag w:val="sec_04-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4-0-ES-3-1"/>
                <w:tag w:val="sec_04-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4-0-ES-3-2"/>
                <w:tag w:val="sec_04-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4-0-ES-3-3"/>
                <w:tag w:val="sec_04-0-ES-3-3"/>
                <w:text/>
              </w:sdtPr>
              <w:sdtContent>
                <w:r>
                  <w:rPr>
                    <w:rFonts w:ascii="Lato" w:hAnsi="Lato"/>
                    <w:sz w:val="18"/>
                    <w:color w:val="62716E"/>
                  </w:rPr>
                  <w:t>[Completar]</w:t>
                </w:r>
              </w:sdtContent>
            </w:sdt>
          </w:p>
        </w:tc>
      </w:tr>
    </w:tbl>
    <w:p>
      <w:pPr>
        <w:spacing w:after="0"/>
      </w:pPr>
    </w:p>
    <w:p>
      <w:pPr>
        <w:pStyle w:val="Heading2"/>
        <w:keepNext/>
      </w:pPr>
      <w:r>
        <w:t>Explicar todos los enlaces</w:t>
      </w:r>
    </w:p>
    <w:p>
      <w:pPr>
        <w:spacing w:after="80"/>
      </w:pPr>
      <w:r>
        <w:rPr>
          <w:rFonts w:ascii="Lato" w:hAnsi="Lato"/>
          <w:b w:val="0"/>
          <w:color w:val="62716E"/>
          <w:sz w:val="18"/>
        </w:rPr>
        <w:t>Conservar registro original sin modificarlo. Identificar ajustes de soporte espacial o temporal, unidades, actividad, factores, incertidumbre, pasivos y reserva. La conciliación cierra aritméticamente si las diferencias por componente suman la total; su base empírica y aprobación se evalúan por separado.</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4-1-ES"/>
                <w:tag w:val="sec_04-1-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Diferencia no conciliada</w:t>
      </w:r>
    </w:p>
    <w:p>
      <w:pPr>
        <w:keepNext/>
        <w:spacing w:before="40" w:after="60"/>
      </w:pPr>
      <w:r>
        <w:rPr>
          <w:rFonts w:ascii="Lato" w:hAnsi="Lato"/>
          <w:color w:val="315B50"/>
          <w:sz w:val="18"/>
        </w:rPr>
        <w:t>MIGRATION-RECONCILIATION-T09 / Notación del cálculo</w:t>
      </w:r>
    </w:p>
    <w:p>
      <w:pPr>
        <w:keepNext/>
        <w:spacing w:before="40" w:after="60"/>
      </w:pPr>
      <m:oMath>
        <m:r>
          <w:rPr>
            <w:sz w:val="18"/>
          </w:rPr>
          <m:t>Δ</m:t>
        </m:r>
        <m:sSub>
          <m:e>
            <m:r>
              <w:rPr>
                <w:sz w:val="18"/>
              </w:rPr>
              <m:t>Q</m:t>
            </m:r>
          </m:e>
          <m:sub>
            <m:r>
              <w:rPr>
                <w:sz w:val="18"/>
              </w:rPr>
              <m:t>t</m:t>
            </m:r>
          </m:sub>
        </m:sSub>
        <m:r>
          <w:rPr>
            <w:sz w:val="18"/>
          </w:rPr>
          <m:rPr>
            <m:sty m:val="p"/>
          </m:rPr>
          <m:t>=</m:t>
        </m:r>
        <m:sSubSup>
          <m:e>
            <m:r>
              <w:rPr>
                <w:sz w:val="18"/>
              </w:rPr>
              <m:t>Q</m:t>
            </m:r>
          </m:e>
          <m:sub>
            <m:r>
              <w:rPr>
                <w:sz w:val="18"/>
              </w:rPr>
              <m:t>t</m:t>
            </m:r>
          </m:sub>
          <m:sup>
            <m:r>
              <w:rPr>
                <w:sz w:val="18"/>
              </w:rPr>
              <m:rPr>
                <m:sty m:val="p"/>
              </m:rPr>
              <m:t>E</m:t>
            </m:r>
            <m:r>
              <w:rPr>
                <w:sz w:val="18"/>
              </w:rPr>
              <m:rPr>
                <m:sty m:val="p"/>
              </m:rPr>
              <m:t>P</m:t>
            </m:r>
          </m:sup>
        </m:sSubSup>
        <m:r>
          <w:rPr>
            <w:sz w:val="18"/>
          </w:rPr>
          <m:rPr>
            <m:sty m:val="p"/>
          </m:rPr>
          <m:t>−</m:t>
        </m:r>
        <m:sSubSup>
          <m:e>
            <m:r>
              <w:rPr>
                <w:sz w:val="18"/>
              </w:rPr>
              <m:t>Q</m:t>
            </m:r>
          </m:e>
          <m:sub>
            <m:r>
              <w:rPr>
                <w:sz w:val="18"/>
              </w:rPr>
              <m:t>t</m:t>
            </m:r>
          </m:sub>
          <m:sup>
            <m:r>
              <w:rPr>
                <w:sz w:val="18"/>
              </w:rPr>
              <m:rPr>
                <m:sty m:val="p"/>
              </m:rPr>
              <m:t>E</m:t>
            </m:r>
            <m:r>
              <w:rPr>
                <w:sz w:val="18"/>
              </w:rPr>
              <m:rPr>
                <m:sty m:val="p"/>
              </m:rPr>
              <m:t>A</m:t>
            </m:r>
          </m:sup>
        </m:sSubSup>
      </m:oMath>
    </w:p>
    <w:p>
      <w:pPr>
        <w:keepNext/>
        <w:spacing w:before="40" w:after="60"/>
      </w:pPr>
      <m:oMath>
        <m:r>
          <w:rPr>
            <w:sz w:val="18"/>
          </w:rPr>
          <m:t>Δ</m:t>
        </m:r>
        <m:sSub>
          <m:e>
            <m:r>
              <w:rPr>
                <w:sz w:val="18"/>
              </w:rPr>
              <m:t>Q</m:t>
            </m:r>
          </m:e>
          <m:sub>
            <m:r>
              <w:rPr>
                <w:sz w:val="18"/>
              </w:rPr>
              <m:t>t</m:t>
            </m:r>
          </m:sub>
        </m:sSub>
        <m:r>
          <w:rPr>
            <w:sz w:val="18"/>
          </w:rPr>
          <m:rPr>
            <m:sty m:val="p"/>
          </m:rPr>
          <m:t>=</m:t>
        </m:r>
        <m:r>
          <w:rPr>
            <w:sz w:val="18"/>
          </w:rPr>
          <m:t>Δ</m:t>
        </m:r>
        <m:sSub>
          <m:e>
            <m:r>
              <w:rPr>
                <w:sz w:val="18"/>
              </w:rPr>
              <m:t>N</m:t>
            </m:r>
          </m:e>
          <m:sub>
            <m:r>
              <w:rPr>
                <w:sz w:val="18"/>
              </w:rPr>
              <m:rPr>
                <m:sty m:val="p"/>
              </m:rPr>
              <m:t>B</m:t>
            </m:r>
            <m:r>
              <w:rPr>
                <w:sz w:val="18"/>
              </w:rPr>
              <m:rPr>
                <m:sty m:val="p"/>
              </m:rPr>
              <m:t>L</m:t>
            </m:r>
            <m:r>
              <w:rPr>
                <w:sz w:val="18"/>
              </w:rPr>
              <m:rPr>
                <m:sty m:val="p"/>
              </m:rPr>
              <m:t>,</m:t>
            </m:r>
            <m:r>
              <w:rPr>
                <w:sz w:val="18"/>
              </w:rPr>
              <m:t>t</m:t>
            </m:r>
          </m:sub>
        </m:sSub>
        <m:r>
          <w:rPr>
            <w:sz w:val="18"/>
          </w:rPr>
          <m:rPr>
            <m:sty m:val="p"/>
          </m:rPr>
          <m:t>−</m:t>
        </m:r>
        <m:r>
          <w:rPr>
            <w:sz w:val="18"/>
          </w:rPr>
          <m:t>Δ</m:t>
        </m:r>
        <m:sSub>
          <m:e>
            <m:r>
              <w:rPr>
                <w:sz w:val="18"/>
              </w:rPr>
              <m:t>N</m:t>
            </m:r>
          </m:e>
          <m:sub>
            <m:r>
              <w:rPr>
                <w:sz w:val="18"/>
              </w:rPr>
              <m:rPr>
                <m:sty m:val="p"/>
              </m:rPr>
              <m:t>P</m:t>
            </m:r>
            <m:r>
              <w:rPr>
                <w:sz w:val="18"/>
              </w:rPr>
              <m:rPr>
                <m:sty m:val="p"/>
              </m:rPr>
              <m:t>J</m:t>
            </m:r>
            <m:r>
              <w:rPr>
                <w:sz w:val="18"/>
              </w:rPr>
              <m:rPr>
                <m:sty m:val="p"/>
              </m:rPr>
              <m:t>,</m:t>
            </m:r>
            <m:r>
              <w:rPr>
                <w:sz w:val="18"/>
              </w:rPr>
              <m:t>t</m:t>
            </m:r>
          </m:sub>
        </m:sSub>
        <m:r>
          <w:rPr>
            <w:sz w:val="18"/>
          </w:rPr>
          <m:rPr>
            <m:sty m:val="p"/>
          </m:rPr>
          <m:t>−</m:t>
        </m:r>
        <m:r>
          <w:rPr>
            <w:sz w:val="18"/>
          </w:rPr>
          <m:t>Δ</m:t>
        </m:r>
        <m:sSub>
          <m:e>
            <m:r>
              <w:rPr>
                <w:sz w:val="18"/>
              </w:rPr>
              <m:t>L</m:t>
            </m:r>
          </m:e>
          <m:sub>
            <m:r>
              <w:rPr>
                <w:sz w:val="18"/>
              </w:rPr>
              <m:t>t</m:t>
            </m:r>
          </m:sub>
        </m:sSub>
      </m:oMath>
    </w:p>
    <w:p>
      <w:pPr>
        <w:keepNext/>
        <w:spacing w:before="40" w:after="60"/>
      </w:pPr>
      <w:r>
        <w:rPr>
          <w:rFonts w:ascii="Lato" w:hAnsi="Lato"/>
          <w:color w:val="315B50"/>
          <w:sz w:val="16"/>
        </w:rPr>
        <w:t>Todas las diferencias son EP menos EA congelado sobre igual soporte antes de incertidumbre y reserva. r = deltaQ - (deltaBL - deltaPJ - deltaL) es residual aritmético. Diferencia de pronóstico no equivale a mitigación, causalidad o hallazgo de materialidad.</w:t>
      </w:r>
    </w:p>
    <w:p>
      <w:pPr>
        <w:keepNext/>
        <w:spacing w:before="40" w:after="60"/>
      </w:pPr>
      <w:r>
        <w:rPr>
          <w:rFonts w:ascii="Lato" w:hAnsi="Lato"/>
          <w:color w:val="315B50"/>
          <w:sz w:val="14"/>
        </w:rPr>
        <w:t>Base: M04.5; P-13; identidad de comparación | Libro: Comparison!D:J</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Asunto / impacto / intervalo afectado</w:t>
            </w:r>
          </w:p>
          <w:p>
            <w:pPr>
              <w:spacing w:before="40" w:after="40"/>
            </w:pPr>
            <m:oMath>
              <m:r>
                <w:rPr>
                  <w:sz w:val="16"/>
                  <w:color w:val="173E34"/>
                </w:rPr>
                <m:t>t</m:t>
              </m:r>
              <m:r>
                <w:rPr>
                  <w:sz w:val="16"/>
                  <w:color w:val="173E34"/>
                </w:rPr>
                <m:rPr>
                  <m:sty m:val="p"/>
                </m:rPr>
                <m:t>,</m:t>
              </m:r>
              <m:r>
                <w:rPr>
                  <w:sz w:val="16"/>
                  <w:color w:val="173E34"/>
                </w:rPr>
                <m:t> </m:t>
              </m:r>
              <m:r>
                <w:rPr>
                  <w:sz w:val="16"/>
                  <w:color w:val="173E34"/>
                </w:rPr>
                <m:t>z</m:t>
              </m:r>
            </m:oMath>
          </w:p>
        </w:tc>
        <w:tc>
          <w:tcPr>
            <w:tcW w:type="dxa" w:w="3250"/>
            <w:tcMar>
              <w:top w:w="90" w:type="dxa"/>
              <w:bottom w:w="90" w:type="dxa"/>
              <w:left w:w="100" w:type="dxa"/>
              <w:right w:w="100" w:type="dxa"/>
            </w:tcMar>
            <w:vAlign w:val="center"/>
            <w:shd w:fill="E6F0EB"/>
          </w:tcPr>
          <w:p>
            <w:r>
              <w:rPr>
                <w:rFonts w:ascii="Lato" w:hAnsi="Lato"/>
                <w:b/>
                <w:color w:val="173E34"/>
                <w:sz w:val="17"/>
              </w:rPr>
              <w:t>Evidencia o recálculo requerido</w:t>
            </w:r>
          </w:p>
          <w:p>
            <w:pPr>
              <w:spacing w:before="40" w:after="40"/>
            </w:pPr>
            <m:oMath>
              <m:sSubSup>
                <m:e>
                  <m:r>
                    <w:rPr>
                      <w:sz w:val="16"/>
                      <w:color w:val="173E34"/>
                    </w:rPr>
                    <m:t>Q</m:t>
                  </m:r>
                </m:e>
                <m:sub>
                  <m:r>
                    <w:rPr>
                      <w:sz w:val="16"/>
                      <w:color w:val="173E34"/>
                    </w:rPr>
                    <m:t>t</m:t>
                  </m:r>
                </m:sub>
                <m:sup>
                  <m:r>
                    <w:rPr>
                      <w:sz w:val="16"/>
                      <w:color w:val="173E34"/>
                    </w:rPr>
                    <m:rPr>
                      <m:sty m:val="p"/>
                    </m:rPr>
                    <m:t>E</m:t>
                  </m:r>
                  <m:r>
                    <w:rPr>
                      <w:sz w:val="16"/>
                      <w:color w:val="173E34"/>
                    </w:rPr>
                    <m:rPr>
                      <m:sty m:val="p"/>
                    </m:rPr>
                    <m:t>A</m:t>
                  </m:r>
                </m:sup>
              </m:sSubSup>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E</m:t>
                  </m:r>
                  <m:r>
                    <w:rPr>
                      <w:sz w:val="16"/>
                      <w:color w:val="173E34"/>
                    </w:rPr>
                    <m:rPr>
                      <m:sty m:val="p"/>
                    </m:rPr>
                    <m:t>P</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Responsable / consecuencia decisoria</w:t>
            </w:r>
          </w:p>
          <w:p>
            <w:pPr>
              <w:spacing w:before="40" w:after="40"/>
            </w:pPr>
            <m:oMath>
              <m:r>
                <w:rPr>
                  <w:sz w:val="16"/>
                  <w:color w:val="173E34"/>
                </w:rPr>
                <m:t>Δ</m:t>
              </m:r>
              <m:sSub>
                <m:e>
                  <m:r>
                    <w:rPr>
                      <w:sz w:val="16"/>
                      <w:color w:val="173E34"/>
                    </w:rPr>
                    <m:t>Q</m:t>
                  </m:r>
                </m:e>
                <m:sub>
                  <m:r>
                    <w:rPr>
                      <w:sz w:val="16"/>
                      <w:color w:val="173E34"/>
                    </w:rPr>
                    <m:t>t</m:t>
                  </m:r>
                </m:sub>
              </m:sSub>
              <m:r>
                <w:rPr>
                  <w:sz w:val="16"/>
                  <w:color w:val="173E34"/>
                </w:rPr>
                <m:rPr>
                  <m:sty m:val="p"/>
                </m:rPr>
                <m:t>,</m:t>
              </m:r>
              <m:r>
                <w:rPr>
                  <w:sz w:val="16"/>
                  <w:color w:val="173E34"/>
                </w:rPr>
                <m:t> </m:t>
              </m:r>
              <m:sSub>
                <m:e>
                  <m:r>
                    <w:rPr>
                      <w:sz w:val="16"/>
                      <w:color w:val="173E34"/>
                    </w:rPr>
                    <m:t>r</m:t>
                  </m:r>
                </m:e>
                <m:sub>
                  <m:r>
                    <w:rPr>
                      <w:sz w:val="16"/>
                      <w:color w:val="173E34"/>
                    </w:rPr>
                    <m:t>t</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4-2-ES-1-1"/>
                <w:tag w:val="sec_04-2-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4-2-ES-1-2"/>
                <w:tag w:val="sec_04-2-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4-2-ES-1-3"/>
                <w:tag w:val="sec_04-2-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4-2-ES-2-1"/>
                <w:tag w:val="sec_04-2-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4-2-ES-2-2"/>
                <w:tag w:val="sec_04-2-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4-2-ES-2-3"/>
                <w:tag w:val="sec_04-2-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4-2-ES-3-1"/>
                <w:tag w:val="sec_04-2-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4-2-ES-3-2"/>
                <w:tag w:val="sec_04-2-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4-2-ES-3-3"/>
                <w:tag w:val="sec_04-2-ES-3-3"/>
                <w:text/>
              </w:sdtPr>
              <w:sdtContent>
                <w:r>
                  <w:rPr>
                    <w:rFonts w:ascii="Lato" w:hAnsi="Lato"/>
                    <w:sz w:val="18"/>
                    <w:color w:val="62716E"/>
                  </w:rPr>
                  <w:t>[Completar]</w:t>
                </w:r>
              </w:sdtContent>
            </w:sdt>
          </w:p>
        </w:tc>
      </w:tr>
    </w:tbl>
    <w:p>
      <w:pPr>
        <w:spacing w:after="0"/>
      </w:pPr>
    </w:p>
    <w:p>
      <w:bookmarkStart w:id="3005" w:name="sec_05"/>
      <w:pPr>
        <w:pStyle w:val="Heading1"/>
        <w:keepNext/>
        <w:pageBreakBefore/>
      </w:pPr>
      <w:r>
        <w:t>05  Estado histórico de declaraciones y obligaciones</w:t>
      </w:r>
      <w:bookmarkEnd w:id="3005"/>
    </w:p>
    <w:p>
      <w:pPr>
        <w:spacing w:after="120"/>
      </w:pPr>
      <w:r>
        <w:rPr>
          <w:rFonts w:ascii="Lato" w:hAnsi="Lato"/>
          <w:b w:val="0"/>
          <w:color w:val="62716E"/>
          <w:sz w:val="16"/>
        </w:rPr>
        <w:t>[1] Referencia: MIG-06; MIG-07; MIG-08; U-04; U-05; F-R05a; F-R05b</w:t>
      </w:r>
    </w:p>
    <w:p>
      <w:pPr>
        <w:pStyle w:val="Heading2"/>
        <w:keepNext/>
      </w:pPr>
      <w:r>
        <w:t>Estado del resultado original</w:t>
      </w:r>
    </w:p>
    <w:p>
      <w:pPr>
        <w:keepNext/>
        <w:spacing w:before="40" w:after="60"/>
      </w:pPr>
      <w:r>
        <w:rPr>
          <w:rFonts w:ascii="Lato" w:hAnsi="Lato"/>
          <w:color w:val="315B50"/>
          <w:sz w:val="18"/>
        </w:rPr>
        <w:t>MIGRATION-RECONCILIATION-T10 / Notación del cálculo</w:t>
      </w:r>
    </w:p>
    <w:p>
      <w:pPr>
        <w:keepNext/>
        <w:spacing w:before="40" w:after="60"/>
      </w:pPr>
      <m:oMath>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 </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r>
          <w:rPr>
            <w:sz w:val="18"/>
          </w:rPr>
          <m:rPr>
            <m:sty m:val="p"/>
          </m:rPr>
          <m:t>=</m:t>
        </m:r>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oMath>
    </w:p>
    <w:p>
      <w:pPr>
        <w:keepNext/>
        <w:spacing w:before="40" w:after="60"/>
      </w:pPr>
      <m:oMath>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oMath>
    </w:p>
    <w:p>
      <w:pPr>
        <w:keepNext/>
        <w:spacing w:before="40" w:after="60"/>
      </w:pPr>
      <w:r>
        <w:rPr>
          <w:rFonts w:ascii="Lato" w:hAnsi="Lato"/>
          <w:color w:val="315B50"/>
          <w:sz w:val="16"/>
        </w:rPr>
        <w:t>src conserva resultado original; harm aplica método original a base comparable acordada; NEB es resultado receptor sobre esa base. La identidad telescópica explica diferencias, no elegibilidad. No forzar diferencia metodológica cero.</w:t>
      </w:r>
    </w:p>
    <w:p>
      <w:pPr>
        <w:keepNext/>
        <w:spacing w:before="40" w:after="60"/>
      </w:pPr>
      <w:r>
        <w:rPr>
          <w:rFonts w:ascii="Lato" w:hAnsi="Lato"/>
          <w:color w:val="315B50"/>
          <w:sz w:val="14"/>
        </w:rPr>
        <w:t>Base: MIG-05; P-13; identidad de conciliación | Libro: Migration!E:K</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Resultado / período / serial o referencia</w:t>
            </w:r>
          </w:p>
          <w:p>
            <w:pPr>
              <w:spacing w:before="40" w:after="40"/>
            </w:pPr>
            <m:oMath>
              <m:r>
                <w:rPr>
                  <w:sz w:val="16"/>
                  <w:color w:val="173E34"/>
                </w:rPr>
                <m:t>t</m:t>
              </m:r>
              <m:r>
                <w:rPr>
                  <w:sz w:val="16"/>
                  <w:color w:val="173E34"/>
                </w:rPr>
                <m:rPr>
                  <m:sty m:val="p"/>
                </m:rPr>
                <m:t>,</m:t>
              </m:r>
              <m:r>
                <w:rPr>
                  <w:sz w:val="16"/>
                  <w:color w:val="173E34"/>
                </w:rPr>
                <m:t> </m:t>
              </m:r>
              <m:r>
                <w:rPr>
                  <w:sz w:val="16"/>
                  <w:color w:val="173E34"/>
                </w:rPr>
                <m:t>u</m:t>
              </m:r>
            </m:oMath>
          </w:p>
        </w:tc>
        <w:tc>
          <w:tcPr>
            <w:tcW w:type="dxa" w:w="3250"/>
            <w:tcMar>
              <w:top w:w="90" w:type="dxa"/>
              <w:bottom w:w="90" w:type="dxa"/>
              <w:left w:w="100" w:type="dxa"/>
              <w:right w:w="100" w:type="dxa"/>
            </w:tcMar>
            <w:vAlign w:val="center"/>
            <w:shd w:fill="E6F0EB"/>
          </w:tcPr>
          <w:p>
            <w:r>
              <w:rPr>
                <w:rFonts w:ascii="Lato" w:hAnsi="Lato"/>
                <w:b/>
                <w:color w:val="173E34"/>
                <w:sz w:val="17"/>
              </w:rPr>
              <w:t>Emitido / usado / retirado / cancelado / no emitido</w:t>
            </w:r>
          </w:p>
          <w:p>
            <w:pPr>
              <w:spacing w:before="40" w:after="40"/>
            </w:pPr>
            <m:oMath>
              <m:sSup>
                <m:e>
                  <m:r>
                    <w:rPr>
                      <w:sz w:val="16"/>
                      <w:color w:val="173E34"/>
                    </w:rPr>
                    <m:t>q</m:t>
                  </m:r>
                </m:e>
                <m:sup>
                  <m:r>
                    <w:rPr>
                      <w:sz w:val="16"/>
                      <w:color w:val="173E34"/>
                    </w:rPr>
                    <m:rPr>
                      <m:sty m:val="p"/>
                    </m:rPr>
                    <m:t>s</m:t>
                  </m:r>
                  <m:r>
                    <w:rPr>
                      <w:sz w:val="16"/>
                      <w:color w:val="173E34"/>
                    </w:rPr>
                    <m:rPr>
                      <m:sty m:val="p"/>
                    </m:rPr>
                    <m:t>r</m:t>
                  </m:r>
                  <m:r>
                    <w:rPr>
                      <w:sz w:val="16"/>
                      <w:color w:val="173E34"/>
                    </w:rPr>
                    <m:rPr>
                      <m:sty m:val="p"/>
                    </m:rPr>
                    <m:t>c</m:t>
                  </m:r>
                </m:sup>
              </m:sSup>
              <m:r>
                <w:rPr>
                  <w:sz w:val="16"/>
                  <w:color w:val="173E34"/>
                </w:rPr>
                <m:rPr>
                  <m:sty m:val="p"/>
                </m:rPr>
                <m:t>,</m:t>
              </m:r>
              <m:r>
                <w:rPr>
                  <w:sz w:val="16"/>
                  <w:color w:val="173E34"/>
                </w:rPr>
                <m:t> </m:t>
              </m:r>
              <m:sSup>
                <m:e>
                  <m:r>
                    <w:rPr>
                      <w:sz w:val="16"/>
                      <w:color w:val="173E34"/>
                    </w:rPr>
                    <m:t>q</m:t>
                  </m:r>
                </m:e>
                <m:sup>
                  <m:r>
                    <w:rPr>
                      <w:sz w:val="16"/>
                      <w:color w:val="173E34"/>
                    </w:rPr>
                    <m:rPr>
                      <m:sty m:val="p"/>
                    </m:rPr>
                    <m:t>h</m:t>
                  </m:r>
                  <m:r>
                    <w:rPr>
                      <w:sz w:val="16"/>
                      <w:color w:val="173E34"/>
                    </w:rPr>
                    <m:rPr>
                      <m:sty m:val="p"/>
                    </m:rPr>
                    <m:t>a</m:t>
                  </m:r>
                  <m:r>
                    <w:rPr>
                      <w:sz w:val="16"/>
                      <w:color w:val="173E34"/>
                    </w:rPr>
                    <m:rPr>
                      <m:sty m:val="p"/>
                    </m:rPr>
                    <m:t>r</m:t>
                  </m:r>
                  <m:r>
                    <w:rPr>
                      <w:sz w:val="16"/>
                      <w:color w:val="173E34"/>
                    </w:rPr>
                    <m:rPr>
                      <m:sty m:val="p"/>
                    </m:rPr>
                    <m:t>m</m:t>
                  </m:r>
                </m:sup>
              </m:sSup>
              <m:r>
                <w:rPr>
                  <w:sz w:val="16"/>
                  <w:color w:val="173E34"/>
                </w:rPr>
                <m:rPr>
                  <m:sty m:val="p"/>
                </m:rPr>
                <m:t>,</m:t>
              </m:r>
              <m:r>
                <w:rPr>
                  <w:sz w:val="16"/>
                  <w:color w:val="173E34"/>
                </w:rPr>
                <m:t> </m:t>
              </m:r>
              <m:sSup>
                <m:e>
                  <m:r>
                    <w:rPr>
                      <w:sz w:val="16"/>
                      <w:color w:val="173E34"/>
                    </w:rPr>
                    <m:t>q</m:t>
                  </m:r>
                </m:e>
                <m:sup>
                  <m:r>
                    <w:rPr>
                      <w:sz w:val="16"/>
                      <w:color w:val="173E34"/>
                    </w:rPr>
                    <m:rPr>
                      <m:sty m:val="p"/>
                    </m:rPr>
                    <m:t>N</m:t>
                  </m:r>
                  <m:r>
                    <w:rPr>
                      <w:sz w:val="16"/>
                      <w:color w:val="173E34"/>
                    </w:rPr>
                    <m:rPr>
                      <m:sty m:val="p"/>
                    </m:rPr>
                    <m:t>E</m:t>
                  </m:r>
                  <m:r>
                    <w:rPr>
                      <w:sz w:val="16"/>
                      <w:color w:val="173E34"/>
                    </w:rPr>
                    <m:rPr>
                      <m:sty m:val="p"/>
                    </m:rPr>
                    <m:t>B</m:t>
                  </m:r>
                </m:sup>
              </m:sSup>
            </m:oMath>
          </w:p>
        </w:tc>
        <w:tc>
          <w:tcPr>
            <w:tcW w:type="dxa" w:w="3250"/>
            <w:tcMar>
              <w:top w:w="90" w:type="dxa"/>
              <w:bottom w:w="90" w:type="dxa"/>
              <w:left w:w="100" w:type="dxa"/>
              <w:right w:w="100" w:type="dxa"/>
            </w:tcMar>
            <w:vAlign w:val="center"/>
            <w:shd w:fill="E6F0EB"/>
          </w:tcPr>
          <w:p>
            <w:r>
              <w:rPr>
                <w:rFonts w:ascii="Lato" w:hAnsi="Lato"/>
                <w:b/>
                <w:color w:val="173E34"/>
                <w:sz w:val="17"/>
              </w:rPr>
              <w:t>Cantidad compatible y evidencia autorizada</w:t>
            </w:r>
          </w:p>
          <w:p>
            <w:pPr>
              <w:spacing w:before="40" w:after="40"/>
            </w:pPr>
            <m:oMath>
              <m:r>
                <w:rPr>
                  <w:sz w:val="16"/>
                  <w:color w:val="173E34"/>
                </w:rPr>
                <m:t>Δ</m:t>
              </m:r>
              <m:sSub>
                <m:e>
                  <m:r>
                    <w:rPr>
                      <w:sz w:val="16"/>
                      <w:color w:val="173E34"/>
                    </w:rPr>
                    <m:t>q</m:t>
                  </m:r>
                </m:e>
                <m:sub>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i</m:t>
                  </m:r>
                  <m:r>
                    <w:rPr>
                      <w:sz w:val="16"/>
                      <w:color w:val="173E34"/>
                    </w:rPr>
                    <m:rPr>
                      <m:sty m:val="p"/>
                    </m:rPr>
                    <m:t>s</m:t>
                  </m:r>
                </m:sub>
              </m:sSub>
              <m:r>
                <w:rPr>
                  <w:sz w:val="16"/>
                  <w:color w:val="173E34"/>
                </w:rPr>
                <m:rPr>
                  <m:sty m:val="p"/>
                </m:rPr>
                <m:t>,</m:t>
              </m:r>
              <m:r>
                <w:rPr>
                  <w:sz w:val="16"/>
                  <w:color w:val="173E34"/>
                </w:rPr>
                <m:t> </m:t>
              </m:r>
              <m:r>
                <w:rPr>
                  <w:sz w:val="16"/>
                  <w:color w:val="173E34"/>
                </w:rPr>
                <m:t>Δ</m:t>
              </m:r>
              <m:sSub>
                <m:e>
                  <m:r>
                    <w:rPr>
                      <w:sz w:val="16"/>
                      <w:color w:val="173E34"/>
                    </w:rPr>
                    <m:t>q</m:t>
                  </m:r>
                </m:e>
                <m:sub>
                  <m:r>
                    <w:rPr>
                      <w:sz w:val="16"/>
                      <w:color w:val="173E34"/>
                    </w:rPr>
                    <m:rPr>
                      <m:sty m:val="p"/>
                    </m:rPr>
                    <m:t>m</m:t>
                  </m:r>
                  <m:r>
                    <w:rPr>
                      <w:sz w:val="16"/>
                      <w:color w:val="173E34"/>
                    </w:rPr>
                    <m:rPr>
                      <m:sty m:val="p"/>
                    </m:rPr>
                    <m:t>e</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d</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5-0-ES-1-1"/>
                <w:tag w:val="sec_05-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0-ES-1-2"/>
                <w:tag w:val="sec_05-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0-ES-1-3"/>
                <w:tag w:val="sec_05-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5-0-ES-2-1"/>
                <w:tag w:val="sec_05-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5-0-ES-2-2"/>
                <w:tag w:val="sec_05-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5-0-ES-2-3"/>
                <w:tag w:val="sec_05-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5-0-ES-3-1"/>
                <w:tag w:val="sec_05-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0-ES-3-2"/>
                <w:tag w:val="sec_05-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0-ES-3-3"/>
                <w:tag w:val="sec_05-0-ES-3-3"/>
                <w:text/>
              </w:sdtPr>
              <w:sdtContent>
                <w:r>
                  <w:rPr>
                    <w:rFonts w:ascii="Lato" w:hAnsi="Lato"/>
                    <w:sz w:val="18"/>
                    <w:color w:val="62716E"/>
                  </w:rPr>
                  <w:t>[Completar]</w:t>
                </w:r>
              </w:sdtContent>
            </w:sdt>
          </w:p>
        </w:tc>
      </w:tr>
    </w:tbl>
    <w:p>
      <w:pPr>
        <w:spacing w:after="0"/>
      </w:pPr>
    </w:p>
    <w:p>
      <w:pPr>
        <w:pStyle w:val="Heading2"/>
        <w:keepNext/>
      </w:pPr>
      <w:r>
        <w:t>Saldo y responsabilidad continua</w:t>
      </w:r>
    </w:p>
    <w:p>
      <w:pPr>
        <w:keepNext/>
        <w:spacing w:before="40" w:after="60"/>
      </w:pPr>
      <w:r>
        <w:rPr>
          <w:rFonts w:ascii="Lato" w:hAnsi="Lato"/>
          <w:color w:val="315B50"/>
          <w:sz w:val="18"/>
        </w:rPr>
        <w:t>MIGRATION-RECONCILIATION-T11 / Notación del cálculo</w:t>
      </w:r>
    </w:p>
    <w:p>
      <w:pPr>
        <w:keepNext/>
        <w:spacing w:before="40" w:after="60"/>
      </w:pPr>
      <m:oMath>
        <m:sSubSup>
          <m:e>
            <m:r>
              <w:rPr>
                <w:sz w:val="18"/>
              </w:rPr>
              <m:t>N</m:t>
            </m:r>
          </m:e>
          <m:sub>
            <m:r>
              <w:rPr>
                <w:sz w:val="18"/>
              </w:rPr>
              <m:t>t</m:t>
            </m:r>
          </m:sub>
          <m:sup>
            <m:r>
              <w:rPr>
                <w:sz w:val="18"/>
              </w:rPr>
              <m:rPr>
                <m:sty m:val="p"/>
              </m:rPr>
              <m:t>−</m:t>
            </m:r>
          </m:sup>
        </m:sSubSup>
        <m:r>
          <w:rPr>
            <w:sz w:val="18"/>
          </w:rPr>
          <m:rPr>
            <m:sty m:val="p"/>
          </m:rPr>
          <m:t>=</m:t>
        </m:r>
        <m:r>
          <w:rPr>
            <w:sz w:val="18"/>
          </w:rPr>
          <m:rPr>
            <m:sty m:val="p"/>
          </m:rPr>
          <m:t>max</m:t>
        </m:r>
        <m:d>
          <m:dPr>
            <m:begChr m:val="("/>
            <m:endChr m:val=")"/>
            <m:sepChr m:val=""/>
            <m:grow/>
          </m:dPr>
          <m:e>
            <m:r>
              <w:rPr>
                <w:sz w:val="18"/>
              </w:rPr>
              <m:t>0</m:t>
            </m:r>
            <m:r>
              <w:rPr>
                <w:sz w:val="18"/>
              </w:rPr>
              <m:rPr>
                <m:sty m:val="p"/>
              </m:rPr>
              <m:t>,</m:t>
            </m:r>
            <m:r>
              <w:rPr>
                <w:sz w:val="18"/>
              </w:rPr>
              <m:rPr>
                <m:sty m:val="p"/>
              </m:rPr>
              <m:t>−</m:t>
            </m:r>
            <m:sSubSup>
              <m:e>
                <m:r>
                  <w:rPr>
                    <w:sz w:val="18"/>
                  </w:rPr>
                  <m:t>Q</m:t>
                </m:r>
              </m:e>
              <m:sub>
                <m:r>
                  <w:rPr>
                    <w:sz w:val="18"/>
                  </w:rPr>
                  <m:t>t</m:t>
                </m:r>
              </m:sub>
              <m:sup>
                <m:r>
                  <w:rPr>
                    <w:sz w:val="18"/>
                  </w:rPr>
                  <m:rPr>
                    <m:sty m:val="p"/>
                  </m:rPr>
                  <m:t>l</m:t>
                </m:r>
                <m:r>
                  <w:rPr>
                    <w:sz w:val="18"/>
                  </w:rPr>
                  <m:rPr>
                    <m:sty m:val="p"/>
                  </m:rPr>
                  <m:t>o</m:t>
                </m:r>
                <m:r>
                  <w:rPr>
                    <w:sz w:val="18"/>
                  </w:rPr>
                  <m:rPr>
                    <m:sty m:val="p"/>
                  </m:rPr>
                  <m:t>w</m:t>
                </m:r>
              </m:sup>
            </m:sSubSup>
          </m:e>
        </m:d>
        <m:r>
          <w:rPr>
            <w:sz w:val="18"/>
          </w:rPr>
          <m:rPr>
            <m:sty m:val="p"/>
          </m:rPr>
          <m:t>,</m:t>
        </m:r>
        <m:r>
          <w:rPr>
            <w:sz w:val="18"/>
          </w:rPr>
          <m:t> </m:t>
        </m:r>
        <m:r>
          <w:rPr>
            <w:sz w:val="18"/>
          </w:rPr>
          <m:t>Δ</m:t>
        </m:r>
        <m:sSubSup>
          <m:e>
            <m:r>
              <w:rPr>
                <w:sz w:val="18"/>
              </w:rPr>
              <m:t>D</m:t>
            </m:r>
          </m:e>
          <m:sub>
            <m:r>
              <w:rPr>
                <w:sz w:val="18"/>
              </w:rPr>
              <m:t>t</m:t>
            </m:r>
          </m:sub>
          <m:sup>
            <m:r>
              <w:rPr>
                <w:sz w:val="18"/>
              </w:rPr>
              <m:rPr>
                <m:sty m:val="p"/>
              </m:rPr>
              <m:t>−</m:t>
            </m:r>
          </m:sup>
        </m:sSubSup>
        <m:r>
          <w:rPr>
            <w:sz w:val="18"/>
          </w:rPr>
          <m:rPr>
            <m:sty m:val="p"/>
          </m:rPr>
          <m:t>=</m:t>
        </m:r>
        <m:sSubSup>
          <m:e>
            <m:r>
              <w:rPr>
                <w:sz w:val="18"/>
              </w:rPr>
              <m:t>N</m:t>
            </m:r>
          </m:e>
          <m:sub>
            <m:r>
              <w:rPr>
                <w:sz w:val="18"/>
              </w:rPr>
              <m:t>t</m:t>
            </m:r>
          </m:sub>
          <m:sup>
            <m:r>
              <w:rPr>
                <w:sz w:val="18"/>
              </w:rPr>
              <m:rPr>
                <m:sty m:val="p"/>
              </m:rPr>
              <m:t>−</m:t>
            </m:r>
          </m:sup>
        </m:sSubSup>
        <m:r>
          <w:rPr>
            <w:sz w:val="18"/>
          </w:rPr>
          <m:rPr>
            <m:sty m:val="p"/>
          </m:rPr>
          <m:t>−</m:t>
        </m:r>
        <m:sSub>
          <m:e>
            <m:r>
              <w:rPr>
                <w:sz w:val="18"/>
              </w:rPr>
              <m:t>O</m:t>
            </m:r>
          </m:e>
          <m:sub>
            <m:r>
              <w:rPr>
                <w:sz w:val="18"/>
              </w:rPr>
              <m:t>t</m:t>
            </m:r>
          </m:sub>
        </m:sSub>
        <m:r>
          <w:rPr>
            <w:sz w:val="18"/>
          </w:rPr>
          <m:rPr>
            <m:sty m:val="p"/>
          </m:rPr>
          <m:t>−</m:t>
        </m:r>
        <m:sSubSup>
          <m:e>
            <m:r>
              <w:rPr>
                <w:sz w:val="18"/>
              </w:rPr>
              <m:t>C</m:t>
            </m:r>
          </m:e>
          <m:sub>
            <m:r>
              <w:rPr>
                <w:sz w:val="18"/>
              </w:rPr>
              <m:t>t</m:t>
            </m:r>
          </m:sub>
          <m:sup>
            <m:r>
              <w:rPr>
                <w:sz w:val="18"/>
              </w:rPr>
              <m:rPr>
                <m:sty m:val="p"/>
              </m:rPr>
              <m:t>−</m:t>
            </m:r>
          </m:sup>
        </m:sSubSup>
      </m:oMath>
    </w:p>
    <w:p>
      <w:pPr>
        <w:keepNext/>
        <w:spacing w:before="40" w:after="60"/>
      </w:pPr>
      <m:oMath>
        <m:sSub>
          <m:e>
            <m:r>
              <w:rPr>
                <w:sz w:val="18"/>
              </w:rPr>
              <m:t>D</m:t>
            </m:r>
          </m:e>
          <m:sub>
            <m:r>
              <w:rPr>
                <w:sz w:val="18"/>
              </w:rPr>
              <m:t>t</m:t>
            </m:r>
            <m:r>
              <w:rPr>
                <w:sz w:val="18"/>
              </w:rPr>
              <m:rPr>
                <m:sty m:val="p"/>
              </m:rPr>
              <m:t>+</m:t>
            </m:r>
            <m:r>
              <w:rPr>
                <w:sz w:val="18"/>
              </w:rPr>
              <m:t>1</m:t>
            </m:r>
          </m:sub>
        </m:sSub>
        <m:r>
          <w:rPr>
            <w:sz w:val="18"/>
          </w:rPr>
          <m:rPr>
            <m:sty m:val="p"/>
          </m:rPr>
          <m:t>=</m:t>
        </m:r>
        <m:sSubSup>
          <m:e>
            <m:r>
              <w:rPr>
                <w:sz w:val="18"/>
              </w:rPr>
              <m:t>D</m:t>
            </m:r>
          </m:e>
          <m:sub>
            <m:r>
              <w:rPr>
                <w:sz w:val="18"/>
              </w:rPr>
              <m:t>t</m:t>
            </m:r>
          </m:sub>
          <m:sup>
            <m:r>
              <w:rPr>
                <w:sz w:val="18"/>
              </w:rPr>
              <m:rPr>
                <m:sty m:val="p"/>
              </m:rPr>
              <m:t>r</m:t>
            </m:r>
            <m:r>
              <w:rPr>
                <w:sz w:val="18"/>
              </w:rPr>
              <m:rPr>
                <m:sty m:val="p"/>
              </m:rPr>
              <m:t>e</m:t>
            </m:r>
            <m:r>
              <w:rPr>
                <w:sz w:val="18"/>
              </w:rPr>
              <m:rPr>
                <m:sty m:val="p"/>
              </m:rPr>
              <m:t>m</m:t>
            </m:r>
          </m:sup>
        </m:sSubSup>
        <m:r>
          <w:rPr>
            <w:sz w:val="18"/>
          </w:rPr>
          <m:rPr>
            <m:sty m:val="p"/>
          </m:rPr>
          <m:t>+</m:t>
        </m:r>
        <m:r>
          <w:rPr>
            <w:sz w:val="18"/>
          </w:rPr>
          <m:t>Δ</m:t>
        </m:r>
        <m:sSubSup>
          <m:e>
            <m:r>
              <w:rPr>
                <w:sz w:val="18"/>
              </w:rPr>
              <m:t>D</m:t>
            </m:r>
          </m:e>
          <m:sub>
            <m:r>
              <w:rPr>
                <w:sz w:val="18"/>
              </w:rPr>
              <m:t>t</m:t>
            </m:r>
          </m:sub>
          <m:sup>
            <m:r>
              <w:rPr>
                <w:sz w:val="18"/>
              </w:rPr>
              <m:rPr>
                <m:sty m:val="p"/>
              </m:rPr>
              <m:t>−</m:t>
            </m:r>
          </m:sup>
        </m:sSubSup>
      </m:oMath>
    </w:p>
    <w:p>
      <w:pPr>
        <w:keepNext/>
        <w:spacing w:before="40" w:after="60"/>
      </w:pPr>
      <w:r>
        <w:rPr>
          <w:rFonts w:ascii="Lato" w:hAnsi="Lato"/>
          <w:color w:val="315B50"/>
          <w:sz w:val="16"/>
        </w:rPr>
        <w:t>FULL_BOUND solo con adopción expresa. O es porción documentada previamente reconocida del mismo déficit; C_minus es cancelación ejecutada de reserva para porción disjunta. Exigir O+C_minus &lt;= N_minus. Un límite negativo de incertidumbre no es automáticamente reversión física.</w:t>
      </w:r>
    </w:p>
    <w:p>
      <w:pPr>
        <w:keepNext/>
        <w:spacing w:before="40" w:after="60"/>
      </w:pPr>
      <w:r>
        <w:rPr>
          <w:rFonts w:ascii="Lato" w:hAnsi="Lato"/>
          <w:color w:val="315B50"/>
          <w:sz w:val="14"/>
        </w:rPr>
        <w:t>Base: F-R05a; F-R05b; F-03 | Libro: CarryForward!B:J; Settlement!I</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Pasivo, reserva o liberación diferida</w:t>
            </w:r>
          </w:p>
          <w:p>
            <w:pPr>
              <w:spacing w:before="40" w:after="40"/>
            </w:pPr>
            <m:oMath>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r>
                <w:rPr>
                  <w:sz w:val="16"/>
                  <w:color w:val="173E34"/>
                </w:rPr>
                <m:rPr>
                  <m:sty m:val="p"/>
                </m:rPr>
                <m:t>,</m:t>
              </m:r>
              <m:r>
                <w:rPr>
                  <w:sz w:val="16"/>
                  <w:color w:val="173E34"/>
                </w:rPr>
                <m:t> </m:t>
              </m:r>
              <m:sSubSup>
                <m:e>
                  <m:r>
                    <w:rPr>
                      <w:sz w:val="16"/>
                      <w:color w:val="173E34"/>
                    </w:rPr>
                    <m:t>N</m:t>
                  </m:r>
                </m:e>
                <m:sub>
                  <m:r>
                    <w:rPr>
                      <w:sz w:val="16"/>
                      <w:color w:val="173E34"/>
                    </w:rPr>
                    <m:t>t</m:t>
                  </m:r>
                </m:sub>
                <m:sup>
                  <m:r>
                    <w:rPr>
                      <w:sz w:val="16"/>
                      <w:color w:val="173E34"/>
                    </w:rPr>
                    <m:rPr>
                      <m:sty m:val="p"/>
                    </m:rPr>
                    <m:t>−</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Cantidad inicial, custodia y compromiso</w:t>
            </w:r>
          </w:p>
          <w:p>
            <w:pPr>
              <w:spacing w:before="40" w:after="40"/>
            </w:pPr>
            <m:oMath>
              <m:sSub>
                <m:e>
                  <m:r>
                    <w:rPr>
                      <w:sz w:val="16"/>
                      <w:color w:val="173E34"/>
                    </w:rPr>
                    <m:t>O</m:t>
                  </m:r>
                </m:e>
                <m:sub>
                  <m:r>
                    <w:rPr>
                      <w:sz w:val="16"/>
                      <w:color w:val="173E34"/>
                    </w:rPr>
                    <m:t>t</m:t>
                  </m:r>
                </m:sub>
              </m:sSub>
              <m:r>
                <w:rPr>
                  <w:sz w:val="16"/>
                  <w:color w:val="173E34"/>
                </w:rPr>
                <m:rPr>
                  <m:sty m:val="p"/>
                </m:rPr>
                <m:t>,</m:t>
              </m:r>
              <m:r>
                <w:rPr>
                  <w:sz w:val="16"/>
                  <w:color w:val="173E34"/>
                </w:rPr>
                <m:t> </m:t>
              </m:r>
              <m:sSubSup>
                <m:e>
                  <m:r>
                    <w:rPr>
                      <w:sz w:val="16"/>
                      <w:color w:val="173E34"/>
                    </w:rPr>
                    <m:t>C</m:t>
                  </m:r>
                </m:e>
                <m:sub>
                  <m:r>
                    <w:rPr>
                      <w:sz w:val="16"/>
                      <w:color w:val="173E34"/>
                    </w:rPr>
                    <m:t>t</m:t>
                  </m:r>
                </m:sub>
                <m:sup>
                  <m:r>
                    <w:rPr>
                      <w:sz w:val="16"/>
                      <w:color w:val="173E34"/>
                    </w:rPr>
                    <m:rPr>
                      <m:sty m:val="p"/>
                    </m:rPr>
                    <m:t>−</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Tratamiento receptor / obligado / registro final</w:t>
            </w:r>
          </w:p>
          <w:p>
            <w:pPr>
              <w:spacing w:before="40" w:after="40"/>
            </w:pPr>
            <m:oMath>
              <m:r>
                <w:rPr>
                  <w:sz w:val="16"/>
                  <w:color w:val="173E34"/>
                </w:rPr>
                <m:t>Δ</m:t>
              </m:r>
              <m:sSubSup>
                <m:e>
                  <m:r>
                    <w:rPr>
                      <w:sz w:val="16"/>
                      <w:color w:val="173E34"/>
                    </w:rPr>
                    <m:t>D</m:t>
                  </m:r>
                </m:e>
                <m:sub>
                  <m:r>
                    <w:rPr>
                      <w:sz w:val="16"/>
                      <w:color w:val="173E34"/>
                    </w:rPr>
                    <m:t>t</m:t>
                  </m:r>
                </m:sub>
                <m:sup>
                  <m:r>
                    <w:rPr>
                      <w:sz w:val="16"/>
                      <w:color w:val="173E34"/>
                    </w:rPr>
                    <m:rPr>
                      <m:sty m:val="p"/>
                    </m:rPr>
                    <m:t>−</m:t>
                  </m:r>
                </m:sup>
              </m:sSubSup>
              <m:r>
                <w:rPr>
                  <w:sz w:val="16"/>
                  <w:color w:val="173E34"/>
                </w:rPr>
                <m:rPr>
                  <m:sty m:val="p"/>
                </m:rPr>
                <m:t>,</m:t>
              </m:r>
              <m:r>
                <w:rPr>
                  <w:sz w:val="16"/>
                  <w:color w:val="173E34"/>
                </w:rPr>
                <m:t> </m:t>
              </m:r>
              <m:sSub>
                <m:e>
                  <m:r>
                    <w:rPr>
                      <w:sz w:val="16"/>
                      <w:color w:val="173E34"/>
                    </w:rPr>
                    <m:t>D</m:t>
                  </m:r>
                </m:e>
                <m:sub>
                  <m:r>
                    <w:rPr>
                      <w:sz w:val="16"/>
                      <w:color w:val="173E34"/>
                    </w:rPr>
                    <m:t>t</m:t>
                  </m:r>
                  <m:r>
                    <w:rPr>
                      <w:sz w:val="16"/>
                      <w:color w:val="173E34"/>
                    </w:rPr>
                    <m:rPr>
                      <m:sty m:val="p"/>
                    </m:rPr>
                    <m:t>+</m:t>
                  </m:r>
                  <m:r>
                    <w:rPr>
                      <w:sz w:val="16"/>
                      <w:color w:val="173E34"/>
                    </w:rPr>
                    <m:t>1</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5-1-ES-1-1"/>
                <w:tag w:val="sec_05-1-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1-ES-1-2"/>
                <w:tag w:val="sec_05-1-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1-ES-1-3"/>
                <w:tag w:val="sec_05-1-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5-1-ES-2-1"/>
                <w:tag w:val="sec_05-1-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5-1-ES-2-2"/>
                <w:tag w:val="sec_05-1-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5-1-ES-2-3"/>
                <w:tag w:val="sec_05-1-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5-1-ES-3-1"/>
                <w:tag w:val="sec_05-1-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1-ES-3-2"/>
                <w:tag w:val="sec_05-1-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1-ES-3-3"/>
                <w:tag w:val="sec_05-1-ES-3-3"/>
                <w:text/>
              </w:sdtPr>
              <w:sdtContent>
                <w:r>
                  <w:rPr>
                    <w:rFonts w:ascii="Lato" w:hAnsi="Lato"/>
                    <w:sz w:val="18"/>
                    <w:color w:val="62716E"/>
                  </w:rPr>
                  <w:t>[Completar]</w:t>
                </w:r>
              </w:sdtContent>
            </w:sdt>
          </w:p>
        </w:tc>
      </w:tr>
    </w:tbl>
    <w:p>
      <w:pPr>
        <w:spacing w:after="0"/>
      </w:pPr>
    </w:p>
    <w:p>
      <w:pPr>
        <w:pStyle w:val="Heading2"/>
        <w:keepNext/>
      </w:pPr>
      <w:r>
        <w:t>Sin reemplazo automático</w:t>
      </w:r>
    </w:p>
    <w:p>
      <w:pPr>
        <w:spacing w:after="80"/>
      </w:pPr>
      <w:r>
        <w:rPr>
          <w:rFonts w:ascii="Lato" w:hAnsi="Lato"/>
          <w:b w:val="0"/>
          <w:color w:val="62716E"/>
          <w:sz w:val="18"/>
        </w:rPr>
        <w:t>No sumar cantidades originales y receptoras como beneficios nuevos. Cancelar no es autoridad de reemplazo. Ningún denominador, cambio de límite o nombre administrativo puede reactivar un resultado usado, borrar déficit, reiniciar proyecto o liberar reserva comprometida.</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5-2-ES"/>
                <w:tag w:val="sec_05-2-ES"/>
                <w:text/>
              </w:sdtPr>
              <w:sdtContent>
                <w:r>
                  <w:rPr>
                    <w:rFonts w:ascii="Lato" w:hAnsi="Lato"/>
                    <w:sz w:val="18"/>
                    <w:color w:val="62716E"/>
                  </w:rPr>
                  <w:t>[Registrar respuesta y referencias exactas de evidencia.]</w:t>
                </w:r>
              </w:sdtContent>
            </w:sdt>
          </w:p>
        </w:tc>
      </w:tr>
    </w:tbl>
    <w:p>
      <w:pPr>
        <w:spacing w:after="20" w:before="0" w:line="96" w:lineRule="auto"/>
      </w:pPr>
    </w:p>
    <w:p>
      <w:bookmarkStart w:id="3006" w:name="sec_06"/>
      <w:pPr>
        <w:pStyle w:val="Heading1"/>
        <w:keepNext/>
        <w:pageBreakBefore/>
      </w:pPr>
      <w:r>
        <w:t>06  Registros proyectados, monitoreados y verificados</w:t>
      </w:r>
      <w:bookmarkEnd w:id="3006"/>
    </w:p>
    <w:p>
      <w:pPr>
        <w:spacing w:after="120"/>
      </w:pPr>
      <w:r>
        <w:rPr>
          <w:rFonts w:ascii="Lato" w:hAnsi="Lato"/>
          <w:b w:val="0"/>
          <w:color w:val="62716E"/>
          <w:sz w:val="16"/>
        </w:rPr>
        <w:t>[1] Referencia: P-01; P-13; P-14; MIG-04; MIG-09; U-01</w:t>
      </w:r>
    </w:p>
    <w:p>
      <w:pPr>
        <w:pStyle w:val="Heading2"/>
        <w:keepNext/>
      </w:pPr>
      <w:r>
        <w:t>Comparación con estados separados</w:t>
      </w:r>
    </w:p>
    <w:p>
      <w:pPr>
        <w:keepNext/>
        <w:spacing w:before="40" w:after="60"/>
      </w:pPr>
      <w:r>
        <w:rPr>
          <w:rFonts w:ascii="Lato" w:hAnsi="Lato"/>
          <w:color w:val="315B50"/>
          <w:sz w:val="18"/>
        </w:rPr>
        <w:t>MIGRATION-RECONCILIATION-T12 / Notación del cálculo</w:t>
      </w:r>
    </w:p>
    <w:p>
      <w:pPr>
        <w:keepNext/>
        <w:spacing w:before="40" w:after="60"/>
      </w:pPr>
      <m:oMath>
        <m:r>
          <w:rPr>
            <w:sz w:val="18"/>
          </w:rPr>
          <m:t>Δ</m:t>
        </m:r>
        <m:sSub>
          <m:e>
            <m:r>
              <w:rPr>
                <w:sz w:val="18"/>
              </w:rPr>
              <m:t>Q</m:t>
            </m:r>
          </m:e>
          <m:sub>
            <m:r>
              <w:rPr>
                <w:sz w:val="18"/>
              </w:rPr>
              <m:t>t</m:t>
            </m:r>
          </m:sub>
        </m:sSub>
        <m:r>
          <w:rPr>
            <w:sz w:val="18"/>
          </w:rPr>
          <m:rPr>
            <m:sty m:val="p"/>
          </m:rPr>
          <m:t>=</m:t>
        </m:r>
        <m:sSubSup>
          <m:e>
            <m:r>
              <w:rPr>
                <w:sz w:val="18"/>
              </w:rPr>
              <m:t>Q</m:t>
            </m:r>
          </m:e>
          <m:sub>
            <m:r>
              <w:rPr>
                <w:sz w:val="18"/>
              </w:rPr>
              <m:t>t</m:t>
            </m:r>
          </m:sub>
          <m:sup>
            <m:r>
              <w:rPr>
                <w:sz w:val="18"/>
              </w:rPr>
              <m:rPr>
                <m:sty m:val="p"/>
              </m:rPr>
              <m:t>E</m:t>
            </m:r>
            <m:r>
              <w:rPr>
                <w:sz w:val="18"/>
              </w:rPr>
              <m:rPr>
                <m:sty m:val="p"/>
              </m:rPr>
              <m:t>P</m:t>
            </m:r>
          </m:sup>
        </m:sSubSup>
        <m:r>
          <w:rPr>
            <w:sz w:val="18"/>
          </w:rPr>
          <m:rPr>
            <m:sty m:val="p"/>
          </m:rPr>
          <m:t>−</m:t>
        </m:r>
        <m:sSubSup>
          <m:e>
            <m:r>
              <w:rPr>
                <w:sz w:val="18"/>
              </w:rPr>
              <m:t>Q</m:t>
            </m:r>
          </m:e>
          <m:sub>
            <m:r>
              <w:rPr>
                <w:sz w:val="18"/>
              </w:rPr>
              <m:t>t</m:t>
            </m:r>
          </m:sub>
          <m:sup>
            <m:r>
              <w:rPr>
                <w:sz w:val="18"/>
              </w:rPr>
              <m:rPr>
                <m:sty m:val="p"/>
              </m:rPr>
              <m:t>E</m:t>
            </m:r>
            <m:r>
              <w:rPr>
                <w:sz w:val="18"/>
              </w:rPr>
              <m:rPr>
                <m:sty m:val="p"/>
              </m:rPr>
              <m:t>A</m:t>
            </m:r>
          </m:sup>
        </m:sSubSup>
      </m:oMath>
    </w:p>
    <w:p>
      <w:pPr>
        <w:keepNext/>
        <w:spacing w:before="40" w:after="60"/>
      </w:pPr>
      <m:oMath>
        <m:r>
          <w:rPr>
            <w:sz w:val="18"/>
          </w:rPr>
          <m:t>Δ</m:t>
        </m:r>
        <m:sSub>
          <m:e>
            <m:r>
              <w:rPr>
                <w:sz w:val="18"/>
              </w:rPr>
              <m:t>Q</m:t>
            </m:r>
          </m:e>
          <m:sub>
            <m:r>
              <w:rPr>
                <w:sz w:val="18"/>
              </w:rPr>
              <m:t>t</m:t>
            </m:r>
          </m:sub>
        </m:sSub>
        <m:r>
          <w:rPr>
            <w:sz w:val="18"/>
          </w:rPr>
          <m:rPr>
            <m:sty m:val="p"/>
          </m:rPr>
          <m:t>=</m:t>
        </m:r>
        <m:r>
          <w:rPr>
            <w:sz w:val="18"/>
          </w:rPr>
          <m:t>Δ</m:t>
        </m:r>
        <m:sSub>
          <m:e>
            <m:r>
              <w:rPr>
                <w:sz w:val="18"/>
              </w:rPr>
              <m:t>N</m:t>
            </m:r>
          </m:e>
          <m:sub>
            <m:r>
              <w:rPr>
                <w:sz w:val="18"/>
              </w:rPr>
              <m:rPr>
                <m:sty m:val="p"/>
              </m:rPr>
              <m:t>B</m:t>
            </m:r>
            <m:r>
              <w:rPr>
                <w:sz w:val="18"/>
              </w:rPr>
              <m:rPr>
                <m:sty m:val="p"/>
              </m:rPr>
              <m:t>L</m:t>
            </m:r>
            <m:r>
              <w:rPr>
                <w:sz w:val="18"/>
              </w:rPr>
              <m:rPr>
                <m:sty m:val="p"/>
              </m:rPr>
              <m:t>,</m:t>
            </m:r>
            <m:r>
              <w:rPr>
                <w:sz w:val="18"/>
              </w:rPr>
              <m:t>t</m:t>
            </m:r>
          </m:sub>
        </m:sSub>
        <m:r>
          <w:rPr>
            <w:sz w:val="18"/>
          </w:rPr>
          <m:rPr>
            <m:sty m:val="p"/>
          </m:rPr>
          <m:t>−</m:t>
        </m:r>
        <m:r>
          <w:rPr>
            <w:sz w:val="18"/>
          </w:rPr>
          <m:t>Δ</m:t>
        </m:r>
        <m:sSub>
          <m:e>
            <m:r>
              <w:rPr>
                <w:sz w:val="18"/>
              </w:rPr>
              <m:t>N</m:t>
            </m:r>
          </m:e>
          <m:sub>
            <m:r>
              <w:rPr>
                <w:sz w:val="18"/>
              </w:rPr>
              <m:rPr>
                <m:sty m:val="p"/>
              </m:rPr>
              <m:t>P</m:t>
            </m:r>
            <m:r>
              <w:rPr>
                <w:sz w:val="18"/>
              </w:rPr>
              <m:rPr>
                <m:sty m:val="p"/>
              </m:rPr>
              <m:t>J</m:t>
            </m:r>
            <m:r>
              <w:rPr>
                <w:sz w:val="18"/>
              </w:rPr>
              <m:rPr>
                <m:sty m:val="p"/>
              </m:rPr>
              <m:t>,</m:t>
            </m:r>
            <m:r>
              <w:rPr>
                <w:sz w:val="18"/>
              </w:rPr>
              <m:t>t</m:t>
            </m:r>
          </m:sub>
        </m:sSub>
        <m:r>
          <w:rPr>
            <w:sz w:val="18"/>
          </w:rPr>
          <m:rPr>
            <m:sty m:val="p"/>
          </m:rPr>
          <m:t>−</m:t>
        </m:r>
        <m:r>
          <w:rPr>
            <w:sz w:val="18"/>
          </w:rPr>
          <m:t>Δ</m:t>
        </m:r>
        <m:sSub>
          <m:e>
            <m:r>
              <w:rPr>
                <w:sz w:val="18"/>
              </w:rPr>
              <m:t>L</m:t>
            </m:r>
          </m:e>
          <m:sub>
            <m:r>
              <w:rPr>
                <w:sz w:val="18"/>
              </w:rPr>
              <m:t>t</m:t>
            </m:r>
          </m:sub>
        </m:sSub>
      </m:oMath>
    </w:p>
    <w:p>
      <w:pPr>
        <w:keepNext/>
        <w:spacing w:before="40" w:after="60"/>
      </w:pPr>
      <w:r>
        <w:rPr>
          <w:rFonts w:ascii="Lato" w:hAnsi="Lato"/>
          <w:color w:val="315B50"/>
          <w:sz w:val="16"/>
        </w:rPr>
        <w:t>Todas las diferencias son EP menos EA congelado sobre igual soporte antes de incertidumbre y reserva. r = deltaQ - (deltaBL - deltaPJ - deltaL) es residual aritmético. Diferencia de pronóstico no equivale a mitigación, causalidad o hallazgo de materialidad.</w:t>
      </w:r>
    </w:p>
    <w:p>
      <w:pPr>
        <w:keepNext/>
        <w:spacing w:before="40" w:after="60"/>
      </w:pPr>
      <w:r>
        <w:rPr>
          <w:rFonts w:ascii="Lato" w:hAnsi="Lato"/>
          <w:color w:val="315B50"/>
          <w:sz w:val="14"/>
        </w:rPr>
        <w:t>Base: M04.5; P-13; identidad de comparación | Libro: Comparison!D:J</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Versión ex ante y fecha original</w:t>
            </w:r>
          </w:p>
          <w:p>
            <w:pPr>
              <w:spacing w:before="40" w:after="40"/>
            </w:pPr>
            <m:oMath>
              <m:r>
                <w:rPr>
                  <w:sz w:val="16"/>
                  <w:color w:val="173E34"/>
                </w:rPr>
                <m:t>t</m:t>
              </m:r>
              <m:r>
                <w:rPr>
                  <w:sz w:val="16"/>
                  <w:color w:val="173E34"/>
                </w:rPr>
                <m:rPr>
                  <m:sty m:val="p"/>
                </m:rPr>
                <m:t>,</m:t>
              </m:r>
              <m:r>
                <w:rPr>
                  <w:sz w:val="16"/>
                  <w:color w:val="173E34"/>
                </w:rPr>
                <m:t> </m:t>
              </m:r>
              <m:r>
                <w:rPr>
                  <w:sz w:val="16"/>
                  <w:color w:val="173E34"/>
                </w:rPr>
                <m:t>z</m:t>
              </m:r>
            </m:oMath>
          </w:p>
        </w:tc>
        <w:tc>
          <w:tcPr>
            <w:tcW w:type="dxa" w:w="3250"/>
            <w:tcMar>
              <w:top w:w="90" w:type="dxa"/>
              <w:bottom w:w="90" w:type="dxa"/>
              <w:left w:w="100" w:type="dxa"/>
              <w:right w:w="100" w:type="dxa"/>
            </w:tcMar>
            <w:vAlign w:val="center"/>
            <w:shd w:fill="E6F0EB"/>
          </w:tcPr>
          <w:p>
            <w:r>
              <w:rPr>
                <w:rFonts w:ascii="Lato" w:hAnsi="Lato"/>
                <w:b/>
                <w:color w:val="173E34"/>
                <w:sz w:val="17"/>
              </w:rPr>
              <w:t>Registro ex post y soporte de observación</w:t>
            </w:r>
          </w:p>
          <w:p>
            <w:pPr>
              <w:spacing w:before="40" w:after="40"/>
            </w:pPr>
            <m:oMath>
              <m:sSubSup>
                <m:e>
                  <m:r>
                    <w:rPr>
                      <w:sz w:val="16"/>
                      <w:color w:val="173E34"/>
                    </w:rPr>
                    <m:t>Q</m:t>
                  </m:r>
                </m:e>
                <m:sub>
                  <m:r>
                    <w:rPr>
                      <w:sz w:val="16"/>
                      <w:color w:val="173E34"/>
                    </w:rPr>
                    <m:t>t</m:t>
                  </m:r>
                </m:sub>
                <m:sup>
                  <m:r>
                    <w:rPr>
                      <w:sz w:val="16"/>
                      <w:color w:val="173E34"/>
                    </w:rPr>
                    <m:rPr>
                      <m:sty m:val="p"/>
                    </m:rPr>
                    <m:t>E</m:t>
                  </m:r>
                  <m:r>
                    <w:rPr>
                      <w:sz w:val="16"/>
                      <w:color w:val="173E34"/>
                    </w:rPr>
                    <m:rPr>
                      <m:sty m:val="p"/>
                    </m:rPr>
                    <m:t>A</m:t>
                  </m:r>
                </m:sup>
              </m:sSubSup>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E</m:t>
                  </m:r>
                  <m:r>
                    <w:rPr>
                      <w:sz w:val="16"/>
                      <w:color w:val="173E34"/>
                    </w:rPr>
                    <m:rPr>
                      <m:sty m:val="p"/>
                    </m:rPr>
                    <m:t>P</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Alcance OVV / decisión receptora</w:t>
            </w:r>
          </w:p>
          <w:p>
            <w:pPr>
              <w:spacing w:before="40" w:after="40"/>
            </w:pPr>
            <m:oMath>
              <m:r>
                <w:rPr>
                  <w:sz w:val="16"/>
                  <w:color w:val="173E34"/>
                </w:rPr>
                <m:t>Δ</m:t>
              </m:r>
              <m:sSub>
                <m:e>
                  <m:r>
                    <w:rPr>
                      <w:sz w:val="16"/>
                      <w:color w:val="173E34"/>
                    </w:rPr>
                    <m:t>Q</m:t>
                  </m:r>
                </m:e>
                <m:sub>
                  <m:r>
                    <w:rPr>
                      <w:sz w:val="16"/>
                      <w:color w:val="173E34"/>
                    </w:rPr>
                    <m:t>t</m:t>
                  </m:r>
                </m:sub>
              </m:sSub>
              <m:r>
                <w:rPr>
                  <w:sz w:val="16"/>
                  <w:color w:val="173E34"/>
                </w:rPr>
                <m:rPr>
                  <m:sty m:val="p"/>
                </m:rPr>
                <m:t>,</m:t>
              </m:r>
              <m:r>
                <w:rPr>
                  <w:sz w:val="16"/>
                  <w:color w:val="173E34"/>
                </w:rPr>
                <m:t> </m:t>
              </m:r>
              <m:sSub>
                <m:e>
                  <m:r>
                    <w:rPr>
                      <w:sz w:val="16"/>
                      <w:color w:val="173E34"/>
                    </w:rPr>
                    <m:t>r</m:t>
                  </m:r>
                </m:e>
                <m:sub>
                  <m:r>
                    <w:rPr>
                      <w:sz w:val="16"/>
                      <w:color w:val="173E34"/>
                    </w:rPr>
                    <m:t>t</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6-0-ES-1-1"/>
                <w:tag w:val="sec_06-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6-0-ES-1-2"/>
                <w:tag w:val="sec_06-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6-0-ES-1-3"/>
                <w:tag w:val="sec_06-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6-0-ES-2-1"/>
                <w:tag w:val="sec_06-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6-0-ES-2-2"/>
                <w:tag w:val="sec_06-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6-0-ES-2-3"/>
                <w:tag w:val="sec_06-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6-0-ES-3-1"/>
                <w:tag w:val="sec_06-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6-0-ES-3-2"/>
                <w:tag w:val="sec_06-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6-0-ES-3-3"/>
                <w:tag w:val="sec_06-0-ES-3-3"/>
                <w:text/>
              </w:sdtPr>
              <w:sdtContent>
                <w:r>
                  <w:rPr>
                    <w:rFonts w:ascii="Lato" w:hAnsi="Lato"/>
                    <w:sz w:val="18"/>
                    <w:color w:val="62716E"/>
                  </w:rPr>
                  <w:t>[Completar]</w:t>
                </w:r>
              </w:sdtContent>
            </w:sdt>
          </w:p>
        </w:tc>
      </w:tr>
    </w:tbl>
    <w:p>
      <w:pPr>
        <w:spacing w:after="0"/>
      </w:pPr>
    </w:p>
    <w:p>
      <w:pPr>
        <w:pStyle w:val="Heading2"/>
        <w:keepNext/>
      </w:pPr>
      <w:r>
        <w:t>Períodos históricos y futuros</w:t>
      </w:r>
    </w:p>
    <w:p>
      <w:pPr>
        <w:spacing w:after="80"/>
      </w:pPr>
      <w:r>
        <w:rPr>
          <w:rFonts w:ascii="Lato" w:hAnsi="Lato"/>
          <w:b w:val="0"/>
          <w:color w:val="62716E"/>
          <w:sz w:val="18"/>
        </w:rPr>
        <w:t>Especificar si cada período es original, reconstruido, reexpresado, reportado, verificado o autorizado. Conservar proyección original antes de reexpresión comparable. Separar resultados históricos no emitidos de proyecciones futuras y emisiones anteriores.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6-1-ES"/>
                <w:tag w:val="sec_06-1-ES"/>
                <w:text/>
              </w:sdtPr>
              <w:sdtContent>
                <w:r>
                  <w:rPr>
                    <w:rFonts w:ascii="Lato" w:hAnsi="Lato"/>
                    <w:sz w:val="18"/>
                    <w:color w:val="62716E"/>
                  </w:rPr>
                  <w:t>[Registrar respuesta y referencias exactas de evidencia.]</w:t>
                </w:r>
              </w:sdtContent>
            </w:sdt>
          </w:p>
        </w:tc>
      </w:tr>
    </w:tbl>
    <w:p>
      <w:pPr>
        <w:spacing w:after="20" w:before="0" w:line="96" w:lineRule="auto"/>
      </w:pPr>
    </w:p>
    <w:p>
      <w:bookmarkStart w:id="3007" w:name="sec_07"/>
      <w:pPr>
        <w:pStyle w:val="Heading1"/>
        <w:keepNext/>
        <w:pageBreakBefore/>
      </w:pPr>
      <w:r>
        <w:t>07  Continuidad de adicionalidad, traslapes y salvaguardas</w:t>
      </w:r>
      <w:bookmarkEnd w:id="3007"/>
    </w:p>
    <w:p>
      <w:pPr>
        <w:spacing w:after="120"/>
      </w:pPr>
      <w:r>
        <w:rPr>
          <w:rFonts w:ascii="Lato" w:hAnsi="Lato"/>
          <w:b w:val="0"/>
          <w:color w:val="62716E"/>
          <w:sz w:val="16"/>
        </w:rPr>
        <w:t>[1] Referencia: AO-01; AO-05; AO-08; AO-10; AO-11; AO-12; MIG-06</w:t>
      </w:r>
    </w:p>
    <w:p>
      <w:pPr>
        <w:pStyle w:val="Heading2"/>
        <w:keepNext/>
      </w:pPr>
      <w:r>
        <w:t>Intervenciones y derechos existentes</w:t>
      </w:r>
    </w:p>
    <w:p>
      <w:pPr>
        <w:spacing w:after="80"/>
      </w:pPr>
      <w:r>
        <w:rPr>
          <w:rFonts w:ascii="Lato" w:hAnsi="Lato"/>
          <w:b w:val="0"/>
          <w:color w:val="62716E"/>
          <w:sz w:val="18"/>
        </w:rPr>
        <w:t>Conservar actividades previas, autoridad, participación y salvaguardas pertinentes. Un solicitante nuevo no puede suponer sin intervención un área con actividades existentes. Distinguir traslape poligonal de intersección real de declaraciones y documentar resultados compartidos sin multiplicarlos.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7-0-ES"/>
                <w:tag w:val="sec_07-0-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Continuidad y alcance controvertido</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Derecho / intervención / queja</w:t>
            </w:r>
          </w:p>
        </w:tc>
        <w:tc>
          <w:tcPr>
            <w:tcW w:type="dxa" w:w="3250"/>
            <w:shd w:fill="215F52"/>
            <w:tcMar>
              <w:top w:w="90" w:type="dxa"/>
              <w:bottom w:w="90" w:type="dxa"/>
              <w:left w:w="100" w:type="dxa"/>
              <w:right w:w="100" w:type="dxa"/>
            </w:tcMar>
            <w:vAlign w:val="center"/>
          </w:tcPr>
          <w:p>
            <w:r>
              <w:rPr>
                <w:rFonts w:ascii="Lato" w:hAnsi="Lato"/>
                <w:b/>
                <w:color w:val="FFFFFF"/>
                <w:sz w:val="17"/>
              </w:rPr>
              <w:t>Evidencia y decisión anterior</w:t>
            </w:r>
          </w:p>
        </w:tc>
        <w:tc>
          <w:tcPr>
            <w:tcW w:type="dxa" w:w="3250"/>
            <w:shd w:fill="215F52"/>
            <w:tcMar>
              <w:top w:w="90" w:type="dxa"/>
              <w:bottom w:w="90" w:type="dxa"/>
              <w:left w:w="100" w:type="dxa"/>
              <w:right w:w="100" w:type="dxa"/>
            </w:tcMar>
            <w:vAlign w:val="center"/>
          </w:tcPr>
          <w:p>
            <w:r>
              <w:rPr>
                <w:rFonts w:ascii="Lato" w:hAnsi="Lato"/>
                <w:b/>
                <w:color w:val="FFFFFF"/>
                <w:sz w:val="17"/>
              </w:rPr>
              <w:t>Conclusión actual / reparación / restricción</w:t>
            </w:r>
          </w:p>
        </w:tc>
      </w:tr>
      <w:tr>
        <w:trPr>
          <w:trHeight w:val="510"/>
        </w:trPr>
        <w:tc>
          <w:tcPr>
            <w:tcW w:type="dxa" w:w="3250"/>
            <w:tcMar>
              <w:top w:w="90" w:type="dxa"/>
              <w:bottom w:w="90" w:type="dxa"/>
              <w:left w:w="100" w:type="dxa"/>
              <w:right w:w="100" w:type="dxa"/>
            </w:tcMar>
            <w:shd w:fill="F1F5F2"/>
          </w:tcPr>
          <w:p>
            <w:pPr>
              <w:spacing w:after="20"/>
            </w:pPr>
            <w:sdt>
              <w:sdtPr>
                <w:alias w:val="sec_07-1-ES-1-1"/>
                <w:tag w:val="sec_07-1-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7-1-ES-1-2"/>
                <w:tag w:val="sec_07-1-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7-1-ES-1-3"/>
                <w:tag w:val="sec_07-1-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7-1-ES-2-1"/>
                <w:tag w:val="sec_07-1-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7-1-ES-2-2"/>
                <w:tag w:val="sec_07-1-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7-1-ES-2-3"/>
                <w:tag w:val="sec_07-1-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7-1-ES-3-1"/>
                <w:tag w:val="sec_07-1-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7-1-ES-3-2"/>
                <w:tag w:val="sec_07-1-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7-1-ES-3-3"/>
                <w:tag w:val="sec_07-1-ES-3-3"/>
                <w:text/>
              </w:sdtPr>
              <w:sdtContent>
                <w:r>
                  <w:rPr>
                    <w:rFonts w:ascii="Lato" w:hAnsi="Lato"/>
                    <w:sz w:val="18"/>
                    <w:color w:val="62716E"/>
                  </w:rPr>
                  <w:t>[Completar]</w:t>
                </w:r>
              </w:sdtContent>
            </w:sdt>
          </w:p>
        </w:tc>
      </w:tr>
    </w:tbl>
    <w:p>
      <w:pPr>
        <w:spacing w:after="0"/>
      </w:pPr>
    </w:p>
    <w:p>
      <w:bookmarkStart w:id="3008" w:name="sec_08"/>
      <w:pPr>
        <w:pStyle w:val="Heading1"/>
        <w:keepNext/>
        <w:pageBreakBefore/>
      </w:pPr>
      <w:r>
        <w:t>08  Decisión receptora y entrega al monitoreo</w:t>
      </w:r>
      <w:bookmarkEnd w:id="3008"/>
    </w:p>
    <w:p>
      <w:pPr>
        <w:spacing w:after="120"/>
      </w:pPr>
      <w:r>
        <w:rPr>
          <w:rFonts w:ascii="Lato" w:hAnsi="Lato"/>
          <w:b w:val="0"/>
          <w:color w:val="62716E"/>
          <w:sz w:val="16"/>
        </w:rPr>
        <w:t>[1] Referencia: MIG-09; MIG-10; MIG-11; MIG-16; MIG-17; P-09; FRM-06</w:t>
      </w:r>
    </w:p>
    <w:p>
      <w:pPr>
        <w:pStyle w:val="Heading2"/>
        <w:keepNext/>
      </w:pPr>
      <w:r>
        <w:t>Requisito y decisión</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Requisito NEBIOT / evidencia fuente</w:t>
            </w:r>
          </w:p>
        </w:tc>
        <w:tc>
          <w:tcPr>
            <w:tcW w:type="dxa" w:w="3250"/>
            <w:shd w:fill="215F52"/>
            <w:tcMar>
              <w:top w:w="90" w:type="dxa"/>
              <w:bottom w:w="90" w:type="dxa"/>
              <w:left w:w="100" w:type="dxa"/>
              <w:right w:w="100" w:type="dxa"/>
            </w:tcMar>
            <w:vAlign w:val="center"/>
          </w:tcPr>
          <w:p>
            <w:r>
              <w:rPr>
                <w:rFonts w:ascii="Lato" w:hAnsi="Lato"/>
                <w:b/>
                <w:color w:val="FFFFFF"/>
                <w:sz w:val="17"/>
              </w:rPr>
              <w:t>Alcance aceptado, condicional o no aceptado</w:t>
            </w:r>
          </w:p>
        </w:tc>
        <w:tc>
          <w:tcPr>
            <w:tcW w:type="dxa" w:w="3250"/>
            <w:shd w:fill="215F52"/>
            <w:tcMar>
              <w:top w:w="90" w:type="dxa"/>
              <w:bottom w:w="90" w:type="dxa"/>
              <w:left w:w="100" w:type="dxa"/>
              <w:right w:w="100" w:type="dxa"/>
            </w:tcMar>
            <w:vAlign w:val="center"/>
          </w:tcPr>
          <w:p>
            <w:r>
              <w:rPr>
                <w:rFonts w:ascii="Lato" w:hAnsi="Lato"/>
                <w:b/>
                <w:color w:val="FFFFFF"/>
                <w:sz w:val="17"/>
              </w:rPr>
              <w:t>Corrección / responsable / decisión independiente</w:t>
            </w:r>
          </w:p>
        </w:tc>
      </w:tr>
      <w:tr>
        <w:trPr>
          <w:trHeight w:val="510"/>
        </w:trPr>
        <w:tc>
          <w:tcPr>
            <w:tcW w:type="dxa" w:w="3250"/>
            <w:tcMar>
              <w:top w:w="90" w:type="dxa"/>
              <w:bottom w:w="90" w:type="dxa"/>
              <w:left w:w="100" w:type="dxa"/>
              <w:right w:w="100" w:type="dxa"/>
            </w:tcMar>
            <w:shd w:fill="F1F5F2"/>
          </w:tcPr>
          <w:p>
            <w:pPr>
              <w:spacing w:after="20"/>
            </w:pPr>
            <w:sdt>
              <w:sdtPr>
                <w:alias w:val="sec_08-0-ES-1-1"/>
                <w:tag w:val="sec_08-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0-ES-1-2"/>
                <w:tag w:val="sec_08-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0-ES-1-3"/>
                <w:tag w:val="sec_08-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8-0-ES-2-1"/>
                <w:tag w:val="sec_08-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8-0-ES-2-2"/>
                <w:tag w:val="sec_08-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8-0-ES-2-3"/>
                <w:tag w:val="sec_08-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8-0-ES-3-1"/>
                <w:tag w:val="sec_08-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0-ES-3-2"/>
                <w:tag w:val="sec_08-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0-ES-3-3"/>
                <w:tag w:val="sec_08-0-ES-3-3"/>
                <w:text/>
              </w:sdtPr>
              <w:sdtContent>
                <w:r>
                  <w:rPr>
                    <w:rFonts w:ascii="Lato" w:hAnsi="Lato"/>
                    <w:sz w:val="18"/>
                    <w:color w:val="62716E"/>
                  </w:rPr>
                  <w:t>[Completar]</w:t>
                </w:r>
              </w:sdtContent>
            </w:sdt>
          </w:p>
        </w:tc>
      </w:tr>
    </w:tbl>
    <w:p>
      <w:pPr>
        <w:spacing w:after="0"/>
      </w:pPr>
    </w:p>
    <w:p>
      <w:pPr>
        <w:pStyle w:val="Heading2"/>
        <w:keepNext/>
      </w:pPr>
      <w:r>
        <w:t>Transición y reporte posterior</w:t>
      </w:r>
    </w:p>
    <w:p>
      <w:pPr>
        <w:spacing w:after="80"/>
      </w:pPr>
      <w:r>
        <w:rPr>
          <w:rFonts w:ascii="Lato" w:hAnsi="Lato"/>
          <w:b w:val="0"/>
          <w:color w:val="62716E"/>
          <w:sz w:val="18"/>
        </w:rPr>
        <w:t>Registrar versiones, transición, restricciones, custodia, partes responsables, acciones de monitoreo y pasivos. Conservar archivo original por separado. Indicar lo permitido y lo bloqueado; la conciliación no produce por sí sola NVEU nueva.</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8-1-ES"/>
                <w:tag w:val="sec_08-1-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Firmas y autoridad</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Función / organización</w:t>
            </w:r>
          </w:p>
        </w:tc>
        <w:tc>
          <w:tcPr>
            <w:tcW w:type="dxa" w:w="3250"/>
            <w:shd w:fill="215F52"/>
            <w:tcMar>
              <w:top w:w="90" w:type="dxa"/>
              <w:bottom w:w="90" w:type="dxa"/>
              <w:left w:w="100" w:type="dxa"/>
              <w:right w:w="100" w:type="dxa"/>
            </w:tcMar>
            <w:vAlign w:val="center"/>
          </w:tcPr>
          <w:p>
            <w:r>
              <w:rPr>
                <w:rFonts w:ascii="Lato" w:hAnsi="Lato"/>
                <w:b/>
                <w:color w:val="FFFFFF"/>
                <w:sz w:val="17"/>
              </w:rPr>
              <w:t>Nombre, fecha y firma</w:t>
            </w:r>
          </w:p>
        </w:tc>
        <w:tc>
          <w:tcPr>
            <w:tcW w:type="dxa" w:w="3250"/>
            <w:shd w:fill="215F52"/>
            <w:tcMar>
              <w:top w:w="90" w:type="dxa"/>
              <w:bottom w:w="90" w:type="dxa"/>
              <w:left w:w="100" w:type="dxa"/>
              <w:right w:w="100" w:type="dxa"/>
            </w:tcMar>
            <w:vAlign w:val="center"/>
          </w:tcPr>
          <w:p>
            <w:r>
              <w:rPr>
                <w:rFonts w:ascii="Lato" w:hAnsi="Lato"/>
                <w:b/>
                <w:color w:val="FFFFFF"/>
                <w:sz w:val="17"/>
              </w:rPr>
              <w:t>Mandato / decisión / referencia de evidencia</w:t>
            </w:r>
          </w:p>
        </w:tc>
      </w:tr>
      <w:tr>
        <w:trPr>
          <w:trHeight w:val="510"/>
        </w:trPr>
        <w:tc>
          <w:tcPr>
            <w:tcW w:type="dxa" w:w="3250"/>
            <w:tcMar>
              <w:top w:w="90" w:type="dxa"/>
              <w:bottom w:w="90" w:type="dxa"/>
              <w:left w:w="100" w:type="dxa"/>
              <w:right w:w="100" w:type="dxa"/>
            </w:tcMar>
            <w:shd w:fill="F1F5F2"/>
          </w:tcPr>
          <w:p>
            <w:pPr>
              <w:spacing w:after="20"/>
            </w:pPr>
            <w:sdt>
              <w:sdtPr>
                <w:alias w:val="sec_08-2-ES-1-1"/>
                <w:tag w:val="sec_08-2-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2-ES-1-2"/>
                <w:tag w:val="sec_08-2-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2-ES-1-3"/>
                <w:tag w:val="sec_08-2-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8-2-ES-2-1"/>
                <w:tag w:val="sec_08-2-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8-2-ES-2-2"/>
                <w:tag w:val="sec_08-2-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8-2-ES-2-3"/>
                <w:tag w:val="sec_08-2-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8-2-ES-3-1"/>
                <w:tag w:val="sec_08-2-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2-ES-3-2"/>
                <w:tag w:val="sec_08-2-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2-ES-3-3"/>
                <w:tag w:val="sec_08-2-ES-3-3"/>
                <w:text/>
              </w:sdtPr>
              <w:sdtContent>
                <w:r>
                  <w:rPr>
                    <w:rFonts w:ascii="Lato" w:hAnsi="Lato"/>
                    <w:sz w:val="18"/>
                    <w:color w:val="62716E"/>
                  </w:rPr>
                  <w:t>[Completar]</w:t>
                </w:r>
              </w:sdtContent>
            </w:sdt>
          </w:p>
        </w:tc>
      </w:tr>
    </w:tbl>
    <w:p>
      <w:bookmarkStart w:id="99001" w:name="calc_register"/>
      <w:pPr>
        <w:pStyle w:val="Heading1"/>
        <w:keepNext/>
        <w:pageBreakBefore/>
      </w:pPr>
      <w:r>
        <w:t>CALC — Trazabilidad y notación del cálculo</w:t>
      </w:r>
      <w:bookmarkEnd w:id="99001"/>
    </w:p>
    <w:p>
      <w:pPr>
        <w:spacing w:after="100"/>
      </w:pPr>
      <w:r>
        <w:t>Registrar cada cantidad calculada como una fila identificada de forma única. Conservar la expresión fuente exacta y una expresión separada para toda adaptación a NEBIOT. Traducir una etiqueta no cambia una fórmula. Unidades, reservorios incluidos, signo, período, estado de entrada y dominio matemático forman parte del registro. Una tabla administrativa no necesita ecuación inventada. Variables fuente ambiguas requieren aclaración, no significado supuesto.</w:t>
      </w:r>
    </w:p>
    <w:p>
      <w:pPr>
        <w:pStyle w:val="Heading2"/>
        <w:keepNext/>
        <w:spacing w:after="100"/>
      </w:pPr>
      <w:r>
        <w:t>Índices y estado</w:t>
      </w:r>
    </w:p>
    <w:p>
      <w:pPr>
        <w:spacing w:after="100"/>
      </w:pPr>
      <w:r>
        <w:t>EA = pronóstico fechado; EP = cuenta del período reportado; t = intervalo; i,j = estratos o clases declarados; o = órgano o reservorio disjunto; g = gas; tau = cohorte de perturbación; l = fila de cálculo/componente.</w:t>
      </w:r>
    </w:p>
    <w:p>
      <w:pPr>
        <w:pStyle w:val="Heading2"/>
        <w:keepNext/>
        <w:spacing w:after="100"/>
      </w:pPr>
      <w:r>
        <w:t>Registro de un cálculo — repetir por resultado</w:t>
      </w:r>
    </w:p>
    <w:tbl>
      <w:tblPr>
        <w:tblW w:type="auto" w:w="0"/>
        <w:tblLayout w:type="fixed"/>
        <w:tblLook w:firstColumn="1" w:firstRow="1" w:lastColumn="0" w:lastRow="0" w:noHBand="0" w:noVBand="1" w:val="04A0"/>
      </w:tblPr>
      <w:tblGrid>
        <w:gridCol w:w="3240"/>
        <w:gridCol w:w="6120"/>
      </w:tblGrid>
      <w:tr>
        <w:trPr/>
        <w:tc>
          <w:tcPr>
            <w:tcW w:type="dxa" w:w="4873"/>
            <w:shd w:fill="215F52"/>
          </w:tcPr>
          <w:p>
            <w:pPr>
              <w:spacing w:after="80"/>
            </w:pPr>
            <w:r>
              <w:rPr>
                <w:rFonts w:ascii="Lato" w:hAnsi="Lato"/>
                <w:b/>
                <w:color w:val="FFFFFF"/>
                <w:sz w:val="18"/>
              </w:rPr>
              <w:t>Campo</w:t>
            </w:r>
          </w:p>
        </w:tc>
        <w:tc>
          <w:tcPr>
            <w:tcW w:type="dxa" w:w="4873"/>
            <w:shd w:fill="215F52"/>
          </w:tcPr>
          <w:p>
            <w:pPr>
              <w:spacing w:after="80"/>
            </w:pPr>
            <w:r>
              <w:rPr>
                <w:rFonts w:ascii="Lato" w:hAnsi="Lato"/>
                <w:b/>
                <w:color w:val="FFFFFF"/>
                <w:sz w:val="18"/>
              </w:rPr>
              <w:t>Registro</w:t>
            </w:r>
          </w:p>
        </w:tc>
      </w:tr>
      <w:tr>
        <w:trPr/>
        <w:tc>
          <w:tcPr>
            <w:tcW w:type="dxa" w:w="3240"/>
          </w:tcPr>
          <w:p>
            <w:pPr>
              <w:spacing w:after="80"/>
            </w:pPr>
            <w:r>
              <w:rPr>
                <w:rFonts w:ascii="Lato" w:hAnsi="Lato"/>
                <w:sz w:val="18"/>
              </w:rPr>
              <w:t>Fila de cálculo / símbolo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Definición y uso previsto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Archivo fuente / versión / huella exactos</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Hoja / celda o ID del registro bruto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Expresión original y unidad original</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Entradas: símbolos, valores, unidades y períodos</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Ecuación receptora / identificador del estándar</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Transformación, conversión y justificación</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Valores intermedios y finales sin redondear</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Tabla / fila / ubicación de salida en informe</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Diferencia de recálculo / base de tolerancia</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Revisor independiente / hallazgo / decisión</w:t>
            </w:r>
          </w:p>
        </w:tc>
        <w:tc>
          <w:tcPr>
            <w:tcW w:type="dxa" w:w="6120"/>
          </w:tcPr>
          <w:p>
            <w:pPr>
              <w:spacing w:after="80"/>
            </w:pPr>
            <w:r>
              <w:rPr>
                <w:rFonts w:ascii="Lato" w:hAnsi="Lato"/>
                <w:sz w:val="18"/>
              </w:rPr>
              <w:t>[Completar]</w:t>
            </w:r>
          </w:p>
        </w:tc>
      </w:tr>
    </w:tbl>
    <w:p>
      <w:pPr>
        <w:pStyle w:val="Heading2"/>
        <w:keepNext/>
        <w:spacing w:after="100"/>
      </w:pPr>
      <w:r>
        <w:t>Comparación aritmética, no materialidad</w:t>
      </w:r>
    </w:p>
    <w:p>
      <w:pPr>
        <w:spacing w:after="100"/>
      </w:pPr>
      <m:oMath>
        <m:sSub>
          <m:e>
            <m:r>
              <w:rPr>
                <w:sz w:val="20"/>
              </w:rPr>
              <m:t>δ</m:t>
            </m:r>
          </m:e>
          <m:sub>
            <m:r>
              <w:rPr>
                <w:sz w:val="20"/>
              </w:rPr>
              <m:rPr>
                <m:sty m:val="p"/>
              </m:rPr>
              <m:t>ℓ</m:t>
            </m:r>
          </m:sub>
        </m:sSub>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c</m:t>
            </m:r>
            <m:r>
              <w:rPr>
                <w:sz w:val="20"/>
              </w:rPr>
              <m:rPr>
                <m:sty m:val="p"/>
              </m:rPr>
              <m:t>a</m:t>
            </m:r>
            <m:r>
              <w:rPr>
                <w:sz w:val="20"/>
              </w:rPr>
              <m:rPr>
                <m:sty m:val="p"/>
              </m:rPr>
              <m:t>l</m:t>
            </m:r>
            <m:r>
              <w:rPr>
                <w:sz w:val="20"/>
              </w:rPr>
              <m:rPr>
                <m:sty m:val="p"/>
              </m:rPr>
              <m:t>c</m:t>
            </m:r>
          </m:sup>
        </m:sSubSup>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oMath>
    </w:p>
    <w:p>
      <w:pPr>
        <w:spacing w:after="100"/>
      </w:pPr>
      <m:oMath>
        <m:d>
          <m:dPr>
            <m:begChr m:val="|"/>
            <m:endChr m:val="|"/>
            <m:sepChr m:val=""/>
            <m:grow/>
          </m:dPr>
          <m:e>
            <m:sSub>
              <m:e>
                <m:r>
                  <w:rPr>
                    <w:sz w:val="20"/>
                  </w:rPr>
                  <m:t>δ</m:t>
                </m:r>
              </m:e>
              <m:sub>
                <m:r>
                  <w:rPr>
                    <w:sz w:val="20"/>
                  </w:rPr>
                  <m:rPr>
                    <m:sty m:val="p"/>
                  </m:rPr>
                  <m:t>ℓ</m:t>
                </m:r>
              </m:sub>
            </m:sSub>
          </m:e>
        </m:d>
        <m:r>
          <w:rPr>
            <w:sz w:val="20"/>
          </w:rPr>
          <m:rPr>
            <m:sty m:val="p"/>
          </m:rPr>
          <m:t>≤</m:t>
        </m:r>
        <m:sSub>
          <m:e>
            <m:r>
              <w:rPr>
                <w:sz w:val="20"/>
              </w:rPr>
              <m:t>ε</m:t>
            </m:r>
          </m:e>
          <m:sub>
            <m:r>
              <w:rPr>
                <w:sz w:val="20"/>
              </w:rPr>
              <m:t>a</m:t>
            </m:r>
          </m:sub>
        </m:sSub>
        <m:r>
          <w:rPr>
            <w:sz w:val="20"/>
          </w:rPr>
          <m:rPr>
            <m:sty m:val="p"/>
          </m:rPr>
          <m:t>+</m:t>
        </m:r>
        <m:sSub>
          <m:e>
            <m:r>
              <w:rPr>
                <w:sz w:val="20"/>
              </w:rPr>
              <m:t>ε</m:t>
            </m:r>
          </m:e>
          <m:sub>
            <m:r>
              <w:rPr>
                <w:sz w:val="20"/>
              </w:rPr>
              <m:t>r</m:t>
            </m:r>
          </m:sub>
        </m:sSub>
        <m:d>
          <m:dPr>
            <m:begChr m:val="|"/>
            <m:endChr m:val="|"/>
            <m:sepChr m:val=""/>
            <m:grow/>
          </m:dPr>
          <m:e>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e>
        </m:d>
      </m:oMath>
    </w:p>
    <w:p>
      <w:pPr>
        <w:spacing w:after="100"/>
      </w:pPr>
      <w:r>
        <w:t>La tolerancia absoluta tiene la unidad del resultado; la relativa es adimensional. Son parámetros de comparación informática, no materialidad. Comparar valores sin redondear. Reproducir primero el método fuente y registrar por separado armonización o cambio metodológico.</w:t>
      </w:r>
    </w:p>
    <w:sectPr w:rsidR="00FC693F" w:rsidRPr="0006063C" w:rsidSect="00034616">
      <w:headerReference w:type="default" r:id="rId9"/>
      <w:footerReference w:type="default" r:id="rId10"/>
      <w:headerReference w:type="first" r:id="rId12"/>
      <w:footerReference w:type="first" r:id="rId13"/>
      <w:pgSz w:w="11906" w:h="16838"/>
      <w:pgMar w:top="936" w:right="1080" w:bottom="950" w:left="1080"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9" w:val="right"/>
      </w:tabs>
      <w:spacing w:before="60"/>
      <w:pBdr>
        <w:top w:val="single" w:sz="4" w:color="C9D5CE" w:space="5"/>
      </w:pBdr>
    </w:pPr>
    <w:r>
      <w:rPr>
        <w:rFonts w:ascii="Arial" w:hAnsi="Arial"/>
        <w:b w:val="0"/>
        <w:i w:val="0"/>
        <w:color w:val="62716E"/>
        <w:sz w:val="14"/>
      </w:rPr>
      <w:t>PLANTILLA 1.2  / MIG-REC /  NEBIOT 0.8.2</w:t>
    </w:r>
    <w:r>
      <w:tab/>
    </w:r>
    <w:r>
      <w:rPr>
        <w:rFonts w:ascii="Arial" w:hAnsi="Arial"/>
        <w:b w:val="0"/>
        <w:i w:val="0"/>
        <w:color w:val="62716E"/>
        <w:sz w:val="14"/>
      </w:rPr>
      <w:t xml:space="preserve">Página </w:t>
    </w:r>
    <w:fldSimple w:instr="PAGE">
      <w:r>
        <w:t>1</w:t>
      </w:r>
    </w:fldSimple>
    <w:r>
      <w:t xml:space="preserve"> / </w:t>
    </w:r>
    <w:fldSimple w:instr="NUMPAGES">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49" w:val="right"/>
      </w:tabs>
      <w:spacing w:after="60"/>
      <w:pBdr>
        <w:bottom w:val="single" w:sz="4" w:color="C9D5CE" w:space="5"/>
      </w:pBdr>
    </w:pPr>
    <w:r>
      <w:rPr>
        <w:rFonts w:ascii="Arial" w:hAnsi="Arial"/>
        <w:b/>
        <w:i w:val="0"/>
        <w:color w:val="215F52"/>
        <w:sz w:val="16"/>
      </w:rPr>
      <w:t>NEBIOT   /   CONCILIACIÓN DE MIGRACIÓN</w:t>
    </w:r>
    <w:r>
      <w:tab/>
    </w:r>
    <w:r>
      <w:rPr>
        <w:rFonts w:ascii="Arial" w:hAnsi="Arial"/>
        <w:b w:val="0"/>
        <w:i w:val="0"/>
        <w:color w:val="62716E"/>
        <w:sz w:val="16"/>
      </w:rPr>
      <w:t>ES   |   1.2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Georgia" w:hAnsi="Georgia"/>
      <w:b/>
      <w:bCs/>
      <w:color w:val="215F52"/>
      <w:sz w:val="38"/>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rial" w:hAnsi="Arial"/>
      <w:b/>
      <w:bCs/>
      <w:color w:val="215F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40"/>
      <w:contextualSpacing/>
    </w:pPr>
    <w:rPr>
      <w:rFonts w:asciiTheme="majorHAnsi" w:eastAsiaTheme="majorEastAsia" w:hAnsiTheme="majorHAnsi" w:cstheme="majorBidi" w:ascii="Georgia" w:hAnsi="Georgia"/>
      <w:color w:val="215F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Conciliación de migración | NEBIOT</dc:title>
  <dc:subject>Reporting template | NEBIOT Standard 0.8.2</dc:subject>
  <dc:creator>Henry Arellano-Peña</dc:creator>
  <cp:keywords>NEBIOT, PD, template</cp:keywords>
  <dc:description/>
  <cp:lastModifiedBy>NEBIOT</cp:lastModifiedBy>
  <cp:revision>1</cp:revision>
  <dcterms:created xsi:type="dcterms:W3CDTF">2026-09-25T00:00:00Z</dcterms:created>
  <dcterms:modified xsi:type="dcterms:W3CDTF">2026-09-25T00:00:00Z</dcterms:modified>
  <cp:category>Project documentation template</cp:category>
  <cp:version>1.2</cp:version>
</cp:coreProperties>
</file>