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DOCUMENTACIÓN DEL PROYECTO</w:t>
      </w:r>
    </w:p>
    <w:p>
      <w:pPr>
        <w:jc w:val="center"/>
      </w:pPr>
      <w:r>
        <w:drawing>
          <wp:inline xmlns:a="http://schemas.openxmlformats.org/drawingml/2006/main" xmlns:pic="http://schemas.openxmlformats.org/drawingml/2006/picture">
            <wp:extent cx="5760720" cy="1918365"/>
            <wp:docPr id="1" name="Picture 1" descr="NEBIOT — Español"/>
            <wp:cNvGraphicFramePr>
              <a:graphicFrameLocks noChangeAspect="1"/>
            </wp:cNvGraphicFramePr>
            <a:graphic>
              <a:graphicData uri="http://schemas.openxmlformats.org/drawingml/2006/picture">
                <pic:pic>
                  <pic:nvPicPr>
                    <pic:cNvPr id="0" name="NEBIOT-Span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Autoridad del programa: Nuevo Estándar Biotropical — NEBIOT S.A.S.</w:t>
      </w:r>
    </w:p>
    <w:p>
      <w:pPr>
        <w:pStyle w:val="Title"/>
        <w:spacing w:after="160"/>
        <w:pBdr>
          <w:bottom w:val="single" w:sz="8" w:color="A6813D" w:space="5"/>
        </w:pBdr>
      </w:pPr>
      <w:r>
        <w:t>Nota de Idea de proyecto</w:t>
      </w:r>
    </w:p>
    <w:p>
      <w:pPr>
        <w:keepNext w:val="0"/>
        <w:spacing w:after="180" w:line="259" w:lineRule="auto"/>
      </w:pPr>
      <w:r>
        <w:rPr>
          <w:rFonts w:ascii="Arial" w:hAnsi="Arial"/>
          <w:b w:val="0"/>
          <w:i/>
          <w:color w:val="215F52"/>
          <w:sz w:val="21"/>
        </w:rPr>
        <w:t>NIP • Evaluación del concepto</w:t>
      </w:r>
    </w:p>
    <w:p>
      <w:pPr>
        <w:keepNext w:val="0"/>
        <w:spacing w:after="260" w:line="259" w:lineRule="auto"/>
      </w:pPr>
      <w:r>
        <w:rPr>
          <w:rFonts w:ascii="Arial" w:hAnsi="Arial"/>
          <w:b w:val="0"/>
          <w:i w:val="0"/>
          <w:color w:val="62716E"/>
          <w:sz w:val="17"/>
        </w:rPr>
        <w:t>Estándar de referencia: NEBIOT 0.8.2   |   Edición de plantilla 1.2</w:t>
      </w:r>
    </w:p>
    <w:p>
      <w:pPr>
        <w:keepNext w:val="0"/>
        <w:spacing w:after="200" w:line="259" w:lineRule="auto"/>
      </w:pPr>
      <w:r>
        <w:rPr>
          <w:rFonts w:ascii="Arial" w:hAnsi="Arial"/>
          <w:b w:val="0"/>
          <w:i/>
          <w:color w:val="215F52"/>
          <w:sz w:val="32"/>
        </w:rPr>
        <w:t>[NOMBRE DEL PROYECTO]</w:t>
      </w:r>
    </w:p>
    <w:p>
      <w:pPr>
        <w:spacing w:after="80"/>
      </w:pPr>
      <w:r>
        <w:rPr>
          <w:rFonts w:ascii="Arial" w:hAnsi="Arial"/>
          <w:b/>
          <w:i w:val="0"/>
          <w:color w:val="243A36"/>
          <w:sz w:val="18"/>
        </w:rPr>
        <w:t xml:space="preserve">ID del proyecto: </w:t>
      </w:r>
      <w:r>
        <w:rPr>
          <w:rFonts w:ascii="Arial" w:hAnsi="Arial"/>
          <w:b w:val="0"/>
          <w:i/>
          <w:color w:val="62716E"/>
          <w:sz w:val="18"/>
        </w:rPr>
        <w:t>[Completar]</w:t>
      </w:r>
    </w:p>
    <w:p>
      <w:pPr>
        <w:spacing w:after="80"/>
      </w:pPr>
      <w:r>
        <w:rPr>
          <w:rFonts w:ascii="Arial" w:hAnsi="Arial"/>
          <w:b/>
          <w:i w:val="0"/>
          <w:color w:val="243A36"/>
          <w:sz w:val="18"/>
        </w:rPr>
        <w:t xml:space="preserve">País / jurisdicción: </w:t>
      </w:r>
      <w:r>
        <w:rPr>
          <w:rFonts w:ascii="Arial" w:hAnsi="Arial"/>
          <w:b w:val="0"/>
          <w:i/>
          <w:color w:val="62716E"/>
          <w:sz w:val="18"/>
        </w:rPr>
        <w:t>[Completar]</w:t>
      </w:r>
    </w:p>
    <w:p>
      <w:pPr>
        <w:spacing w:after="80"/>
      </w:pPr>
      <w:r>
        <w:rPr>
          <w:rFonts w:ascii="Arial" w:hAnsi="Arial"/>
          <w:b/>
          <w:i w:val="0"/>
          <w:color w:val="243A36"/>
          <w:sz w:val="18"/>
        </w:rPr>
        <w:t xml:space="preserve">Versión del documento del proyecto: </w:t>
      </w:r>
      <w:r>
        <w:rPr>
          <w:rFonts w:ascii="Arial" w:hAnsi="Arial"/>
          <w:b w:val="0"/>
          <w:i/>
          <w:color w:val="62716E"/>
          <w:sz w:val="18"/>
        </w:rPr>
        <w:t>[Completar]</w:t>
      </w:r>
    </w:p>
    <w:p>
      <w:pPr>
        <w:spacing w:after="80"/>
      </w:pPr>
      <w:r>
        <w:rPr>
          <w:rFonts w:ascii="Arial" w:hAnsi="Arial"/>
          <w:b/>
          <w:i w:val="0"/>
          <w:color w:val="243A36"/>
          <w:sz w:val="18"/>
        </w:rPr>
        <w:t xml:space="preserve">Fecha de emisión (AAAA-MM-DD): </w:t>
      </w:r>
      <w:r>
        <w:rPr>
          <w:rFonts w:ascii="Arial" w:hAnsi="Arial"/>
          <w:b w:val="0"/>
          <w:i/>
          <w:color w:val="62716E"/>
          <w:sz w:val="18"/>
        </w:rPr>
        <w:t>[Completar]</w:t>
      </w:r>
    </w:p>
    <w:p>
      <w:pPr>
        <w:keepNext w:val="0"/>
        <w:spacing w:after="100" w:line="259" w:lineRule="auto"/>
      </w:pPr>
      <w:r>
        <w:rPr>
          <w:rFonts w:ascii="Arial" w:hAnsi="Arial"/>
          <w:b w:val="0"/>
          <w:i w:val="0"/>
          <w:color w:val="215F52"/>
          <w:sz w:val="21"/>
        </w:rPr>
        <w:t>Organizaciones ejecutoras y partes interesadas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ENTIDAD EJECUTORA</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PROPONENTE DEL PROYECTO</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TITULARES / PARTES INTERESADAS</w:t>
            </w:r>
          </w:p>
          <w:p>
            <w:pPr>
              <w:jc w:val="center"/>
            </w:pPr>
            <w:r>
              <w:rPr>
                <w:rFonts w:ascii="Arial" w:hAnsi="Arial"/>
                <w:b w:val="0"/>
                <w:i w:val="0"/>
                <w:color w:val="62716E"/>
                <w:sz w:val="16"/>
              </w:rPr>
              <w:t>[Insertar logotipo autorizado]</w:t>
            </w:r>
          </w:p>
          <w:p>
            <w:pPr>
              <w:jc w:val="center"/>
            </w:pPr>
            <w:r>
              <w:rPr>
                <w:rFonts w:ascii="Arial" w:hAnsi="Arial"/>
                <w:b w:val="0"/>
                <w:i/>
                <w:color w:val="62716E"/>
                <w:sz w:val="16"/>
              </w:rPr>
              <w:t>[Organización / función]</w:t>
            </w:r>
          </w:p>
        </w:tc>
      </w:tr>
    </w:tbl>
    <w:p>
      <w:pPr>
        <w:keepNext w:val="0"/>
        <w:spacing w:after="160" w:line="259" w:lineRule="auto"/>
      </w:pPr>
      <w:r>
        <w:rPr>
          <w:rFonts w:ascii="Arial" w:hAnsi="Arial"/>
          <w:b w:val="0"/>
          <w:i w:val="0"/>
          <w:color w:val="62716E"/>
          <w:sz w:val="16"/>
        </w:rPr>
        <w:t>Use logotipos autorizados e identifique la función real de cada organización. Exhibir un logotipo no establece consentimiento, propiedad, respaldo, validación ni admisión. Retire espacios sin usar de la presentación final.</w:t>
      </w:r>
    </w:p>
    <w:p>
      <w:pPr>
        <w:keepNext w:val="0"/>
        <w:spacing w:after="100" w:line="259" w:lineRule="auto"/>
      </w:pPr>
      <w:r>
        <w:rPr>
          <w:rFonts w:ascii="Arial" w:hAnsi="Arial"/>
          <w:b w:val="0"/>
          <w:i w:val="0"/>
          <w:color w:val="62716E"/>
          <w:sz w:val="15"/>
        </w:rPr>
        <w:t>Se conserva la grafía SAS del logotipo; S.A.S. es la convención de puntuación utilizada en el texto.</w:t>
      </w:r>
    </w:p>
    <w:p>
      <w:r>
        <w:br w:type="page"/>
      </w:r>
    </w:p>
    <w:p>
      <w:pPr>
        <w:pStyle w:val="Heading1"/>
        <w:keepNext/>
      </w:pPr>
      <w:r>
        <w:t>Licencia y uso de esta plantilla</w:t>
      </w:r>
    </w:p>
    <w:p>
      <w:pPr>
        <w:keepNext w:val="0"/>
        <w:spacing w:after="220" w:line="259" w:lineRule="auto"/>
      </w:pPr>
      <w:r>
        <w:rPr>
          <w:rFonts w:ascii="Arial" w:hAnsi="Arial"/>
          <w:b w:val="0"/>
          <w:i w:val="0"/>
          <w:color w:val="243A36"/>
          <w:sz w:val="19"/>
        </w:rPr>
        <w:t>Este documento es publicado por Nuevo Estándar Biotropical—NEBIOT S.A.S. Henry Arellano-Peña es el autor metodológico de NEB001 y NEB002. Los derechos sobre los materiales protegidos de NEBIOT permanecen en sus respectivos titulares. El uso comercial, la reproducción, la adaptación, la redistribución y el sublicenciamiento de material protegido están sujetos a la licencia aplicable o al permiso escrito específico del titular facultado para autorizarlo; los permisos de uso dentro del programa NEBIOT deberán registrarse en FRM-07 conforme a S-21. El acceso a este documento no otorga por sí mismo una licencia comercial, no transfiere titularidad, no autoriza el sublicenciamiento, no confiere admisión al programa ni autoriza la certificación o emisión de unidades ambientales. Las publicaciones de respaldo y los datos, programas informáticos e imágenes de terceros conservan sus respectivas licencias y obligaciones de atribución; no se afectan los permisos lícitos existentes ni los usos permitidos por la legislación aplicable. Los revisores independientes autorizados deberán disponer del acceso necesario para inspección, recálculo e informe conforme a S-22, sujeto a los permisos aplicables y las salvaguardas de confidencialidad.</w:t>
      </w:r>
    </w:p>
    <w:p>
      <w:pPr>
        <w:pStyle w:val="Heading2"/>
        <w:keepNext/>
      </w:pPr>
      <w:r>
        <w:t>Instrucciones de diligenciamiento</w:t>
      </w:r>
    </w:p>
    <w:p>
      <w:pPr>
        <w:keepNext w:val="0"/>
        <w:spacing w:after="180" w:line="259" w:lineRule="auto"/>
      </w:pPr>
      <w:r>
        <w:rPr>
          <w:rFonts w:ascii="Arial" w:hAnsi="Arial"/>
          <w:b w:val="0"/>
          <w:i w:val="0"/>
          <w:color w:val="243A36"/>
          <w:sz w:val="19"/>
        </w:rPr>
        <w:t>Esta plantilla organiza la evidencia exigida para su etapa según el Estándar NEBIOT versión 0.8.2. No sustituye el estándar, sus métodos aplicables, el perfil aprobado ni los formularios controlados. Complete campos entre corchetes y amplíe tablas o áreas de texto. Para conceptos no aplicables, registre motivo y decisión del revisor; no los suprima silenciosamente. Identifique información desconocida como faltante, no cero. Distinga observaciones, supuestos, proyecciones, resultados verificados y NVEU autorizadas. Los requisitos se evalúan en la etapa correspondiente; campos de etapas futuras no implican cumplimiento previo.</w:t>
      </w:r>
    </w:p>
    <w:p>
      <w:pPr>
        <w:pStyle w:val="Heading2"/>
        <w:keepNext/>
      </w:pPr>
      <w:r>
        <w:t>Referencia y alcance</w:t>
      </w:r>
    </w:p>
    <w:p>
      <w:pPr>
        <w:keepNext w:val="0"/>
        <w:spacing w:after="200" w:line="259" w:lineRule="auto"/>
      </w:pPr>
      <w:r>
        <w:rPr>
          <w:rFonts w:ascii="Arial" w:hAnsi="Arial"/>
          <w:b w:val="0"/>
          <w:i w:val="0"/>
          <w:color w:val="243A36"/>
          <w:sz w:val="17"/>
        </w:rPr>
        <w:t>[1] NEBIOT. Estándar NEBIOT, versión controlada 0.8.2. NEB-DOC-000, edición integrada. Dependencias principales: NEB-CYC-001; NEB-STD-001 y Anexo A; NEB-MTH-001/002; NEB-UNT-001; NEB-PRO-001; NEB-MIG-001; NEB-AUD-001 y NEB-FRM-001. Las referencias a cláusulas, ecuaciones, AP y FRM remiten a esa versión. Son dependencias normativas externas, no secciones faltantes de esta plantilla.</w:t>
      </w:r>
    </w:p>
    <w:p>
      <w:pPr>
        <w:keepNext w:val="0"/>
        <w:spacing w:after="140" w:line="259" w:lineRule="auto"/>
      </w:pPr>
      <w:r>
        <w:rPr>
          <w:rFonts w:ascii="Arial" w:hAnsi="Arial"/>
          <w:b w:val="0"/>
          <w:i w:val="0"/>
          <w:color w:val="243A36"/>
          <w:sz w:val="18"/>
        </w:rPr>
        <w:t>NIP conserva el nombre Nota de Idea de proyecto. PD identifica la Descripción del Proyecto.</w:t>
      </w:r>
    </w:p>
    <w:p>
      <w:pPr>
        <w:keepNext w:val="0"/>
        <w:spacing w:after="0" w:line="259" w:lineRule="auto"/>
      </w:pPr>
      <w:r>
        <w:rPr>
          <w:rFonts w:ascii="Arial" w:hAnsi="Arial"/>
          <w:b w:val="0"/>
          <w:i w:val="0"/>
          <w:color w:val="243A36"/>
          <w:sz w:val="18"/>
        </w:rPr>
        <w:t>NEBIOT presta la evaluación técnica, diseño y monitoreo contratados. El proponente y ejecutor identificados conservan responsabilidades de ejecución según S-25; los intereses excepcionales NEBIOT siguen S-26.</w:t>
      </w:r>
    </w:p>
    <w:p>
      <w:r>
        <w:br w:type="page"/>
      </w:r>
    </w:p>
    <w:p>
      <w:pPr>
        <w:pStyle w:val="Heading1"/>
        <w:keepNext/>
      </w:pPr>
      <w:r>
        <w:t>Control documental y contenido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Registro</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Plantilla</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NIP / 1.2 / ES</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Estándar de referencia</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CYC-02</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Preparador / revisor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Distribución / restricciones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Versión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Fecha</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Cambio y autoridad</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Contenido</w:t>
      </w:r>
    </w:p>
    <w:p>
      <w:pPr>
        <w:spacing w:after="60" w:line="252" w:lineRule="auto"/>
      </w:pPr>
      <w:hyperlink w:anchor="Section_1">
        <w:r>
          <w:rPr>
            <w:rFonts w:ascii="Arial" w:hAnsi="Arial"/>
            <w:sz w:val="19"/>
            <w:color w:val="215F52"/>
          </w:rPr>
          <w:t>01  Identidad del proyecto y presentación del concepto</w:t>
        </w:r>
      </w:hyperlink>
    </w:p>
    <w:p>
      <w:pPr>
        <w:spacing w:after="60" w:line="252" w:lineRule="auto"/>
      </w:pPr>
      <w:hyperlink w:anchor="Section_2">
        <w:r>
          <w:rPr>
            <w:rFonts w:ascii="Arial" w:hAnsi="Arial"/>
            <w:sz w:val="19"/>
            <w:color w:val="215F52"/>
          </w:rPr>
          <w:t>02  Territorio preliminar y actividades propuestas</w:t>
        </w:r>
      </w:hyperlink>
    </w:p>
    <w:p>
      <w:pPr>
        <w:spacing w:after="60" w:line="252" w:lineRule="auto"/>
      </w:pPr>
      <w:hyperlink w:anchor="Section_3">
        <w:r>
          <w:rPr>
            <w:rFonts w:ascii="Arial" w:hAnsi="Arial"/>
            <w:sz w:val="19"/>
            <w:color w:val="215F52"/>
          </w:rPr>
          <w:t>03  Evidencia disponible y adecuación metodológica</w:t>
        </w:r>
      </w:hyperlink>
    </w:p>
    <w:p>
      <w:pPr>
        <w:spacing w:after="60" w:line="252" w:lineRule="auto"/>
      </w:pPr>
      <w:hyperlink w:anchor="Section_4">
        <w:r>
          <w:rPr>
            <w:rFonts w:ascii="Arial" w:hAnsi="Arial"/>
            <w:sz w:val="19"/>
            <w:color w:val="215F52"/>
          </w:rPr>
          <w:t>04  Derechos, salvaguardas e iniciativas superpuestas</w:t>
        </w:r>
      </w:hyperlink>
    </w:p>
    <w:p>
      <w:pPr>
        <w:spacing w:after="60" w:line="252" w:lineRule="auto"/>
      </w:pPr>
      <w:hyperlink w:anchor="Section_5">
        <w:r>
          <w:rPr>
            <w:rFonts w:ascii="Arial" w:hAnsi="Arial"/>
            <w:sz w:val="19"/>
            <w:color w:val="215F52"/>
          </w:rPr>
          <w:t>05  Resultados indicativos y alcance de prefactibilidad</w:t>
        </w:r>
      </w:hyperlink>
    </w:p>
    <w:p>
      <w:pPr>
        <w:spacing w:after="60" w:line="252" w:lineRule="auto"/>
      </w:pPr>
      <w:hyperlink w:anchor="Section_6">
        <w:r>
          <w:rPr>
            <w:rFonts w:ascii="Arial" w:hAnsi="Arial"/>
            <w:sz w:val="19"/>
            <w:color w:val="215F52"/>
          </w:rPr>
          <w:t>06  Evidencia, anexos y referencias</w:t>
        </w:r>
      </w:hyperlink>
    </w:p>
    <w:p>
      <w:pPr>
        <w:spacing w:after="60" w:line="252" w:lineRule="auto"/>
      </w:pPr>
      <w:hyperlink w:anchor="Section_7">
        <w:r>
          <w:rPr>
            <w:rFonts w:ascii="Arial" w:hAnsi="Arial"/>
            <w:sz w:val="19"/>
            <w:color w:val="215F52"/>
          </w:rPr>
          <w:t>07  Presentación, revisión y decisión de etapa</w:t>
        </w:r>
      </w:hyperlink>
    </w:p>
    <w:p>
      <w:pPr>
        <w:spacing w:after="60"/>
      </w:pPr>
      <w:hyperlink w:anchor="account_annex">
        <w:r>
          <w:rPr>
            <w:color w:val="215F52"/>
          </w:rPr>
          <w:t>A. Anexos de cuentas ex ante, ex post y migración</w:t>
        </w:r>
      </w:hyperlink>
    </w:p>
    <w:p>
      <w:pPr>
        <w:spacing w:after="80"/>
      </w:pPr>
      <w:hyperlink w:anchor="calc_register" w:history="1">
        <w:r>
          <w:rPr>
            <w:color w:val="215F52"/>
          </w:rPr>
          <w:t>CALC  Trazabilidad y notación del cálculo</w:t>
        </w:r>
      </w:hyperlink>
    </w:p>
    <w:p>
      <w:r>
        <w:br w:type="page"/>
      </w:r>
    </w:p>
    <w:p>
      <w:bookmarkStart w:id="101" w:name="Section_1"/>
      <w:pPr>
        <w:pStyle w:val="Heading1"/>
        <w:keepNext/>
      </w:pPr>
      <w:r>
        <w:t>01  Identidad del proyecto y presentación del concepto</w:t>
      </w:r>
      <w:bookmarkEnd w:id="101"/>
    </w:p>
    <w:p>
      <w:pPr>
        <w:keepNext/>
        <w:spacing w:after="180" w:line="259" w:lineRule="auto"/>
      </w:pPr>
      <w:r>
        <w:rPr>
          <w:rFonts w:ascii="Arial" w:hAnsi="Arial"/>
          <w:b w:val="0"/>
          <w:i w:val="0"/>
          <w:color w:val="62716E"/>
          <w:sz w:val="15"/>
        </w:rPr>
        <w:t>[1] Referencia: CYC-01; CYC-02; S-03; S-04; S-25; S-26; FRM-07</w:t>
      </w:r>
    </w:p>
    <w:p>
      <w:pPr>
        <w:pStyle w:val="Heading2"/>
        <w:keepNext/>
      </w:pPr>
      <w:r>
        <w:t>Concepto y cambio ambiental previsto</w:t>
      </w:r>
    </w:p>
    <w:p>
      <w:pPr>
        <w:keepNext/>
        <w:spacing w:after="100" w:line="259" w:lineRule="auto"/>
      </w:pPr>
      <w:r>
        <w:rPr>
          <w:rFonts w:ascii="Arial" w:hAnsi="Arial"/>
          <w:b w:val="0"/>
          <w:i w:val="0"/>
          <w:color w:val="62716E"/>
          <w:sz w:val="18"/>
        </w:rPr>
        <w:t>Describa el ecosistema, condición actual, intervención prevista y motivo del proyecto. Distinga lo conocido de lo que debe investigarse.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pStyle w:val="Heading2"/>
        <w:keepNext/>
      </w:pPr>
      <w:r>
        <w:t>Registro de responsabilidades y autorizaciones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Función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Entidad / responsable</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Mandato, alcance y evidencia</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Proponente del proyecto</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Titulares de derechos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Entidad ejecutora</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Responsable técnico NEBIOT</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Autorización de presentación e intereses materiales</w:t>
      </w:r>
    </w:p>
    <w:p>
      <w:pPr>
        <w:keepNext/>
        <w:spacing w:after="100" w:line="259" w:lineRule="auto"/>
      </w:pPr>
      <w:r>
        <w:rPr>
          <w:rFonts w:ascii="Arial" w:hAnsi="Arial"/>
          <w:b w:val="0"/>
          <w:i w:val="0"/>
          <w:color w:val="62716E"/>
          <w:sz w:val="18"/>
        </w:rPr>
        <w:t>Referencie la facultad para presentar; distinga derechos territoriales, consuetudinarios, del proyecto y de atributos ambientales. Declare intereses excepcionales de NEBIOT para revisión según S-26.</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Territorio preliminar y actividades propuestas</w:t>
      </w:r>
      <w:bookmarkEnd w:id="102"/>
    </w:p>
    <w:p>
      <w:pPr>
        <w:keepNext/>
        <w:spacing w:after="180" w:line="259" w:lineRule="auto"/>
      </w:pPr>
      <w:r>
        <w:rPr>
          <w:rFonts w:ascii="Arial" w:hAnsi="Arial"/>
          <w:b w:val="0"/>
          <w:i w:val="0"/>
          <w:color w:val="62716E"/>
          <w:sz w:val="15"/>
        </w:rPr>
        <w:t>[1] Referencia: CYC-02; S-03; S-06; S-07; AO-01</w:t>
      </w:r>
    </w:p>
    <w:p>
      <w:pPr>
        <w:pStyle w:val="Heading2"/>
        <w:keepNext/>
      </w:pPr>
      <w:r>
        <w:t>Identificación territorial</w:t>
      </w:r>
    </w:p>
    <w:p>
      <w:pPr>
        <w:keepNext/>
        <w:spacing w:before="40" w:after="60"/>
      </w:pPr>
      <w:r>
        <w:rPr>
          <w:rFonts w:ascii="Lato" w:hAnsi="Lato"/>
          <w:color w:val="315B50"/>
          <w:sz w:val="18"/>
        </w:rPr>
        <w:t>NIP-T04 / Notación del cálculo</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es conteo de píxeles; a_cell es su área en m2; A es área en ha. La ruta PIXELS usa la conversión geométrica mostrada. El área directa es una entrada documentada. El cambio neto de clase no es deforestación bruta.</w:t>
      </w:r>
    </w:p>
    <w:p>
      <w:pPr>
        <w:keepNext/>
        <w:spacing w:before="40" w:after="60"/>
      </w:pPr>
      <w:r>
        <w:rPr>
          <w:rFonts w:ascii="Lato" w:hAnsi="Lato"/>
          <w:color w:val="315B50"/>
          <w:sz w:val="14"/>
        </w:rPr>
        <w:t>Base: M01; MIG-13; MIG-14 | Libro: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2437"/>
        <w:gridCol w:w="4192"/>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Ubicación / ecosistema</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243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Área provisional y unidad</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419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ID / fecha / limitación del límite</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Mapa del proyecto / evidencia espacial</w:t>
      </w:r>
    </w:p>
    <w:p>
      <w:pPr>
        <w:keepNext/>
        <w:spacing w:after="100" w:line="259" w:lineRule="auto"/>
      </w:pPr>
      <w:r>
        <w:rPr>
          <w:rFonts w:ascii="Arial" w:hAnsi="Arial"/>
          <w:b w:val="0"/>
          <w:i w:val="0"/>
          <w:color w:val="62716E"/>
          <w:sz w:val="17"/>
        </w:rPr>
        <w:t>Inserte un mapa legible. Identifique versión del límite, sistema de coordenadas, escala, fecha de observación, fuente, leyenda y restricciones de divulgación. Un mapa inicial no establece derechos ni el límite de un resultado.</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[INSERTAR MAPA DEL PROYECTO]</w:t>
            </w:r>
          </w:p>
        </w:tc>
      </w:tr>
    </w:tbl>
    <w:p>
      <w:pPr>
        <w:keepNext w:val="0"/>
        <w:spacing w:after="80" w:line="259" w:lineRule="auto"/>
      </w:pPr>
      <w:r>
        <w:rPr>
          <w:rFonts w:ascii="Arial" w:hAnsi="Arial"/>
          <w:b w:val="0"/>
          <w:i w:val="0"/>
          <w:color w:val="243A36"/>
          <w:sz w:val="2"/>
        </w:rPr>
      </w:r>
    </w:p>
    <w:p>
      <w:pPr>
        <w:pStyle w:val="Heading2"/>
        <w:keepNext/>
      </w:pPr>
      <w:r>
        <w:t>Intervenciones propuestas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192"/>
        <w:gridCol w:w="2632"/>
        <w:gridCol w:w="2925"/>
      </w:tblGrid>
      <w:tr>
        <w:trPr>
          <w:trHeight w:val="446" w:hRule="atLeast"/>
          <w:tblHeader/>
        </w:trPr>
        <w:tc>
          <w:tcPr>
            <w:tcW w:type="dxa" w:w="419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Actividad / cambio previsto</w:t>
            </w:r>
          </w:p>
        </w:tc>
        <w:tc>
          <w:tcPr>
            <w:tcW w:type="dxa" w:w="263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Ejecutor responsable</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Plazo / evidencia necesaria</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Evidencia disponible y adecuación metodológica</w:t>
      </w:r>
      <w:bookmarkEnd w:id="103"/>
    </w:p>
    <w:p>
      <w:pPr>
        <w:keepNext/>
        <w:spacing w:after="180" w:line="259" w:lineRule="auto"/>
      </w:pPr>
      <w:r>
        <w:rPr>
          <w:rFonts w:ascii="Arial" w:hAnsi="Arial"/>
          <w:b w:val="0"/>
          <w:i w:val="0"/>
          <w:color w:val="62716E"/>
          <w:sz w:val="15"/>
        </w:rPr>
        <w:t>[1] Referencia: CYC-02; S-01; S-02; T-11; T-13; MIG-12; MIG-13; FRM-08</w:t>
      </w:r>
    </w:p>
    <w:p>
      <w:pPr>
        <w:pStyle w:val="Heading2"/>
        <w:keepNext/>
      </w:pPr>
      <w:r>
        <w:t>Inventario de evidencia</w:t>
      </w:r>
    </w:p>
    <w:p>
      <w:pPr>
        <w:keepNext/>
        <w:spacing w:before="40" w:after="60"/>
      </w:pPr>
      <w:r>
        <w:rPr>
          <w:rFonts w:ascii="Lato" w:hAnsi="Lato"/>
          <w:color w:val="315B50"/>
          <w:sz w:val="18"/>
        </w:rPr>
        <w:t>NIP-T06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827"/>
        <w:gridCol w:w="4484"/>
      </w:tblGrid>
      <w:tr>
        <w:trPr>
          <w:trHeight w:val="446" w:hRule="atLeast"/>
          <w:tblHeader/>
        </w:trPr>
        <w:tc>
          <w:tcPr>
            <w:tcW w:type="dxa" w:w="243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ID / versión de evidencia</w:t>
            </w:r>
          </w:p>
          <w:p>
            <w:pPr>
              <w:spacing w:before="40" w:after="40"/>
            </w:pPr>
            <m:oMath>
              <m:sSub>
                <m:e>
                  <m:r>
                    <w:rPr>
                      <w:sz w:val="16"/>
                      <w:color w:val="173E34"/>
                    </w:rPr>
                    <m:t>x</m:t>
                  </m:r>
                </m:e>
                <m:sub>
                  <m:r>
                    <w:rPr>
                      <w:sz w:val="16"/>
                      <w:color w:val="173E34"/>
                    </w:rPr>
                    <m:rPr>
                      <m:sty m:val="p"/>
                    </m:rPr>
                    <m:t>ℓ</m:t>
                  </m:r>
                </m:sub>
              </m:sSub>
            </m:oMath>
          </w:p>
        </w:tc>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Fecha / ámbito de observación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4484"/>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Finalidad, limitaciones y acceso</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Módulos y rutas de evidencia candidatos</w:t>
      </w:r>
    </w:p>
    <w:p>
      <w:pPr>
        <w:keepNext/>
        <w:spacing w:before="40" w:after="60"/>
      </w:pPr>
      <w:r>
        <w:rPr>
          <w:rFonts w:ascii="Lato" w:hAnsi="Lato"/>
          <w:color w:val="315B50"/>
          <w:sz w:val="18"/>
        </w:rPr>
        <w:t>NIP-T07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925"/>
        <w:gridCol w:w="3510"/>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Método / atributo previsto</w:t>
            </w:r>
          </w:p>
          <w:p>
            <w:pPr>
              <w:spacing w:before="40" w:after="40"/>
            </w:pPr>
            <m:oMath>
              <m:sSub>
                <m:e>
                  <m:r>
                    <w:rPr>
                      <w:sz w:val="16"/>
                      <w:color w:val="173E34"/>
                    </w:rPr>
                    <m:t>x</m:t>
                  </m:r>
                </m:e>
                <m:sub>
                  <m:r>
                    <w:rPr>
                      <w:sz w:val="16"/>
                      <w:color w:val="173E34"/>
                    </w:rPr>
                    <m:rPr>
                      <m:sty m:val="p"/>
                    </m:rPr>
                    <m:t>ℓ</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Ruta de evidencia candidata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Vacío de aplicabilidad / verificación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Pueden considerarse mapas externos de biomasa, carbono o cambio forestal mediante reutilización calificada. Registre producto, banda, unidades y fechas reales. El nombre, tamaño de píxel o cobertura extensa no establecen exactitud del carbono, deforestación ni incertidumbre nula.</w:t>
      </w:r>
    </w:p>
    <w:p>
      <w:pPr>
        <w:pStyle w:val="Heading2"/>
        <w:keepNext/>
      </w:pPr>
      <w:r>
        <w:t>Vacíos de información y acceso</w:t>
      </w:r>
    </w:p>
    <w:p>
      <w:pPr>
        <w:keepNext/>
        <w:spacing w:after="100" w:line="259" w:lineRule="auto"/>
      </w:pPr>
      <w:r>
        <w:rPr>
          <w:rFonts w:ascii="Arial" w:hAnsi="Arial"/>
          <w:b w:val="0"/>
          <w:i w:val="0"/>
          <w:color w:val="62716E"/>
          <w:sz w:val="18"/>
        </w:rPr>
        <w:t>Enumere evidencia faltante, permisos de acceso e investigaciones para determinar la adecuación. No complete datos faltantes con cero.</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Derechos, salvaguardas e iniciativas superpuestas</w:t>
      </w:r>
      <w:bookmarkEnd w:id="104"/>
    </w:p>
    <w:p>
      <w:pPr>
        <w:keepNext/>
        <w:spacing w:after="180" w:line="259" w:lineRule="auto"/>
      </w:pPr>
      <w:r>
        <w:rPr>
          <w:rFonts w:ascii="Arial" w:hAnsi="Arial"/>
          <w:b w:val="0"/>
          <w:i w:val="0"/>
          <w:color w:val="62716E"/>
          <w:sz w:val="15"/>
        </w:rPr>
        <w:t>[1] Referencia: S-04; S-05; S-12; S-13; AO-01; AO-02; AO-04; AO-10; FRM-04/AO</w:t>
      </w:r>
    </w:p>
    <w:p>
      <w:pPr>
        <w:pStyle w:val="Heading2"/>
        <w:keepNext/>
      </w:pPr>
      <w:r>
        <w:t>Cuestiones conocidas de derechos y participación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022"/>
        <w:gridCol w:w="3412"/>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Asunto / parte afectada</w:t>
            </w:r>
          </w:p>
        </w:tc>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estado conocido</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Indagación / responsable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Iniciativas existentes o superpuestas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730"/>
        <w:gridCol w:w="3315"/>
        <w:gridCol w:w="3705"/>
      </w:tblGrid>
      <w:tr>
        <w:trPr>
          <w:trHeight w:val="446" w:hRule="atLeast"/>
          <w:tblHeader/>
        </w:trPr>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Iniciativa / programa / período</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Intersección geográfica y de resultados</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Derechos, actividad previa y afirmaciones</w:t>
            </w:r>
          </w:p>
        </w:tc>
      </w:tr>
      <w:tr>
        <w:trPr>
          <w:trHeight w:val="446" w:hRule="atLeast"/>
        </w:trPr>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Revisión inicial de salvaguardas y riesgos</w:t>
      </w:r>
    </w:p>
    <w:p>
      <w:pPr>
        <w:keepNext/>
        <w:spacing w:after="100" w:line="259" w:lineRule="auto"/>
      </w:pPr>
      <w:r>
        <w:rPr>
          <w:rFonts w:ascii="Arial" w:hAnsi="Arial"/>
          <w:b w:val="0"/>
          <w:i w:val="0"/>
          <w:color w:val="62716E"/>
          <w:sz w:val="18"/>
        </w:rPr>
        <w:t>Identifique titulares afectados, necesidades de participación, cuestiones de consentimiento aplicable, impactos adversos y restricciones prohibitivas conocidas. Identifique un canal seguro para inquietudes.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Una intersección geográfica exige evaluación; no establece invalidez ni permiso. No pueden omitirse intervenciones previas ni afirmaciones existentes en la evaluación posterior.</w:t>
      </w:r>
    </w:p>
    <w:p>
      <w:r>
        <w:br w:type="page"/>
      </w:r>
    </w:p>
    <w:p>
      <w:bookmarkStart w:id="105" w:name="Section_5"/>
      <w:pPr>
        <w:pStyle w:val="Heading1"/>
        <w:keepNext/>
      </w:pPr>
      <w:r>
        <w:t>05  Resultados indicativos y alcance de prefactibilidad</w:t>
      </w:r>
      <w:bookmarkEnd w:id="105"/>
    </w:p>
    <w:p>
      <w:pPr>
        <w:keepNext/>
        <w:spacing w:after="180" w:line="259" w:lineRule="auto"/>
      </w:pPr>
      <w:r>
        <w:rPr>
          <w:rFonts w:ascii="Arial" w:hAnsi="Arial"/>
          <w:b w:val="0"/>
          <w:i w:val="0"/>
          <w:color w:val="62716E"/>
          <w:sz w:val="15"/>
        </w:rPr>
        <w:t>[1] Referencia: CYC-02; S-08; S-09; S-11; T-10; U-01; FRM-05</w:t>
      </w:r>
    </w:p>
    <w:p>
      <w:pPr>
        <w:pStyle w:val="Heading2"/>
        <w:keepNext/>
      </w:pPr>
      <w:r>
        <w:t>Cantidades indicativas, solo con sustento</w:t>
      </w:r>
    </w:p>
    <w:p>
      <w:pPr>
        <w:keepNext/>
        <w:spacing w:before="40" w:after="60"/>
      </w:pPr>
      <w:r>
        <w:rPr>
          <w:rFonts w:ascii="Lato" w:hAnsi="Lato"/>
          <w:color w:val="315B50"/>
          <w:sz w:val="18"/>
        </w:rPr>
        <w:t>NIP-T10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730"/>
        <w:gridCol w:w="3997"/>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Atributo / existencia o cambio</w:t>
            </w:r>
          </w:p>
          <w:p>
            <w:pPr>
              <w:spacing w:before="40" w:after="40"/>
            </w:pPr>
            <m:oMath>
              <m:sSub>
                <m:e>
                  <m:r>
                    <w:rPr>
                      <w:sz w:val="16"/>
                      <w:color w:val="173E34"/>
                    </w:rPr>
                    <m:t>x</m:t>
                  </m:r>
                </m:e>
                <m:sub>
                  <m:r>
                    <w:rPr>
                      <w:sz w:val="16"/>
                      <w:color w:val="173E34"/>
                    </w:rPr>
                    <m:rPr>
                      <m:sty m:val="p"/>
                    </m:rPr>
                    <m:t>ℓ</m:t>
                  </m:r>
                </m:sub>
              </m:sSub>
            </m:oMath>
          </w:p>
        </w:tc>
        <w:tc>
          <w:tcPr>
            <w:tcW w:type="dxa" w:w="273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Rango, unidad y período</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99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Fuente, supuestos e incertidumbre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9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997"/>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99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No convierta existencias de carbono directamente en mitigación anual ni NVEU emitidas. El potencial sin cuantificar permanece así. La aceptación inicial no establece adicionalidad, verificación, admisión ni derecho a unidades.</w:t>
      </w:r>
    </w:p>
    <w:p>
      <w:pPr>
        <w:pStyle w:val="Heading2"/>
        <w:keepNext/>
      </w:pPr>
      <w:r>
        <w:t>Trabajo propuesto de prefactibilidad</w:t>
      </w:r>
    </w:p>
    <w:p>
      <w:pPr>
        <w:keepNext/>
        <w:spacing w:before="40" w:after="60"/>
      </w:pPr>
      <w:r>
        <w:rPr>
          <w:rFonts w:ascii="Lato" w:hAnsi="Lato"/>
          <w:color w:val="315B50"/>
          <w:sz w:val="18"/>
        </w:rPr>
        <w:t>NIP-T11 / Notación del cálculo</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es costo o recurso registrado en moneda y fecha de precios explícitas. Si se calcula, ingresar ecuación presupuestal real y fuente. La etiqueta no aporta precio, tasa de descuento, fórmula financiera ni factor de emisión.</w:t>
      </w:r>
    </w:p>
    <w:p>
      <w:pPr>
        <w:keepNext/>
        <w:spacing w:before="40" w:after="60"/>
      </w:pPr>
      <w:r>
        <w:rPr>
          <w:rFonts w:ascii="Lato" w:hAnsi="Lato"/>
          <w:color w:val="315B50"/>
          <w:sz w:val="14"/>
        </w:rPr>
        <w:t>Base: CYC-03; CYC-04; CYC-05; etiqueta de dato | Libro: Anexo presupuestal;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412"/>
        <w:gridCol w:w="3412"/>
        <w:gridCol w:w="2925"/>
      </w:tblGrid>
      <w:tr>
        <w:trPr>
          <w:trHeight w:val="446" w:hRule="atLeast"/>
          <w:tblHeader/>
        </w:trPr>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Pregunta / investigación</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Producto y responsable</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Recursos / plazo / dependencia</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Decisión solicitada e incertidumbre principal</w:t>
      </w:r>
    </w:p>
    <w:p>
      <w:pPr>
        <w:keepNext/>
        <w:spacing w:after="100" w:line="259" w:lineRule="auto"/>
      </w:pPr>
      <w:r>
        <w:rPr>
          <w:rFonts w:ascii="Arial" w:hAnsi="Arial"/>
          <w:b w:val="0"/>
          <w:i w:val="0"/>
          <w:color w:val="62716E"/>
          <w:sz w:val="18"/>
        </w:rPr>
        <w:t>Indique por qué se justifica continuar, qué alternativas se compararán y qué evidencia podría cambiar la decisión. Identifique la fuente de presupuestos indicativos.</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Evidencia, anexos y referencias</w:t>
      </w:r>
      <w:bookmarkEnd w:id="106"/>
    </w:p>
    <w:p>
      <w:pPr>
        <w:keepNext/>
        <w:spacing w:after="180" w:line="259" w:lineRule="auto"/>
      </w:pPr>
      <w:r>
        <w:rPr>
          <w:rFonts w:ascii="Arial" w:hAnsi="Arial"/>
          <w:b w:val="0"/>
          <w:i w:val="0"/>
          <w:color w:val="62716E"/>
          <w:sz w:val="15"/>
        </w:rPr>
        <w:t>[1] Referencia: F-01; S-17; P-04; A-05</w:t>
      </w:r>
    </w:p>
    <w:p>
      <w:pPr>
        <w:keepNext w:val="0"/>
        <w:spacing w:after="160" w:line="259" w:lineRule="auto"/>
        <w:shd w:fill="F1F5F2"/>
      </w:pPr>
      <w:r>
        <w:rPr>
          <w:rFonts w:ascii="Arial" w:hAnsi="Arial"/>
          <w:b w:val="0"/>
          <w:i w:val="0"/>
          <w:color w:val="215F52"/>
          <w:sz w:val="18"/>
        </w:rPr>
        <w:t>Asigne a cada anexo identificador, versión, fecha, custodio y ubicación exacta. Cite la fuente de toda entrada material. Mantenga la evidencia restringida accesible por separado a los revisores autorizados; no oculte la base metodológica de una afirmación.</w:t>
      </w:r>
    </w:p>
    <w:p>
      <w:pPr>
        <w:pStyle w:val="Heading2"/>
        <w:keepNext/>
      </w:pPr>
      <w:r>
        <w:t>Registro de anexos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anexo / evidencia</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Contenido y sección vinculada</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Custodio / acceso / versión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Referencias específicas del proyecto</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ID de referencia</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Cita completa / versión exacta</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Uso en este expediente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bl>
    <w:p>
      <w:pPr>
        <w:keepNext w:val="0"/>
        <w:spacing w:after="60" w:line="259" w:lineRule="auto"/>
      </w:pPr>
      <w:r>
        <w:rPr>
          <w:rFonts w:ascii="Arial" w:hAnsi="Arial"/>
          <w:b w:val="0"/>
          <w:i w:val="0"/>
          <w:color w:val="243A36"/>
          <w:sz w:val="2"/>
        </w:rPr>
      </w:r>
    </w:p>
    <w:p>
      <w:pPr>
        <w:pStyle w:val="Heading2"/>
        <w:keepNext/>
      </w:pPr>
      <w:r>
        <w:t>Reproducibilidad y entrega</w:t>
      </w:r>
    </w:p>
    <w:p>
      <w:pPr>
        <w:keepNext/>
        <w:spacing w:after="100" w:line="259" w:lineRule="auto"/>
      </w:pPr>
      <w:r>
        <w:rPr>
          <w:rFonts w:ascii="Arial" w:hAnsi="Arial"/>
          <w:b w:val="0"/>
          <w:i w:val="0"/>
          <w:color w:val="62716E"/>
          <w:sz w:val="18"/>
        </w:rPr>
        <w:t>Identifique el paquete de evidencia aprobado, archivos de cálculo, condiciones de acceso y custodio. Resuelva todas las referencias rotas antes de presentar.</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Presentación, revisión y decisión de etapa</w:t>
      </w:r>
      <w:bookmarkEnd w:id="107"/>
    </w:p>
    <w:p>
      <w:pPr>
        <w:keepNext/>
        <w:spacing w:after="180" w:line="259" w:lineRule="auto"/>
      </w:pPr>
      <w:r>
        <w:rPr>
          <w:rFonts w:ascii="Arial" w:hAnsi="Arial"/>
          <w:b w:val="0"/>
          <w:i w:val="0"/>
          <w:color w:val="62716E"/>
          <w:sz w:val="15"/>
        </w:rPr>
        <w:t>[1] Referencia: CYC-01; CYC-02; S-16; S-22; S-23; FRM-03; FRM-06; A-12; A-13</w:t>
      </w:r>
    </w:p>
    <w:p>
      <w:pPr>
        <w:keepNext w:val="0"/>
        <w:spacing w:after="160" w:line="259" w:lineRule="auto"/>
        <w:shd w:fill="F1F5F2"/>
      </w:pPr>
      <w:r>
        <w:rPr>
          <w:rFonts w:ascii="Arial" w:hAnsi="Arial"/>
          <w:b w:val="0"/>
          <w:i w:val="0"/>
          <w:color w:val="215F52"/>
          <w:sz w:val="18"/>
        </w:rPr>
        <w:t>La revisión NIP se refiere a aceptar estudios adicionales, no a aprobar un proyecto validado ni autorizar una afirmación ambiental.</w:t>
      </w:r>
    </w:p>
    <w:p>
      <w:pPr>
        <w:pStyle w:val="Heading2"/>
        <w:keepNext/>
      </w:pPr>
      <w:r>
        <w:t>Revisión de salida de etapa</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Evidencia / sección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Hallazgo de revisión</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Identidad y facultad de presentación documentadas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Concepto, mapa provisional y actividades descritos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Fuentes, estimaciones y vacíos diferenciados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Derechos, salvaguardas y traslapes conocidos registrados</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 evaluado]</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Alcance de prefactibilidad y responsabilidades definidos</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 evaluado]</w:t>
            </w:r>
          </w:p>
        </w:tc>
      </w:tr>
    </w:tbl>
    <w:p>
      <w:pPr>
        <w:keepNext w:val="0"/>
        <w:spacing w:after="60" w:line="259" w:lineRule="auto"/>
      </w:pPr>
      <w:r>
        <w:rPr>
          <w:rFonts w:ascii="Arial" w:hAnsi="Arial"/>
          <w:b w:val="0"/>
          <w:i w:val="0"/>
          <w:color w:val="243A36"/>
          <w:sz w:val="2"/>
        </w:rPr>
      </w:r>
    </w:p>
    <w:p>
      <w:pPr>
        <w:pStyle w:val="Heading2"/>
        <w:keepNext/>
      </w:pPr>
      <w:r>
        <w:t>Registros y firmas separados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Actuación / función responsable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Nombre, fecha y firma</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Decisión / alcance / registro</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Presentación / proponente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Preparación técnica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Revisión sin conflicto</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[Completar]</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Decisión autorizada de etapa</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[Completar]</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[Avanzar / corregir / aplazar / rechazar]</w:t>
            </w:r>
          </w:p>
        </w:tc>
      </w:tr>
    </w:tbl>
    <w:p>
      <w:pPr>
        <w:keepNext w:val="0"/>
        <w:spacing w:after="60" w:line="259" w:lineRule="auto"/>
      </w:pPr>
      <w:r>
        <w:rPr>
          <w:rFonts w:ascii="Arial" w:hAnsi="Arial"/>
          <w:b w:val="0"/>
          <w:i w:val="0"/>
          <w:color w:val="243A36"/>
          <w:sz w:val="2"/>
        </w:rPr>
      </w:r>
    </w:p>
    <w:p>
      <w:pPr>
        <w:pStyle w:val="Heading2"/>
        <w:keepNext/>
      </w:pPr>
      <w:r>
        <w:t>Condiciones, hallazgos abiertos y entrega a la etapa siguiente</w:t>
      </w:r>
    </w:p>
    <w:p>
      <w:pPr>
        <w:keepNext/>
        <w:spacing w:after="100" w:line="259" w:lineRule="auto"/>
      </w:pPr>
      <w:r>
        <w:rPr>
          <w:rFonts w:ascii="Arial" w:hAnsi="Arial"/>
          <w:b w:val="0"/>
          <w:i w:val="0"/>
          <w:color w:val="62716E"/>
          <w:sz w:val="18"/>
        </w:rPr>
        <w:t>Indique alcance permitido, actividades o afirmaciones bloqueadas, responsable de corrección, evidencia requerida, plazo según perfil aprobado y receptor. Una firma en blanco no equivale a aprobación.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[Complete la respuesta y referencias de evidencia.]</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Anexos de cuentas ex ante, ex post y migración</w:t>
      </w:r>
      <w:bookmarkEnd w:id="3999"/>
    </w:p>
    <w:p>
      <w:pPr>
        <w:spacing w:after="120"/>
      </w:pPr>
      <w:r>
        <w:rPr>
          <w:rFonts w:ascii="Lato" w:hAnsi="Lato"/>
          <w:b w:val="0"/>
          <w:color w:val="62716E"/>
          <w:sz w:val="16"/>
        </w:rPr>
        <w:t>[1] Referencia: CYC-01; CYC-05; F-01; F-03; P-13; MIG-05; FRM-02; FRM-04; FRM-05</w:t>
      </w:r>
    </w:p>
    <w:p>
      <w:pPr>
        <w:pStyle w:val="Heading2"/>
        <w:keepNext/>
      </w:pPr>
      <w:r>
        <w:t>Uso según etapa</w:t>
      </w:r>
    </w:p>
    <w:p>
      <w:pPr>
        <w:spacing w:after="80"/>
      </w:pPr>
      <w:r>
        <w:rPr>
          <w:rFonts w:ascii="Lato" w:hAnsi="Lato"/>
          <w:b w:val="0"/>
          <w:color w:val="62716E"/>
          <w:sz w:val="18"/>
        </w:rPr>
        <w:t>En concepto, identificar proyecciones y evidencia histórica disponibles; completar cuentas detalladas solo con sustento. Un concepto migrado puede referenciar registros ex post sin tratarlos como resultados verificados NEBIOT.</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S"/>
                <w:tag w:val="account_annex-0-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Registro de anexos de cuentas</w:t>
      </w:r>
    </w:p>
    <w:p>
      <w:pPr>
        <w:keepNext/>
        <w:spacing w:before="40" w:after="60"/>
      </w:pPr>
      <w:r>
        <w:rPr>
          <w:rFonts w:ascii="Lato" w:hAnsi="Lato"/>
          <w:color w:val="315B50"/>
          <w:sz w:val="18"/>
        </w:rPr>
        <w:t>NIP-T16 / Notación del cálculo</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es la observación, entrada o salida identificada; u_l es su unidad declarada. Registrar ecuación exacta, archivo, hoja, celda/rango, período y estado. Esta notación no prescribe un estimador.</w:t>
      </w:r>
    </w:p>
    <w:p>
      <w:pPr>
        <w:keepNext/>
        <w:spacing w:before="40" w:after="60"/>
      </w:pPr>
      <w:r>
        <w:rPr>
          <w:rFonts w:ascii="Lato" w:hAnsi="Lato"/>
          <w:color w:val="315B50"/>
          <w:sz w:val="14"/>
        </w:rPr>
        <w:t>Base: F-01; T-01 | Libro: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Producto / alcance aplicable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Versión, libro y ubicación de evidencia</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Estado / revisor / restricción pendiente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S-1-1"/>
                <w:tag w:val="account_annex-1-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2"/>
                <w:tag w:val="account_annex-1-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1-3"/>
                <w:tag w:val="account_annex-1-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S-2-1"/>
                <w:tag w:val="account_annex-1-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2"/>
                <w:tag w:val="account_annex-1-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spacing w:after="20"/>
            </w:pPr>
            <w:sdt>
              <w:sdtPr>
                <w:alias w:val="account_annex-1-ES-2-3"/>
                <w:tag w:val="account_annex-1-ES-2-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S-3-1"/>
                <w:tag w:val="account_annex-1-ES-3-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2"/>
                <w:tag w:val="account_annex-1-ES-3-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spacing w:after="20"/>
            </w:pPr>
            <w:sdt>
              <w:sdtPr>
                <w:alias w:val="account_annex-1-ES-3-3"/>
                <w:tag w:val="account_annex-1-ES-3-3"/>
                <w:text/>
              </w:sdtPr>
              <w:sdtContent>
                <w:r>
                  <w:rPr>
                    <w:rFonts w:ascii="Lato" w:hAnsi="Lato"/>
                    <w:sz w:val="18"/>
                    <w:color w:val="62716E"/>
                  </w:rPr>
                  <w:t>[Completar]</w:t>
                </w:r>
              </w:sdtContent>
            </w:sdt>
          </w:p>
        </w:tc>
      </w:tr>
    </w:tbl>
    <w:p>
      <w:pPr>
        <w:spacing w:after="0"/>
      </w:pPr>
    </w:p>
    <w:p>
      <w:pPr>
        <w:pStyle w:val="Heading2"/>
        <w:keepNext/>
      </w:pPr>
      <w:r>
        <w:t>Contrato común de la cuenta</w:t>
      </w:r>
    </w:p>
    <w:p>
      <w:pPr>
        <w:spacing w:after="80"/>
      </w:pPr>
      <w:r>
        <w:rPr>
          <w:rFonts w:ascii="Lato" w:hAnsi="Lato"/>
          <w:b w:val="0"/>
          <w:color w:val="62716E"/>
          <w:sz w:val="18"/>
        </w:rPr>
        <w:t>Usar los formatos bilingües Estimación ex ante, Informe de resultados ex post y Conciliación de migración junto con el libro de cálculo cuando correspondan. Identificar períodos, bandas, unidades, faltantes y celdas exactas. Separar proyecciones, observaciones, contrafactual, resultados verificados y NVEU autorizadas. Ninguna tasa o campo vacío establece política, emisión nula ni emisión de unidades.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S"/>
                <w:tag w:val="account_annex-2-ES"/>
                <w:text/>
              </w:sdtPr>
              <w:sdtContent>
                <w:r>
                  <w:rPr>
                    <w:rFonts w:ascii="Lato" w:hAnsi="Lato"/>
                    <w:sz w:val="18"/>
                    <w:color w:val="62716E"/>
                  </w:rPr>
                  <w:t>[Registrar respuesta y referencias exactas de evidencia.]</w:t>
                </w:r>
              </w:sdtContent>
            </w:sdt>
          </w:p>
        </w:tc>
      </w:tr>
    </w:tbl>
    <w:p>
      <w:pPr>
        <w:spacing w:after="20" w:before="0" w:line="96" w:lineRule="auto"/>
      </w:pPr>
    </w:p>
    <w:p>
      <w:pPr>
        <w:pStyle w:val="Heading2"/>
        <w:keepNext/>
      </w:pPr>
      <w:r>
        <w:t>Conciliación requerida</w:t>
      </w:r>
    </w:p>
    <w:p>
      <w:pPr>
        <w:keepNext/>
        <w:spacing w:before="40" w:after="60"/>
      </w:pPr>
      <w:r>
        <w:rPr>
          <w:rFonts w:ascii="Lato" w:hAnsi="Lato"/>
          <w:color w:val="315B50"/>
          <w:sz w:val="18"/>
        </w:rPr>
        <w:t>NIP-T17 / Notación del cálculo</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conserva resultado original; harm aplica método original a base comparable acordada; NEB es resultado receptor sobre esa base. La identidad telescópica explica diferencias, no elegibilidad. No forzar diferencia metodológica cero.</w:t>
      </w:r>
    </w:p>
    <w:p>
      <w:pPr>
        <w:keepNext/>
        <w:spacing w:before="40" w:after="60"/>
      </w:pPr>
      <w:r>
        <w:rPr>
          <w:rFonts w:ascii="Lato" w:hAnsi="Lato"/>
          <w:color w:val="315B50"/>
          <w:sz w:val="14"/>
        </w:rPr>
        <w:t>Base: MIG-05; P-13; identidad de conciliación | Libro: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Dimensión / registro original</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Tratamiento receptor o monitoreado</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Evidencia y referencia decisoria</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S-1-1"/>
                <w:tag w:val="account_annex-3-ES-1-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2"/>
                <w:tag w:val="account_annex-3-ES-1-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1F5F2"/>
          </w:tcPr>
          <w:p>
            <w:pPr>
              <w:keepNext/>
              <w:spacing w:after="20"/>
            </w:pPr>
            <w:sdt>
              <w:sdtPr>
                <w:alias w:val="account_annex-3-ES-1-3"/>
                <w:tag w:val="account_annex-3-ES-1-3"/>
                <w:text/>
              </w:sdtPr>
              <w:sdtContent>
                <w:r>
                  <w:rPr>
                    <w:rFonts w:ascii="Lato" w:hAnsi="Lato"/>
                    <w:sz w:val="18"/>
                    <w:color w:val="62716E"/>
                  </w:rPr>
                  <w:t>[Completar]</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S-2-1"/>
                <w:tag w:val="account_annex-3-ES-2-1"/>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2"/>
                <w:tag w:val="account_annex-3-ES-2-2"/>
                <w:text/>
              </w:sdtPr>
              <w:sdtContent>
                <w:r>
                  <w:rPr>
                    <w:rFonts w:ascii="Lato" w:hAnsi="Lato"/>
                    <w:sz w:val="18"/>
                    <w:color w:val="62716E"/>
                  </w:rPr>
                  <w:t>[Completar]</w:t>
                </w:r>
              </w:sdtContent>
            </w:sdt>
          </w:p>
        </w:tc>
        <w:tc>
          <w:tcPr>
            <w:tcW w:type="dxa" w:w="3250"/>
            <w:tcMar>
              <w:top w:w="90" w:type="dxa"/>
              <w:bottom w:w="90" w:type="dxa"/>
              <w:left w:w="100" w:type="dxa"/>
              <w:right w:w="100" w:type="dxa"/>
            </w:tcMar>
            <w:shd w:fill="FFFFFF"/>
          </w:tcPr>
          <w:p>
            <w:pPr>
              <w:keepNext w:val="0"/>
              <w:spacing w:after="20"/>
            </w:pPr>
            <w:sdt>
              <w:sdtPr>
                <w:alias w:val="account_annex-3-ES-2-3"/>
                <w:tag w:val="account_annex-3-ES-2-3"/>
                <w:text/>
              </w:sdtPr>
              <w:sdtContent>
                <w:r>
                  <w:rPr>
                    <w:rFonts w:ascii="Lato" w:hAnsi="Lato"/>
                    <w:sz w:val="18"/>
                    <w:color w:val="62716E"/>
                  </w:rPr>
                  <w:t>[Completar]</w:t>
                </w:r>
              </w:sdtContent>
            </w:sdt>
          </w:p>
        </w:tc>
      </w:tr>
    </w:tbl>
    <w:p>
      <w:bookmarkStart w:id="99001" w:name="calc_register"/>
      <w:pPr>
        <w:pStyle w:val="Heading1"/>
        <w:keepNext/>
        <w:pageBreakBefore/>
      </w:pPr>
      <w:r>
        <w:t>CALC — Trazabilidad y notación del cálculo</w:t>
      </w:r>
      <w:bookmarkEnd w:id="99001"/>
    </w:p>
    <w:p>
      <w:pPr>
        <w:spacing w:after="100"/>
      </w:pPr>
      <w:r>
        <w:t>Registrar cada cantidad calculada como una fila identificada de forma única. Conservar la expresión fuente exacta y una expresión separada para toda adaptación a NEBIOT. Traducir una etiqueta no cambia una fórmula. Unidades, reservorios incluidos, signo, período, estado de entrada y dominio matemático forman parte del registro. Una tabla administrativa no necesita ecuación inventada. Variables fuente ambiguas requieren aclaración, no significado supuesto.</w:t>
      </w:r>
    </w:p>
    <w:p>
      <w:pPr>
        <w:pStyle w:val="Heading2"/>
        <w:keepNext/>
        <w:spacing w:after="100"/>
      </w:pPr>
      <w:r>
        <w:t>Índices y estado</w:t>
      </w:r>
    </w:p>
    <w:p>
      <w:pPr>
        <w:spacing w:after="100"/>
      </w:pPr>
      <w:r>
        <w:t>EA = pronóstico fechado; EP = cuenta del período reportado; t = intervalo; i,j = estratos o clases declarados; o = órgano o reservorio disjunto; g = gas; tau = cohorte de perturbación; l = fila de cálculo/componente.</w:t>
      </w:r>
    </w:p>
    <w:p>
      <w:pPr>
        <w:pStyle w:val="Heading2"/>
        <w:keepNext/>
        <w:spacing w:after="100"/>
      </w:pPr>
      <w:r>
        <w:t>Registro de un cálculo — repetir por resultado</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Campo</w:t>
            </w:r>
          </w:p>
        </w:tc>
        <w:tc>
          <w:tcPr>
            <w:tcW w:type="dxa" w:w="4873"/>
            <w:shd w:fill="215F52"/>
          </w:tcPr>
          <w:p>
            <w:pPr>
              <w:spacing w:after="80"/>
            </w:pPr>
            <w:r>
              <w:rPr>
                <w:rFonts w:ascii="Lato" w:hAnsi="Lato"/>
                <w:b/>
                <w:color w:val="FFFFFF"/>
                <w:sz w:val="18"/>
              </w:rPr>
              <w:t>Registro</w:t>
            </w:r>
          </w:p>
        </w:tc>
      </w:tr>
      <w:tr>
        <w:trPr/>
        <w:tc>
          <w:tcPr>
            <w:tcW w:type="dxa" w:w="3240"/>
          </w:tcPr>
          <w:p>
            <w:pPr>
              <w:spacing w:after="80"/>
            </w:pPr>
            <w:r>
              <w:rPr>
                <w:rFonts w:ascii="Lato" w:hAnsi="Lato"/>
                <w:sz w:val="18"/>
              </w:rPr>
              <w:t>Fila de cálculo / símbolo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Definición y uso previsto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Archivo fuente / versión / huella exactos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Hoja / celda o ID del registro bruto</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Expresión original y unidad original</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Entradas: símbolos, valores, unidades y períodos</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Ecuación receptora / identificador del estándar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Transformación, conversión y justificación</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Valores intermedios y finales sin redondear</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Tabla / fila / ubicación de salida en informe</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Diferencia de recálculo / base de tolerancia</w:t>
            </w:r>
          </w:p>
        </w:tc>
        <w:tc>
          <w:tcPr>
            <w:tcW w:type="dxa" w:w="6120"/>
          </w:tcPr>
          <w:p>
            <w:pPr>
              <w:spacing w:after="80"/>
            </w:pPr>
            <w:r>
              <w:rPr>
                <w:rFonts w:ascii="Lato" w:hAnsi="Lato"/>
                <w:sz w:val="18"/>
              </w:rPr>
              <w:t>[Completar]</w:t>
            </w:r>
          </w:p>
        </w:tc>
      </w:tr>
      <w:tr>
        <w:trPr/>
        <w:tc>
          <w:tcPr>
            <w:tcW w:type="dxa" w:w="3240"/>
          </w:tcPr>
          <w:p>
            <w:pPr>
              <w:spacing w:after="80"/>
            </w:pPr>
            <w:r>
              <w:rPr>
                <w:rFonts w:ascii="Lato" w:hAnsi="Lato"/>
                <w:sz w:val="18"/>
              </w:rPr>
              <w:t>Revisor independiente / hallazgo / decisión</w:t>
            </w:r>
          </w:p>
        </w:tc>
        <w:tc>
          <w:tcPr>
            <w:tcW w:type="dxa" w:w="6120"/>
          </w:tcPr>
          <w:p>
            <w:pPr>
              <w:spacing w:after="80"/>
            </w:pPr>
            <w:r>
              <w:rPr>
                <w:rFonts w:ascii="Lato" w:hAnsi="Lato"/>
                <w:sz w:val="18"/>
              </w:rPr>
              <w:t>[Completar]</w:t>
            </w:r>
          </w:p>
        </w:tc>
      </w:tr>
    </w:tbl>
    <w:p>
      <w:pPr>
        <w:pStyle w:val="Heading2"/>
        <w:keepNext/>
        <w:spacing w:after="100"/>
      </w:pPr>
      <w:r>
        <w:t>Comparación aritmética, no materialidad</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La tolerancia absoluta tiene la unidad del resultado; la relativa es adimensional. Son parámetros de comparación informática, no materialidad. Comparar valores sin redondear. Reproducir primero el método fuente y registrar por separado armonización o cambio metodológico.</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PLANTILLA 1.2  /  NIP  /  NEBIOT 0.8.2</w:t>
    </w:r>
    <w:r>
      <w:tab/>
    </w:r>
    <w:r>
      <w:rPr>
        <w:rFonts w:ascii="Arial" w:hAnsi="Arial"/>
        <w:b w:val="0"/>
        <w:i w:val="0"/>
        <w:color w:val="62716E"/>
        <w:sz w:val="14"/>
      </w:rPr>
      <w:t xml:space="preserve">Página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NOTA DE IDEA DE PROYECTO</w:t>
    </w:r>
    <w:r>
      <w:tab/>
    </w:r>
    <w:r>
      <w:rPr>
        <w:rFonts w:ascii="Arial" w:hAnsi="Arial"/>
        <w:b w:val="0"/>
        <w:i w:val="0"/>
        <w:color w:val="62716E"/>
        <w:sz w:val="16"/>
      </w:rPr>
      <w:t>ES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de Idea de proyecto — NEBIOT template 1.0</dc:title>
  <dc:subject>NEBIOT Standard 0.8.2 — NIP — ES</dc:subject>
  <dc:creator>Henry Arellano-Peña</dc:creator>
  <cp:keywords>NEBIOT, NIP,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