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240" w:line="259" w:lineRule="auto"/>
      </w:pPr>
      <w:r>
        <w:rPr>
          <w:rFonts w:ascii="Arial" w:hAnsi="Arial"/>
          <w:b w:val="0"/>
          <w:i w:val="0"/>
          <w:color w:val="A6813D"/>
          <w:sz w:val="17"/>
        </w:rPr>
        <w:t>NEBIOT  /  PROJECT DOCUMENTATION</w:t>
      </w:r>
    </w:p>
    <w:p>
      <w:pPr>
        <w:jc w:val="center"/>
      </w:pPr>
      <w:r>
        <w:drawing>
          <wp:inline xmlns:a="http://schemas.openxmlformats.org/drawingml/2006/main" xmlns:pic="http://schemas.openxmlformats.org/drawingml/2006/picture">
            <wp:extent cx="5760720" cy="1918365"/>
            <wp:docPr id="1" name="Picture 1" descr="NEBIOT — English"/>
            <wp:cNvGraphicFramePr>
              <a:graphicFrameLocks noChangeAspect="1"/>
            </wp:cNvGraphicFramePr>
            <a:graphic>
              <a:graphicData uri="http://schemas.openxmlformats.org/drawingml/2006/picture">
                <pic:pic>
                  <pic:nvPicPr>
                    <pic:cNvPr id="0" name="NEBIOT-English-6000px.png"/>
                    <pic:cNvPicPr/>
                  </pic:nvPicPr>
                  <pic:blipFill>
                    <a:blip r:embed="rId11"/>
                    <a:stretch>
                      <a:fillRect/>
                    </a:stretch>
                  </pic:blipFill>
                  <pic:spPr>
                    <a:xfrm>
                      <a:off x="0" y="0"/>
                      <a:ext cx="5760720" cy="1918365"/>
                    </a:xfrm>
                    <a:prstGeom prst="rect"/>
                  </pic:spPr>
                </pic:pic>
              </a:graphicData>
            </a:graphic>
          </wp:inline>
        </w:drawing>
      </w:r>
    </w:p>
    <w:p>
      <w:pPr>
        <w:keepNext w:val="0"/>
        <w:spacing w:after="180" w:line="259" w:lineRule="auto"/>
      </w:pPr>
      <w:r>
        <w:rPr>
          <w:rFonts w:ascii="Arial" w:hAnsi="Arial"/>
          <w:b w:val="0"/>
          <w:i w:val="0"/>
          <w:color w:val="62716E"/>
          <w:sz w:val="16"/>
        </w:rPr>
        <w:t>Program authority: Nuevo Estándar Biotropical — NEBIOT S.A.S.</w:t>
      </w:r>
    </w:p>
    <w:p>
      <w:pPr>
        <w:pStyle w:val="Title"/>
        <w:spacing w:after="160"/>
        <w:pBdr>
          <w:bottom w:val="single" w:sz="8" w:color="A6813D" w:space="5"/>
        </w:pBdr>
      </w:pPr>
      <w:r>
        <w:t>Project Description</w:t>
      </w:r>
    </w:p>
    <w:p>
      <w:pPr>
        <w:keepNext w:val="0"/>
        <w:spacing w:after="180" w:line="259" w:lineRule="auto"/>
      </w:pPr>
      <w:r>
        <w:rPr>
          <w:rFonts w:ascii="Arial" w:hAnsi="Arial"/>
          <w:b w:val="0"/>
          <w:i/>
          <w:color w:val="215F52"/>
          <w:sz w:val="21"/>
        </w:rPr>
        <w:t>PD • Design-validation dossier</w:t>
      </w:r>
    </w:p>
    <w:p>
      <w:pPr>
        <w:keepNext w:val="0"/>
        <w:spacing w:after="260" w:line="259" w:lineRule="auto"/>
      </w:pPr>
      <w:r>
        <w:rPr>
          <w:rFonts w:ascii="Arial" w:hAnsi="Arial"/>
          <w:b w:val="0"/>
          <w:i w:val="0"/>
          <w:color w:val="62716E"/>
          <w:sz w:val="17"/>
        </w:rPr>
        <w:t>Governing standard: NEBIOT 0.8.2   |   Template edition 1.2</w:t>
      </w:r>
    </w:p>
    <w:p>
      <w:pPr>
        <w:keepNext w:val="0"/>
        <w:spacing w:after="200" w:line="259" w:lineRule="auto"/>
      </w:pPr>
      <w:r>
        <w:rPr>
          <w:rFonts w:ascii="Arial" w:hAnsi="Arial"/>
          <w:b w:val="0"/>
          <w:i/>
          <w:color w:val="215F52"/>
          <w:sz w:val="32"/>
        </w:rPr>
        <w:t>[PROJECT NAME]</w:t>
      </w:r>
    </w:p>
    <w:p>
      <w:pPr>
        <w:spacing w:after="80"/>
      </w:pPr>
      <w:r>
        <w:rPr>
          <w:rFonts w:ascii="Arial" w:hAnsi="Arial"/>
          <w:b/>
          <w:i w:val="0"/>
          <w:color w:val="243A36"/>
          <w:sz w:val="18"/>
        </w:rPr>
        <w:t xml:space="preserve">Project ID: </w:t>
      </w:r>
      <w:r>
        <w:rPr>
          <w:rFonts w:ascii="Arial" w:hAnsi="Arial"/>
          <w:b w:val="0"/>
          <w:i/>
          <w:color w:val="62716E"/>
          <w:sz w:val="18"/>
        </w:rPr>
        <w:t>[Enter]</w:t>
      </w:r>
    </w:p>
    <w:p>
      <w:pPr>
        <w:spacing w:after="80"/>
      </w:pPr>
      <w:r>
        <w:rPr>
          <w:rFonts w:ascii="Arial" w:hAnsi="Arial"/>
          <w:b/>
          <w:i w:val="0"/>
          <w:color w:val="243A36"/>
          <w:sz w:val="18"/>
        </w:rPr>
        <w:t xml:space="preserve">Country / jurisdiction: </w:t>
      </w:r>
      <w:r>
        <w:rPr>
          <w:rFonts w:ascii="Arial" w:hAnsi="Arial"/>
          <w:b w:val="0"/>
          <w:i/>
          <w:color w:val="62716E"/>
          <w:sz w:val="18"/>
        </w:rPr>
        <w:t>[Enter]</w:t>
      </w:r>
    </w:p>
    <w:p>
      <w:pPr>
        <w:spacing w:after="80"/>
      </w:pPr>
      <w:r>
        <w:rPr>
          <w:rFonts w:ascii="Arial" w:hAnsi="Arial"/>
          <w:b/>
          <w:i w:val="0"/>
          <w:color w:val="243A36"/>
          <w:sz w:val="18"/>
        </w:rPr>
        <w:t xml:space="preserve">Project document version: </w:t>
      </w:r>
      <w:r>
        <w:rPr>
          <w:rFonts w:ascii="Arial" w:hAnsi="Arial"/>
          <w:b w:val="0"/>
          <w:i/>
          <w:color w:val="62716E"/>
          <w:sz w:val="18"/>
        </w:rPr>
        <w:t>[Enter]</w:t>
      </w:r>
    </w:p>
    <w:p>
      <w:pPr>
        <w:spacing w:after="80"/>
      </w:pPr>
      <w:r>
        <w:rPr>
          <w:rFonts w:ascii="Arial" w:hAnsi="Arial"/>
          <w:b/>
          <w:i w:val="0"/>
          <w:color w:val="243A36"/>
          <w:sz w:val="18"/>
        </w:rPr>
        <w:t xml:space="preserve">Issue date (YYYY-MM-DD): </w:t>
      </w:r>
      <w:r>
        <w:rPr>
          <w:rFonts w:ascii="Arial" w:hAnsi="Arial"/>
          <w:b w:val="0"/>
          <w:i/>
          <w:color w:val="62716E"/>
          <w:sz w:val="18"/>
        </w:rPr>
        <w:t>[Enter]</w:t>
      </w:r>
    </w:p>
    <w:p>
      <w:pPr>
        <w:keepNext w:val="0"/>
        <w:spacing w:after="100" w:line="259" w:lineRule="auto"/>
      </w:pPr>
      <w:r>
        <w:rPr>
          <w:rFonts w:ascii="Arial" w:hAnsi="Arial"/>
          <w:b w:val="0"/>
          <w:i w:val="0"/>
          <w:color w:val="215F52"/>
          <w:sz w:val="21"/>
        </w:rPr>
        <w:t>Implementing organizations and stakeholders</w:t>
      </w:r>
    </w:p>
    <w:tbl>
      <w:tblPr>
        <w:tblW w:type="auto" w:w="0"/>
        <w:jc w:val="center"/>
        <w:tblLayout w:type="fixed"/>
        <w:tblLook w:firstColumn="1" w:firstRow="1" w:lastColumn="0" w:lastRow="0" w:noHBand="0" w:noVBand="1" w:val="04A0"/>
      </w:tblPr>
      <w:tblGrid>
        <w:gridCol w:w="3249"/>
        <w:gridCol w:w="3249"/>
        <w:gridCol w:w="3249"/>
      </w:tblGrid>
      <w:tr>
        <w:trPr>
          <w:trHeight w:val="1296" w:hRule="atLeast"/>
        </w:trPr>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IMPLEMENTING ENTITY</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PROJECT PROPONENT</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c>
          <w:tcPr>
            <w:tcW w:type="dxa" w:w="3249"/>
            <w:vAlign w:val="center"/>
            <w:tcMar>
              <w:top w:w="120" w:type="dxa"/>
              <w:start w:w="100" w:type="dxa"/>
              <w:bottom w:w="120" w:type="dxa"/>
              <w:end w:w="100" w:type="dxa"/>
            </w:tcMar>
            <w:tcBorders>
              <w:top w:val="single" w:sz="5" w:color="C9D5CE"/>
              <w:bottom w:val="single" w:sz="5" w:color="C9D5CE"/>
              <w:left w:val="single" w:sz="5" w:color="C9D5CE"/>
              <w:right w:val="single" w:sz="5" w:color="C9D5CE"/>
            </w:tcBorders>
          </w:tcPr>
          <w:p>
            <w:pPr>
              <w:jc w:val="center"/>
            </w:pPr>
            <w:r>
              <w:rPr>
                <w:rFonts w:ascii="Arial" w:hAnsi="Arial"/>
                <w:b/>
                <w:i w:val="0"/>
                <w:color w:val="215F52"/>
                <w:sz w:val="16"/>
              </w:rPr>
              <w:t>RIGHTS HOLDERS / STAKEHOLDERS</w:t>
            </w:r>
          </w:p>
          <w:p>
            <w:pPr>
              <w:jc w:val="center"/>
            </w:pPr>
            <w:r>
              <w:rPr>
                <w:rFonts w:ascii="Arial" w:hAnsi="Arial"/>
                <w:b w:val="0"/>
                <w:i w:val="0"/>
                <w:color w:val="62716E"/>
                <w:sz w:val="16"/>
              </w:rPr>
              <w:t>[Insert authorized logo]</w:t>
            </w:r>
          </w:p>
          <w:p>
            <w:pPr>
              <w:jc w:val="center"/>
            </w:pPr>
            <w:r>
              <w:rPr>
                <w:rFonts w:ascii="Arial" w:hAnsi="Arial"/>
                <w:b w:val="0"/>
                <w:i/>
                <w:color w:val="62716E"/>
                <w:sz w:val="16"/>
              </w:rPr>
              <w:t>[Organization / role]</w:t>
            </w:r>
          </w:p>
        </w:tc>
      </w:tr>
    </w:tbl>
    <w:p>
      <w:pPr>
        <w:keepNext w:val="0"/>
        <w:spacing w:after="160" w:line="259" w:lineRule="auto"/>
      </w:pPr>
      <w:r>
        <w:rPr>
          <w:rFonts w:ascii="Arial" w:hAnsi="Arial"/>
          <w:b w:val="0"/>
          <w:i w:val="0"/>
          <w:color w:val="62716E"/>
          <w:sz w:val="16"/>
        </w:rPr>
        <w:t>Use authorized logos and identify each organization’s actual role. Logo display does not establish consent, project ownership, endorsement, validation or admission. Remove unused partner spaces from the completed submission.</w:t>
      </w:r>
    </w:p>
    <w:p>
      <w:pPr>
        <w:keepNext w:val="0"/>
        <w:spacing w:after="100" w:line="259" w:lineRule="auto"/>
      </w:pPr>
      <w:r>
        <w:rPr>
          <w:rFonts w:ascii="Arial" w:hAnsi="Arial"/>
          <w:b w:val="0"/>
          <w:i w:val="0"/>
          <w:color w:val="62716E"/>
          <w:sz w:val="15"/>
        </w:rPr>
        <w:t>The English logo wording is a translation, not a separate legal entity.</w:t>
      </w:r>
    </w:p>
    <w:p>
      <w:r>
        <w:br w:type="page"/>
      </w:r>
    </w:p>
    <w:p>
      <w:pPr>
        <w:pStyle w:val="Heading1"/>
        <w:keepNext/>
      </w:pPr>
      <w:r>
        <w:t>License and use of this template</w:t>
      </w:r>
    </w:p>
    <w:p>
      <w:pPr>
        <w:keepNext w:val="0"/>
        <w:spacing w:after="220" w:line="259" w:lineRule="auto"/>
      </w:pPr>
      <w:r>
        <w:rPr>
          <w:rFonts w:ascii="Arial" w:hAnsi="Arial"/>
          <w:b w:val="0"/>
          <w:i w:val="0"/>
          <w:color w:val="243A36"/>
          <w:sz w:val="19"/>
        </w:rPr>
        <w:t>This document is issued by Nuevo Estándar Biotropical—NEBIOT S.A.S. Henry Arellano-Peña is the methodological author of NEB001 and NEB002. Rights in NEBIOT's protected materials remain with their respective rights holders. Commercial use, reproduction, adaptation, redistribution, and sublicensing of protected material are subject to the applicable license or specific written permission from the authorized rights holder; permissions for use within the NEBIOT program shall be recorded in FRM-07 under S-21. Access to this document does not itself grant a commercial license, transfer ownership, authorize sublicensing, confer program admission, or authorize certification or issuance of environmental units. Supporting publications and third-party data, software, and images retain their respective licenses and attribution requirements; existing lawful permissions and uses permitted by applicable law remain unaffected. Authorized independent reviewers shall receive the access necessary for inspection, recalculation, and reporting under S-22, subject to the applicable permissions and confidentiality safeguards.</w:t>
      </w:r>
    </w:p>
    <w:p>
      <w:pPr>
        <w:pStyle w:val="Heading2"/>
        <w:keepNext/>
      </w:pPr>
      <w:r>
        <w:t>Completion instructions</w:t>
      </w:r>
    </w:p>
    <w:p>
      <w:pPr>
        <w:keepNext w:val="0"/>
        <w:spacing w:after="180" w:line="259" w:lineRule="auto"/>
      </w:pPr>
      <w:r>
        <w:rPr>
          <w:rFonts w:ascii="Arial" w:hAnsi="Arial"/>
          <w:b w:val="0"/>
          <w:i w:val="0"/>
          <w:color w:val="243A36"/>
          <w:sz w:val="19"/>
        </w:rPr>
        <w:t>This template organizes the evidence required for its project stage under NEBIOT Standard version 0.8.2. It does not replace the standard, its applicable methods, the approved case profile or the controlled forms. Complete the bracketed fields and expand tables or narrative areas as needed. For an inapplicable item, record a reason and the reviewer’s disposition; do not silently delete it. Identify unknown information as missing, not zero. Keep observations, assumptions, projections, verified outcomes and authorized NVEUs distinct. Requirements are assessed at the stage to which they apply; later-stage fields do not imply earlier completion.</w:t>
      </w:r>
    </w:p>
    <w:p>
      <w:pPr>
        <w:pStyle w:val="Heading2"/>
        <w:keepNext/>
      </w:pPr>
      <w:r>
        <w:t>Reference and scope</w:t>
      </w:r>
    </w:p>
    <w:p>
      <w:pPr>
        <w:keepNext w:val="0"/>
        <w:spacing w:after="200" w:line="259" w:lineRule="auto"/>
      </w:pPr>
      <w:r>
        <w:rPr>
          <w:rFonts w:ascii="Arial" w:hAnsi="Arial"/>
          <w:b w:val="0"/>
          <w:i w:val="0"/>
          <w:color w:val="243A36"/>
          <w:sz w:val="17"/>
        </w:rPr>
        <w:t>[1] NEBIOT. NEBIOT Standard, controlled version 0.8.2. NEB-DOC-000, integrated edition. Principal dependencies: NEB-CYC-001; NEB-STD-001 and Annex A; NEB-MTH-001/002; NEB-UNT-001; NEB-PRO-001; NEB-MIG-001; NEB-AUD-001; and NEB-FRM-001. All clause, equation, AP and FRM references in this template refer to that version. They are external normative dependencies, not missing sections of this template.</w:t>
      </w:r>
    </w:p>
    <w:p>
      <w:pPr>
        <w:keepNext w:val="0"/>
        <w:spacing w:after="140" w:line="259" w:lineRule="auto"/>
      </w:pPr>
      <w:r>
        <w:rPr>
          <w:rFonts w:ascii="Arial" w:hAnsi="Arial"/>
          <w:b w:val="0"/>
          <w:i w:val="0"/>
          <w:color w:val="243A36"/>
          <w:sz w:val="18"/>
        </w:rPr>
        <w:t>NIP retains the source name Nota de Idea de proyecto; “Project Idea Note” is an explanatory English rendering. PD means Project Description.</w:t>
      </w:r>
    </w:p>
    <w:p>
      <w:pPr>
        <w:keepNext w:val="0"/>
        <w:spacing w:after="0" w:line="259" w:lineRule="auto"/>
      </w:pPr>
      <w:r>
        <w:rPr>
          <w:rFonts w:ascii="Arial" w:hAnsi="Arial"/>
          <w:b w:val="0"/>
          <w:i w:val="0"/>
          <w:color w:val="243A36"/>
          <w:sz w:val="18"/>
        </w:rPr>
        <w:t>NEBIOT provides the contracted technical assessment, design and monitoring services. The named proponent and implementing entity retain project execution responsibilities under S-25; exceptional NEBIOT interests follow S-26.</w:t>
      </w:r>
    </w:p>
    <w:p>
      <w:r>
        <w:br w:type="page"/>
      </w:r>
    </w:p>
    <w:p>
      <w:pPr>
        <w:pStyle w:val="Heading1"/>
        <w:keepNext/>
      </w:pPr>
      <w:r>
        <w:t>Document control and contents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925"/>
        <w:gridCol w:w="6824"/>
      </w:tblGrid>
      <w:tr>
        <w:trPr>
          <w:trHeight w:val="374" w:hRule="atLeast"/>
          <w:tblHeader/>
        </w:trPr>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Control</w:t>
            </w:r>
          </w:p>
        </w:tc>
        <w:tc>
          <w:tcPr>
            <w:tcW w:type="dxa" w:w="682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Record</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Template</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PD / 1.2 / EN</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Standard basis</w:t>
            </w:r>
          </w:p>
        </w:tc>
        <w:tc>
          <w:tcPr>
            <w:tcW w:type="dxa" w:w="6824"/>
            <w:vAlign w:val="center"/>
            <w:tcMar>
              <w:top w:w="70" w:type="dxa"/>
              <w:start w:w="85" w:type="dxa"/>
              <w:bottom w:w="70" w:type="dxa"/>
              <w:end w:w="85" w:type="dxa"/>
            </w:tcMar>
          </w:tcPr>
          <w:p>
            <w:pPr>
              <w:spacing w:after="0" w:line="250" w:lineRule="auto"/>
            </w:pPr>
            <w:r>
              <w:rPr>
                <w:rFonts w:ascii="Arial" w:hAnsi="Arial"/>
                <w:b w:val="0"/>
                <w:i w:val="0"/>
                <w:color w:val="243A36"/>
                <w:sz w:val="16"/>
              </w:rPr>
              <w:t>NEBIOT 0.8.2 / CYC-05</w:t>
            </w:r>
          </w:p>
        </w:tc>
      </w:tr>
      <w:tr>
        <w:trPr>
          <w:trHeight w:val="374" w:hRule="atLeast"/>
        </w:trPr>
        <w:tc>
          <w:tcPr>
            <w:tcW w:type="dxa" w:w="2925"/>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Preparer / reviewer</w:t>
            </w:r>
          </w:p>
        </w:tc>
        <w:tc>
          <w:tcPr>
            <w:tcW w:type="dxa" w:w="682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374" w:hRule="atLeast"/>
        </w:trPr>
        <w:tc>
          <w:tcPr>
            <w:tcW w:type="dxa" w:w="2925"/>
            <w:vAlign w:val="center"/>
            <w:tcMar>
              <w:top w:w="70" w:type="dxa"/>
              <w:start w:w="85" w:type="dxa"/>
              <w:bottom w:w="70" w:type="dxa"/>
              <w:end w:w="85" w:type="dxa"/>
            </w:tcMar>
          </w:tcPr>
          <w:p>
            <w:pPr>
              <w:spacing w:after="0" w:line="250" w:lineRule="auto"/>
            </w:pPr>
            <w:r>
              <w:rPr>
                <w:rFonts w:ascii="Arial" w:hAnsi="Arial"/>
                <w:b w:val="0"/>
                <w:i w:val="0"/>
                <w:color w:val="243A36"/>
                <w:sz w:val="16"/>
              </w:rPr>
              <w:t>Distribution / restrictions</w:t>
            </w:r>
          </w:p>
        </w:tc>
        <w:tc>
          <w:tcPr>
            <w:tcW w:type="dxa" w:w="682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852"/>
        <w:gridCol w:w="2242"/>
        <w:gridCol w:w="5654"/>
      </w:tblGrid>
      <w:tr>
        <w:trPr>
          <w:trHeight w:val="360" w:hRule="atLeast"/>
          <w:tblHeader/>
        </w:trPr>
        <w:tc>
          <w:tcPr>
            <w:tcW w:type="dxa" w:w="185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w:t>
            </w:r>
          </w:p>
        </w:tc>
        <w:tc>
          <w:tcPr>
            <w:tcW w:type="dxa" w:w="224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w:t>
            </w:r>
          </w:p>
        </w:tc>
        <w:tc>
          <w:tcPr>
            <w:tcW w:type="dxa" w:w="565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Change and authority</w:t>
            </w:r>
          </w:p>
        </w:tc>
      </w:tr>
      <w:tr>
        <w:trPr>
          <w:trHeight w:val="360" w:hRule="atLeast"/>
        </w:trPr>
        <w:tc>
          <w:tcPr>
            <w:tcW w:type="dxa" w:w="185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224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c>
          <w:tcPr>
            <w:tcW w:type="dxa" w:w="565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 ]</w:t>
            </w:r>
          </w:p>
        </w:tc>
      </w:tr>
    </w:tbl>
    <w:p>
      <w:pPr>
        <w:keepNext w:val="0"/>
        <w:spacing w:after="60" w:line="259" w:lineRule="auto"/>
      </w:pPr>
      <w:r>
        <w:rPr>
          <w:rFonts w:ascii="Arial" w:hAnsi="Arial"/>
          <w:b w:val="0"/>
          <w:i w:val="0"/>
          <w:color w:val="243A36"/>
          <w:sz w:val="2"/>
        </w:rPr>
      </w:r>
    </w:p>
    <w:p>
      <w:pPr>
        <w:keepNext w:val="0"/>
        <w:spacing w:after="100" w:line="259" w:lineRule="auto"/>
      </w:pPr>
      <w:r>
        <w:rPr>
          <w:rFonts w:ascii="Arial" w:hAnsi="Arial"/>
          <w:b/>
          <w:i w:val="0"/>
          <w:color w:val="215F52"/>
          <w:sz w:val="22"/>
        </w:rPr>
        <w:t>Contents</w:t>
      </w:r>
    </w:p>
    <w:p>
      <w:pPr>
        <w:spacing w:after="60" w:line="252" w:lineRule="auto"/>
      </w:pPr>
      <w:hyperlink w:anchor="Section_1">
        <w:r>
          <w:rPr>
            <w:rFonts w:ascii="Arial" w:hAnsi="Arial"/>
            <w:sz w:val="19"/>
            <w:color w:val="215F52"/>
          </w:rPr>
          <w:t>01  Project identity, chronology and authorized scope</w:t>
        </w:r>
      </w:hyperlink>
    </w:p>
    <w:p>
      <w:pPr>
        <w:spacing w:after="60" w:line="252" w:lineRule="auto"/>
      </w:pPr>
      <w:hyperlink w:anchor="Section_2">
        <w:r>
          <w:rPr>
            <w:rFonts w:ascii="Arial" w:hAnsi="Arial"/>
            <w:sz w:val="19"/>
            <w:color w:val="215F52"/>
          </w:rPr>
          <w:t>02  Roles, rights and authority to implement and claim</w:t>
        </w:r>
      </w:hyperlink>
    </w:p>
    <w:p>
      <w:pPr>
        <w:spacing w:after="60" w:line="252" w:lineRule="auto"/>
      </w:pPr>
      <w:hyperlink w:anchor="Section_3">
        <w:r>
          <w:rPr>
            <w:rFonts w:ascii="Arial" w:hAnsi="Arial"/>
            <w:sz w:val="19"/>
            <w:color w:val="215F52"/>
          </w:rPr>
          <w:t>03  Territory, boundaries and spatial support</w:t>
        </w:r>
      </w:hyperlink>
    </w:p>
    <w:p>
      <w:pPr>
        <w:spacing w:after="60" w:line="252" w:lineRule="auto"/>
      </w:pPr>
      <w:hyperlink w:anchor="Section_4">
        <w:r>
          <w:rPr>
            <w:rFonts w:ascii="Arial" w:hAnsi="Arial"/>
            <w:sz w:val="19"/>
            <w:color w:val="215F52"/>
          </w:rPr>
          <w:t>04  Interventions, objectives and causal design</w:t>
        </w:r>
      </w:hyperlink>
    </w:p>
    <w:p>
      <w:pPr>
        <w:spacing w:after="60" w:line="252" w:lineRule="auto"/>
      </w:pPr>
      <w:hyperlink w:anchor="Section_5">
        <w:r>
          <w:rPr>
            <w:rFonts w:ascii="Arial" w:hAnsi="Arial"/>
            <w:sz w:val="19"/>
            <w:color w:val="215F52"/>
          </w:rPr>
          <w:t>05  Methods, evidence routes and calibrated models</w:t>
        </w:r>
      </w:hyperlink>
    </w:p>
    <w:p>
      <w:pPr>
        <w:spacing w:after="60" w:line="252" w:lineRule="auto"/>
      </w:pPr>
      <w:hyperlink w:anchor="Section_6">
        <w:r>
          <w:rPr>
            <w:rFonts w:ascii="Arial" w:hAnsi="Arial"/>
            <w:sz w:val="19"/>
            <w:color w:val="215F52"/>
          </w:rPr>
          <w:t>06  Baseline, drivers and applicable reference relationships</w:t>
        </w:r>
      </w:hyperlink>
    </w:p>
    <w:p>
      <w:pPr>
        <w:spacing w:after="60" w:line="252" w:lineRule="auto"/>
      </w:pPr>
      <w:hyperlink w:anchor="Section_7">
        <w:r>
          <w:rPr>
            <w:rFonts w:ascii="Arial" w:hAnsi="Arial"/>
            <w:sz w:val="19"/>
            <w:color w:val="215F52"/>
          </w:rPr>
          <w:t>07  Additionality and adaptive continuation</w:t>
        </w:r>
      </w:hyperlink>
    </w:p>
    <w:p>
      <w:pPr>
        <w:spacing w:after="60" w:line="252" w:lineRule="auto"/>
      </w:pPr>
      <w:hyperlink w:anchor="Section_8">
        <w:r>
          <w:rPr>
            <w:rFonts w:ascii="Arial" w:hAnsi="Arial"/>
            <w:sz w:val="19"/>
            <w:color w:val="215F52"/>
          </w:rPr>
          <w:t>08  Overlap, interacting initiatives and migration</w:t>
        </w:r>
      </w:hyperlink>
    </w:p>
    <w:p>
      <w:pPr>
        <w:spacing w:after="60" w:line="252" w:lineRule="auto"/>
      </w:pPr>
      <w:hyperlink w:anchor="Section_9">
        <w:r>
          <w:rPr>
            <w:rFonts w:ascii="Arial" w:hAnsi="Arial"/>
            <w:sz w:val="19"/>
            <w:color w:val="215F52"/>
          </w:rPr>
          <w:t>09  Quantification and reproducible environmental account</w:t>
        </w:r>
      </w:hyperlink>
    </w:p>
    <w:p>
      <w:pPr>
        <w:spacing w:after="60" w:line="252" w:lineRule="auto"/>
      </w:pPr>
      <w:hyperlink w:anchor="Section_10">
        <w:r>
          <w:rPr>
            <w:rFonts w:ascii="Arial" w:hAnsi="Arial"/>
            <w:sz w:val="19"/>
            <w:color w:val="215F52"/>
          </w:rPr>
          <w:t>10  Uncertainty, materiality, risk and liability treatment</w:t>
        </w:r>
      </w:hyperlink>
    </w:p>
    <w:p>
      <w:pPr>
        <w:spacing w:after="60" w:line="252" w:lineRule="auto"/>
      </w:pPr>
      <w:hyperlink w:anchor="Section_11">
        <w:r>
          <w:rPr>
            <w:rFonts w:ascii="Arial" w:hAnsi="Arial"/>
            <w:sz w:val="19"/>
            <w:color w:val="215F52"/>
          </w:rPr>
          <w:t>11  Participation, consent, safeguards and benefit-sharing</w:t>
        </w:r>
      </w:hyperlink>
    </w:p>
    <w:p>
      <w:pPr>
        <w:spacing w:after="60" w:line="252" w:lineRule="auto"/>
      </w:pPr>
      <w:hyperlink w:anchor="Section_12">
        <w:r>
          <w:rPr>
            <w:rFonts w:ascii="Arial" w:hAnsi="Arial"/>
            <w:sz w:val="19"/>
            <w:color w:val="215F52"/>
          </w:rPr>
          <w:t>12  Environmental attributes and NVEU claim boundaries</w:t>
        </w:r>
      </w:hyperlink>
    </w:p>
    <w:p>
      <w:pPr>
        <w:spacing w:after="60" w:line="252" w:lineRule="auto"/>
      </w:pPr>
      <w:hyperlink w:anchor="Section_13">
        <w:r>
          <w:rPr>
            <w:rFonts w:ascii="Arial" w:hAnsi="Arial"/>
            <w:sz w:val="19"/>
            <w:color w:val="215F52"/>
          </w:rPr>
          <w:t>13  Implementation plan, resources and contingencies</w:t>
        </w:r>
      </w:hyperlink>
    </w:p>
    <w:p>
      <w:pPr>
        <w:spacing w:after="60" w:line="252" w:lineRule="auto"/>
      </w:pPr>
      <w:hyperlink w:anchor="Section_14">
        <w:r>
          <w:rPr>
            <w:rFonts w:ascii="Arial" w:hAnsi="Arial"/>
            <w:sz w:val="19"/>
            <w:color w:val="215F52"/>
          </w:rPr>
          <w:t>14  Monitoring design and controlled change</w:t>
        </w:r>
      </w:hyperlink>
    </w:p>
    <w:p>
      <w:pPr>
        <w:spacing w:after="60" w:line="252" w:lineRule="auto"/>
      </w:pPr>
      <w:hyperlink w:anchor="Section_15">
        <w:r>
          <w:rPr>
            <w:rFonts w:ascii="Arial" w:hAnsi="Arial"/>
            <w:sz w:val="19"/>
            <w:color w:val="215F52"/>
          </w:rPr>
          <w:t>15  Application profile and parameter approvals</w:t>
        </w:r>
      </w:hyperlink>
    </w:p>
    <w:p>
      <w:pPr>
        <w:spacing w:after="60" w:line="252" w:lineRule="auto"/>
      </w:pPr>
      <w:hyperlink w:anchor="Section_16">
        <w:r>
          <w:rPr>
            <w:rFonts w:ascii="Arial" w:hAnsi="Arial"/>
            <w:sz w:val="19"/>
            <w:color w:val="215F52"/>
          </w:rPr>
          <w:t>16  Validation package and requirement crosswalk</w:t>
        </w:r>
      </w:hyperlink>
    </w:p>
    <w:p>
      <w:pPr>
        <w:spacing w:after="60" w:line="252" w:lineRule="auto"/>
      </w:pPr>
      <w:hyperlink w:anchor="Section_17">
        <w:r>
          <w:rPr>
            <w:rFonts w:ascii="Arial" w:hAnsi="Arial"/>
            <w:sz w:val="19"/>
            <w:color w:val="215F52"/>
          </w:rPr>
          <w:t>17  Evidence, annexes and references</w:t>
        </w:r>
      </w:hyperlink>
    </w:p>
    <w:p>
      <w:pPr>
        <w:spacing w:after="60" w:line="252" w:lineRule="auto"/>
      </w:pPr>
      <w:hyperlink w:anchor="Section_18">
        <w:r>
          <w:rPr>
            <w:rFonts w:ascii="Arial" w:hAnsi="Arial"/>
            <w:sz w:val="19"/>
            <w:color w:val="215F52"/>
          </w:rPr>
          <w:t>18  Submission, review and stage decision</w:t>
        </w:r>
      </w:hyperlink>
    </w:p>
    <w:p>
      <w:pPr>
        <w:spacing w:after="60"/>
      </w:pPr>
      <w:hyperlink w:anchor="account_annex">
        <w:r>
          <w:rPr>
            <w:color w:val="215F52"/>
          </w:rPr>
          <w:t>A. Ex-ante, ex-post and migration account attachments</w:t>
        </w:r>
      </w:hyperlink>
    </w:p>
    <w:p>
      <w:pPr>
        <w:spacing w:after="80"/>
      </w:pPr>
      <w:hyperlink w:anchor="calc_register" w:history="1">
        <w:r>
          <w:rPr>
            <w:color w:val="215F52"/>
          </w:rPr>
          <w:t>CALC  Calculation traceability and notation</w:t>
        </w:r>
      </w:hyperlink>
    </w:p>
    <w:p>
      <w:r>
        <w:br w:type="page"/>
      </w:r>
    </w:p>
    <w:p>
      <w:bookmarkStart w:id="101" w:name="Section_1"/>
      <w:pPr>
        <w:pStyle w:val="Heading1"/>
        <w:keepNext/>
      </w:pPr>
      <w:r>
        <w:t>01  Project identity, chronology and authorized scope</w:t>
      </w:r>
      <w:bookmarkEnd w:id="101"/>
    </w:p>
    <w:p>
      <w:pPr>
        <w:keepNext/>
        <w:spacing w:after="180" w:line="259" w:lineRule="auto"/>
      </w:pPr>
      <w:r>
        <w:rPr>
          <w:rFonts w:ascii="Arial" w:hAnsi="Arial"/>
          <w:b w:val="0"/>
          <w:i w:val="0"/>
          <w:color w:val="62716E"/>
          <w:sz w:val="15"/>
        </w:rPr>
        <w:t>[1] Basis: CYC-05; S-01; S-03; S-07; S-18; FRM-01</w:t>
      </w:r>
    </w:p>
    <w:p>
      <w:pPr>
        <w:pStyle w:val="Heading2"/>
        <w:keepNext/>
      </w:pPr>
      <w:r>
        <w:t>Executive description and environmental objectives</w:t>
      </w:r>
    </w:p>
    <w:p>
      <w:pPr>
        <w:keepNext/>
        <w:spacing w:after="100" w:line="259" w:lineRule="auto"/>
      </w:pPr>
      <w:r>
        <w:rPr>
          <w:rFonts w:ascii="Arial" w:hAnsi="Arial"/>
          <w:b w:val="0"/>
          <w:i w:val="0"/>
          <w:color w:val="62716E"/>
          <w:sz w:val="18"/>
        </w:rPr>
        <w:t>Identify the project, ecosystems, activities, intended outcomes and location. State the scope submitted for design validation and distinguish projections from observed or previously verified information.</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Project chronology</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607"/>
        <w:gridCol w:w="3217"/>
        <w:gridCol w:w="2925"/>
      </w:tblGrid>
      <w:tr>
        <w:trPr>
          <w:trHeight w:val="446" w:hRule="atLeast"/>
          <w:tblHeader/>
        </w:trPr>
        <w:tc>
          <w:tcPr>
            <w:tcW w:type="dxa" w:w="360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Event / activity / accounting interval</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Date or period and evidence</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Status / applicable approval</w:t>
            </w:r>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Applicable versions and prior-stage handover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2730"/>
        <w:gridCol w:w="3705"/>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Document / method / decision</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Version / effective scope</w:t>
            </w:r>
          </w:p>
        </w:tc>
        <w:tc>
          <w:tcPr>
            <w:tcW w:type="dxa" w:w="370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and change since feasibility</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70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r>
        <w:br w:type="page"/>
      </w:r>
    </w:p>
    <w:p>
      <w:bookmarkStart w:id="102" w:name="Section_2"/>
      <w:pPr>
        <w:pStyle w:val="Heading1"/>
        <w:keepNext/>
      </w:pPr>
      <w:r>
        <w:t>02  Roles, rights and authority to implement and claim</w:t>
      </w:r>
      <w:bookmarkEnd w:id="102"/>
    </w:p>
    <w:p>
      <w:pPr>
        <w:keepNext/>
        <w:spacing w:after="180" w:line="259" w:lineRule="auto"/>
      </w:pPr>
      <w:r>
        <w:rPr>
          <w:rFonts w:ascii="Arial" w:hAnsi="Arial"/>
          <w:b w:val="0"/>
          <w:i w:val="0"/>
          <w:color w:val="62716E"/>
          <w:sz w:val="15"/>
        </w:rPr>
        <w:t>[1] Basis: S-04; S-05; S-21; S-22; S-25; S-26; AO-02; FRM-07</w:t>
      </w:r>
    </w:p>
    <w:p>
      <w:pPr>
        <w:pStyle w:val="Heading2"/>
        <w:keepNext/>
      </w:pPr>
      <w:r>
        <w:t>Responsibility and authorization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437"/>
        <w:gridCol w:w="2730"/>
        <w:gridCol w:w="4582"/>
      </w:tblGrid>
      <w:tr>
        <w:trPr>
          <w:trHeight w:val="446" w:hRule="atLeast"/>
          <w:tblHeader/>
        </w:trPr>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Role</w:t>
            </w:r>
          </w:p>
        </w:tc>
        <w:tc>
          <w:tcPr>
            <w:tcW w:type="dxa" w:w="273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Entity / named lead</w:t>
            </w:r>
          </w:p>
        </w:tc>
        <w:tc>
          <w:tcPr>
            <w:tcW w:type="dxa" w:w="458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Mandate, scope and evidence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Project proponent</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Rights holders</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Implementing entity</w:t>
            </w:r>
          </w:p>
        </w:tc>
        <w:tc>
          <w:tcPr>
            <w:tcW w:type="dxa" w:w="273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437"/>
            <w:vAlign w:val="center"/>
            <w:tcMar>
              <w:top w:w="70" w:type="dxa"/>
              <w:start w:w="85" w:type="dxa"/>
              <w:bottom w:w="70" w:type="dxa"/>
              <w:end w:w="85" w:type="dxa"/>
            </w:tcMar>
          </w:tcPr>
          <w:p>
            <w:pPr>
              <w:spacing w:after="0" w:line="250" w:lineRule="auto"/>
            </w:pPr>
            <w:r>
              <w:rPr>
                <w:rFonts w:ascii="Arial" w:hAnsi="Arial"/>
                <w:b w:val="0"/>
                <w:i w:val="0"/>
                <w:color w:val="243A36"/>
                <w:sz w:val="16"/>
              </w:rPr>
              <w:t>NEBIOT technical lead</w:t>
            </w:r>
          </w:p>
        </w:tc>
        <w:tc>
          <w:tcPr>
            <w:tcW w:type="dxa" w:w="273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58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Distinct rights and permissions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315"/>
        <w:gridCol w:w="3315"/>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Right / permission / obligation</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Holder, mandate and period</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restriction or dispute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Conflict and service-control arrangements</w:t>
      </w:r>
    </w:p>
    <w:p>
      <w:pPr>
        <w:keepNext/>
        <w:spacing w:after="100" w:line="259" w:lineRule="auto"/>
      </w:pPr>
      <w:r>
        <w:rPr>
          <w:rFonts w:ascii="Arial" w:hAnsi="Arial"/>
          <w:b w:val="0"/>
          <w:i w:val="0"/>
          <w:color w:val="62716E"/>
          <w:sz w:val="18"/>
        </w:rPr>
        <w:t>Identify independent OVV arrangements, internal preparation and decision separation, applicable program review and any S-26 exceptional participation. Record responsible parties for implementation, correction, incidents and remedy.</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3" w:name="Section_3"/>
      <w:pPr>
        <w:pStyle w:val="Heading1"/>
        <w:keepNext/>
      </w:pPr>
      <w:r>
        <w:t>03  Territory, boundaries and spatial support</w:t>
      </w:r>
      <w:bookmarkEnd w:id="103"/>
    </w:p>
    <w:p>
      <w:pPr>
        <w:keepNext/>
        <w:spacing w:after="180" w:line="259" w:lineRule="auto"/>
      </w:pPr>
      <w:r>
        <w:rPr>
          <w:rFonts w:ascii="Arial" w:hAnsi="Arial"/>
          <w:b w:val="0"/>
          <w:i w:val="0"/>
          <w:color w:val="62716E"/>
          <w:sz w:val="15"/>
        </w:rPr>
        <w:t>[1] Basis: S-03; S-06; T-03; AO-09; MIG-13; MIG-14; FRM-04/M</w:t>
      </w:r>
    </w:p>
    <w:p>
      <w:pPr>
        <w:pStyle w:val="Heading2"/>
        <w:keepNext/>
      </w:pPr>
      <w:r>
        <w:t>Project map / spatial evidence</w:t>
      </w:r>
    </w:p>
    <w:p>
      <w:pPr>
        <w:keepNext/>
        <w:spacing w:after="100" w:line="259" w:lineRule="auto"/>
      </w:pPr>
      <w:r>
        <w:rPr>
          <w:rFonts w:ascii="Arial" w:hAnsi="Arial"/>
          <w:b w:val="0"/>
          <w:i w:val="0"/>
          <w:color w:val="62716E"/>
          <w:sz w:val="17"/>
        </w:rPr>
        <w:t>Insert a readable project map. Identify boundary version, coordinate reference system, scale, observation date, data source, legend and restrictions on disclosure. A screening map does not establish rights or an outcome boundary.</w:t>
      </w:r>
    </w:p>
    <w:tbl>
      <w:tblPr>
        <w:tblW w:type="auto" w:w="0"/>
        <w:tblLook w:firstColumn="1" w:firstRow="1" w:lastColumn="0" w:lastRow="0" w:noHBand="0" w:noVBand="1" w:val="04A0"/>
      </w:tblPr>
      <w:tblGrid>
        <w:gridCol w:w="9746"/>
      </w:tblGrid>
      <w:tr>
        <w:trPr>
          <w:trHeight w:val="2088" w:hRule="atLeast"/>
        </w:trPr>
        <w:tc>
          <w:tcPr>
            <w:tcW w:type="dxa" w:w="9746"/>
            <w:shd w:fill="F1F5F2"/>
            <w:vAlign w:val="center"/>
          </w:tcPr>
          <w:p>
            <w:pPr>
              <w:jc w:val="center"/>
            </w:pPr>
            <w:r>
              <w:rPr>
                <w:rFonts w:ascii="Arial" w:hAnsi="Arial"/>
                <w:b/>
                <w:i w:val="0"/>
                <w:color w:val="62716E"/>
                <w:sz w:val="20"/>
              </w:rPr>
              <w:t>[INSERT PROJECT MAP]</w:t>
            </w:r>
          </w:p>
        </w:tc>
      </w:tr>
    </w:tbl>
    <w:p>
      <w:pPr>
        <w:keepNext w:val="0"/>
        <w:spacing w:after="80" w:line="259" w:lineRule="auto"/>
      </w:pPr>
      <w:r>
        <w:rPr>
          <w:rFonts w:ascii="Arial" w:hAnsi="Arial"/>
          <w:b w:val="0"/>
          <w:i w:val="0"/>
          <w:color w:val="243A36"/>
          <w:sz w:val="2"/>
        </w:rPr>
      </w:r>
    </w:p>
    <w:p>
      <w:pPr>
        <w:pStyle w:val="Heading2"/>
        <w:keepNext/>
      </w:pPr>
      <w:r>
        <w:t>Boundaries and accounting domains</w:t>
      </w:r>
    </w:p>
    <w:p>
      <w:pPr>
        <w:keepNext/>
        <w:spacing w:before="40" w:after="60"/>
      </w:pPr>
      <w:r>
        <w:rPr>
          <w:rFonts w:ascii="Lato" w:hAnsi="Lato"/>
          <w:color w:val="315B50"/>
          <w:sz w:val="18"/>
        </w:rPr>
        <w:t>PD-T07 / Calculation notation</w:t>
      </w:r>
    </w:p>
    <w:p>
      <w:pPr>
        <w:keepNext/>
        <w:spacing w:before="40" w:after="60"/>
      </w:pPr>
      <m:oMath>
        <m:sSub>
          <m:e>
            <m:r>
              <w:rPr>
                <w:sz w:val="18"/>
              </w:rPr>
              <m:t>A</m:t>
            </m:r>
          </m:e>
          <m:sub>
            <m:r>
              <w:rPr>
                <w:sz w:val="18"/>
              </w:rPr>
              <m:t>i</m:t>
            </m:r>
            <m:r>
              <w:rPr>
                <w:sz w:val="18"/>
              </w:rPr>
              <m:rPr>
                <m:sty m:val="p"/>
              </m:rPr>
              <m:t>,</m:t>
            </m:r>
            <m:r>
              <w:rPr>
                <w:sz w:val="18"/>
              </w:rPr>
              <m:t>t</m:t>
            </m:r>
          </m:sub>
        </m:sSub>
        <m:r>
          <w:rPr>
            <w:sz w:val="18"/>
          </w:rPr>
          <m:rPr>
            <m:sty m:val="p"/>
          </m:rPr>
          <m:t>=</m:t>
        </m:r>
        <m:f>
          <m:fPr>
            <m:type m:val="bar"/>
          </m:fPr>
          <m:num>
            <m:sSub>
              <m:e>
                <m:r>
                  <w:rPr>
                    <w:sz w:val="18"/>
                  </w:rPr>
                  <m:t>n</m:t>
                </m:r>
              </m:e>
              <m:sub>
                <m:r>
                  <w:rPr>
                    <w:sz w:val="18"/>
                  </w:rPr>
                  <m:t>i</m:t>
                </m:r>
                <m:r>
                  <w:rPr>
                    <w:sz w:val="18"/>
                  </w:rPr>
                  <m:rPr>
                    <m:sty m:val="p"/>
                  </m:rPr>
                  <m:t>,</m:t>
                </m:r>
                <m:r>
                  <w:rPr>
                    <w:sz w:val="18"/>
                  </w:rPr>
                  <m:t>t</m:t>
                </m:r>
              </m:sub>
            </m:sSub>
            <m:sSub>
              <m:e>
                <m:r>
                  <w:rPr>
                    <w:sz w:val="18"/>
                  </w:rPr>
                  <m:t>a</m:t>
                </m:r>
              </m:e>
              <m:sub>
                <m:r>
                  <w:rPr>
                    <w:sz w:val="18"/>
                  </w:rPr>
                  <m:rPr>
                    <m:sty m:val="p"/>
                  </m:rPr>
                  <m:t>c</m:t>
                </m:r>
                <m:r>
                  <w:rPr>
                    <w:sz w:val="18"/>
                  </w:rPr>
                  <m:rPr>
                    <m:sty m:val="p"/>
                  </m:rPr>
                  <m:t>e</m:t>
                </m:r>
                <m:r>
                  <w:rPr>
                    <w:sz w:val="18"/>
                  </w:rPr>
                  <m:rPr>
                    <m:sty m:val="p"/>
                  </m:rPr>
                  <m:t>l</m:t>
                </m:r>
                <m:r>
                  <w:rPr>
                    <w:sz w:val="18"/>
                  </w:rPr>
                  <m:rPr>
                    <m:sty m:val="p"/>
                  </m:rPr>
                  <m:t>l</m:t>
                </m:r>
              </m:sub>
            </m:sSub>
          </m:num>
          <m:den>
            <m:sSub>
              <m:e>
                <m:r>
                  <w:rPr>
                    <w:sz w:val="18"/>
                  </w:rPr>
                  <m:t>k</m:t>
                </m:r>
              </m:e>
              <m:sub>
                <m:r>
                  <w:rPr>
                    <w:sz w:val="18"/>
                  </w:rPr>
                  <m:t>A</m:t>
                </m:r>
              </m:sub>
            </m:sSub>
          </m:den>
        </m:f>
        <m:r>
          <w:rPr>
            <w:sz w:val="18"/>
          </w:rPr>
          <m:rPr>
            <m:sty m:val="p"/>
          </m:rPr>
          <m:t>,</m:t>
        </m:r>
        <m:r>
          <w:rPr>
            <w:sz w:val="18"/>
          </w:rPr>
          <m:t>  </m:t>
        </m:r>
        <m:sSub>
          <m:e>
            <m:r>
              <w:rPr>
                <w:sz w:val="18"/>
              </w:rPr>
              <m:t>k</m:t>
            </m:r>
          </m:e>
          <m:sub>
            <m:r>
              <w:rPr>
                <w:sz w:val="18"/>
              </w:rPr>
              <m:t>A</m:t>
            </m:r>
          </m:sub>
        </m:sSub>
        <m:r>
          <w:rPr>
            <w:sz w:val="18"/>
          </w:rPr>
          <m:rPr>
            <m:sty m:val="p"/>
          </m:rPr>
          <m:t>=</m:t>
        </m:r>
        <m:sSup>
          <m:e>
            <m:r>
              <w:rPr>
                <w:sz w:val="18"/>
              </w:rPr>
              <m:t>10</m:t>
            </m:r>
          </m:e>
          <m:sup>
            <m:r>
              <w:rPr>
                <w:sz w:val="18"/>
              </w:rPr>
              <m:t>4</m:t>
            </m:r>
          </m:sup>
        </m:sSup>
        <m:r>
          <w:rPr>
            <w:sz w:val="18"/>
          </w:rPr>
          <m:t> </m:t>
        </m:r>
        <m:sSup>
          <m:e>
            <m:r>
              <w:rPr>
                <w:sz w:val="18"/>
              </w:rPr>
              <m:rPr>
                <m:sty m:val="p"/>
              </m:rPr>
              <m:t>m</m:t>
            </m:r>
          </m:e>
          <m:sup>
            <m:r>
              <w:rPr>
                <w:sz w:val="18"/>
              </w:rPr>
              <m:rPr>
                <m:sty m:val="p"/>
              </m:rPr>
              <m:t>2</m:t>
            </m:r>
          </m:sup>
        </m:sSup>
        <m:r>
          <w:rPr>
            <w:sz w:val="18"/>
          </w:rPr>
          <m:rPr>
            <m:sty m:val="p"/>
          </m:rPr>
          <m:t> </m:t>
        </m:r>
        <m:r>
          <w:rPr>
            <w:sz w:val="18"/>
          </w:rPr>
          <m:rPr>
            <m:sty m:val="p"/>
          </m:rPr>
          <m:t>h</m:t>
        </m:r>
        <m:sSup>
          <m:e>
            <m:r>
              <w:rPr>
                <w:sz w:val="18"/>
              </w:rPr>
              <m:rPr>
                <m:sty m:val="p"/>
              </m:rPr>
              <m:t>a</m:t>
            </m:r>
          </m:e>
          <m:sup>
            <m:r>
              <w:rPr>
                <w:sz w:val="18"/>
              </w:rPr>
              <m:rPr>
                <m:sty m:val="p"/>
              </m:rPr>
              <m:t>−</m:t>
            </m:r>
            <m:r>
              <w:rPr>
                <w:sz w:val="18"/>
              </w:rPr>
              <m:rPr>
                <m:sty m:val="p"/>
              </m:rPr>
              <m:t>1</m:t>
            </m:r>
          </m:sup>
        </m:sSup>
      </m:oMath>
    </w:p>
    <w:p>
      <w:pPr>
        <w:keepNext/>
        <w:spacing w:before="40" w:after="60"/>
      </w:pPr>
      <w:r>
        <w:rPr>
          <w:rFonts w:ascii="Lato" w:hAnsi="Lato"/>
          <w:color w:val="315B50"/>
          <w:sz w:val="16"/>
        </w:rPr>
        <w:t>n is a pixel count; a_cell is pixel area in m2; A is area in ha. The PIXELS route uses the displayed geometric conversion. Direct area is a documented input. Net class change is not gross deforestation.</w:t>
      </w:r>
    </w:p>
    <w:p>
      <w:pPr>
        <w:keepNext/>
        <w:spacing w:before="40" w:after="60"/>
      </w:pPr>
      <w:r>
        <w:rPr>
          <w:rFonts w:ascii="Lato" w:hAnsi="Lato"/>
          <w:color w:val="315B50"/>
          <w:sz w:val="14"/>
        </w:rPr>
        <w:t>Basis: M01; MIG-13; MIG-14 | Workbook: Spatial!F:I; Profile!B15</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217"/>
        <w:gridCol w:w="3120"/>
        <w:gridCol w:w="3412"/>
      </w:tblGrid>
      <w:tr>
        <w:trPr>
          <w:trHeight w:val="446" w:hRule="atLeast"/>
          <w:tblHeader/>
        </w:trPr>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Domain / stratum / eligible mask</w:t>
            </w:r>
          </w:p>
          <w:p>
            <w:pPr>
              <w:spacing w:before="40" w:after="40"/>
            </w:pPr>
            <m:oMath>
              <m:r>
                <w:rPr>
                  <w:sz w:val="16"/>
                  <w:color w:val="173E34"/>
                </w:rPr>
                <m:t>i</m:t>
              </m:r>
              <m:r>
                <w:rPr>
                  <w:sz w:val="16"/>
                  <w:color w:val="173E34"/>
                </w:rPr>
                <m:rPr>
                  <m:sty m:val="p"/>
                </m:rPr>
                <m:t>,</m:t>
              </m:r>
              <m:r>
                <w:rPr>
                  <w:sz w:val="16"/>
                  <w:color w:val="173E34"/>
                </w:rPr>
                <m:t> </m:t>
              </m:r>
              <m:r>
                <w:rPr>
                  <w:sz w:val="16"/>
                  <w:color w:val="173E34"/>
                </w:rPr>
                <m:t>t</m:t>
              </m:r>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Area, unit, version and date</w:t>
            </w:r>
          </w:p>
          <w:p>
            <w:pPr>
              <w:spacing w:before="40" w:after="40"/>
            </w:pPr>
            <m:oMath>
              <m:sSub>
                <m:e>
                  <m:r>
                    <w:rPr>
                      <w:sz w:val="16"/>
                      <w:color w:val="173E34"/>
                    </w:rPr>
                    <m:t>A</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i</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a</m:t>
                  </m:r>
                </m:e>
                <m:sub>
                  <m:r>
                    <w:rPr>
                      <w:sz w:val="16"/>
                      <w:color w:val="173E34"/>
                    </w:rPr>
                    <m:rPr>
                      <m:sty m:val="p"/>
                    </m:rPr>
                    <m:t>c</m:t>
                  </m:r>
                  <m:r>
                    <w:rPr>
                      <w:sz w:val="16"/>
                      <w:color w:val="173E34"/>
                    </w:rPr>
                    <m:rPr>
                      <m:sty m:val="p"/>
                    </m:rPr>
                    <m:t>e</m:t>
                  </m:r>
                  <m:r>
                    <w:rPr>
                      <w:sz w:val="16"/>
                      <w:color w:val="173E34"/>
                    </w:rPr>
                    <m:rPr>
                      <m:sty m:val="p"/>
                    </m:rPr>
                    <m:t>l</m:t>
                  </m:r>
                  <m:r>
                    <w:rPr>
                      <w:sz w:val="16"/>
                      <w:color w:val="173E34"/>
                    </w:rPr>
                    <m:rPr>
                      <m:sty m:val="p"/>
                    </m:rPr>
                    <m:t>l</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Relationship, exclusions and evidence</w:t>
            </w:r>
          </w:p>
          <w:p>
            <w:pPr>
              <w:spacing w:before="40" w:after="40"/>
            </w:pPr>
            <m:oMath>
              <m:r>
                <w:rPr>
                  <w:sz w:val="16"/>
                  <w:color w:val="173E34"/>
                </w:rPr>
                <m:rPr>
                  <m:nor/>
                  <m:sty m:val="p"/>
                </m:rPr>
                <m:t>mask</m:t>
              </m:r>
              <m:r>
                <w:rPr>
                  <w:sz w:val="16"/>
                  <w:color w:val="173E34"/>
                </w:rPr>
                <m:rPr>
                  <m:sty m:val="p"/>
                </m:rPr>
                <m:t>,</m:t>
              </m:r>
              <m:r>
                <w:rPr>
                  <w:sz w:val="16"/>
                  <w:color w:val="173E34"/>
                </w:rPr>
                <m:t> </m:t>
              </m:r>
              <m:r>
                <w:rPr>
                  <w:sz w:val="16"/>
                  <w:color w:val="173E34"/>
                </w:rPr>
                <m:rPr>
                  <m:nor/>
                  <m:sty m:val="p"/>
                </m:rPr>
                <m:t>scope</m:t>
              </m:r>
            </m:oMath>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Spatial-input passport and change history</w:t>
      </w:r>
    </w:p>
    <w:p>
      <w:pPr>
        <w:keepNext/>
        <w:spacing w:after="100" w:line="259" w:lineRule="auto"/>
      </w:pPr>
      <w:r>
        <w:rPr>
          <w:rFonts w:ascii="Arial" w:hAnsi="Arial"/>
          <w:b w:val="0"/>
          <w:i w:val="0"/>
          <w:color w:val="62716E"/>
          <w:sz w:val="18"/>
        </w:rPr>
        <w:t>Attach exact products, bands, units, spatial and temporal support, measurement dates, forest/event definitions, processing steps, data-use rights and independent applicability tests. Explain boundary changes and reconcile overlap.</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4" w:name="Section_4"/>
      <w:pPr>
        <w:pStyle w:val="Heading1"/>
        <w:keepNext/>
      </w:pPr>
      <w:r>
        <w:t>04  Interventions, objectives and causal design</w:t>
      </w:r>
      <w:bookmarkEnd w:id="104"/>
    </w:p>
    <w:p>
      <w:pPr>
        <w:keepNext/>
        <w:spacing w:after="180" w:line="259" w:lineRule="auto"/>
      </w:pPr>
      <w:r>
        <w:rPr>
          <w:rFonts w:ascii="Arial" w:hAnsi="Arial"/>
          <w:b w:val="0"/>
          <w:i w:val="0"/>
          <w:color w:val="62716E"/>
          <w:sz w:val="15"/>
        </w:rPr>
        <w:t>[1] Basis: CYC-05; S-08; S-25; AO-05; AO-06; AO-07; FRM-01/AO</w:t>
      </w:r>
    </w:p>
    <w:p>
      <w:pPr>
        <w:pStyle w:val="Heading2"/>
        <w:keepNext/>
      </w:pPr>
      <w:r>
        <w:t>Intervention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217"/>
        <w:gridCol w:w="2632"/>
        <w:gridCol w:w="3900"/>
      </w:tblGrid>
      <w:tr>
        <w:trPr>
          <w:trHeight w:val="446" w:hRule="atLeast"/>
          <w:tblHeader/>
        </w:trPr>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Activity / location / implementer</w:t>
            </w:r>
          </w:p>
        </w:tc>
        <w:tc>
          <w:tcPr>
            <w:tcW w:type="dxa" w:w="263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Driver or barrier addressed</w:t>
            </w:r>
          </w:p>
        </w:tc>
        <w:tc>
          <w:tcPr>
            <w:tcW w:type="dxa" w:w="390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Mechanism, expected change and evidence</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63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63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63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Theory of change and evidence boundaries</w:t>
      </w:r>
    </w:p>
    <w:p>
      <w:pPr>
        <w:keepNext/>
        <w:spacing w:after="100" w:line="259" w:lineRule="auto"/>
      </w:pPr>
      <w:r>
        <w:rPr>
          <w:rFonts w:ascii="Arial" w:hAnsi="Arial"/>
          <w:b w:val="0"/>
          <w:i w:val="0"/>
          <w:color w:val="62716E"/>
          <w:sz w:val="18"/>
        </w:rPr>
        <w:t>Explain the causal pathway from activities to intermediate responses and environmental outcomes. Include governance or livelihood mechanisms where supported and distinguish assumptions, alternative explanations and effects outside the project.</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Performance and decision indicators</w:t>
      </w:r>
    </w:p>
    <w:p>
      <w:pPr>
        <w:keepNext/>
        <w:spacing w:before="40" w:after="60"/>
      </w:pPr>
      <w:r>
        <w:rPr>
          <w:rFonts w:ascii="Lato" w:hAnsi="Lato"/>
          <w:color w:val="315B50"/>
          <w:sz w:val="18"/>
        </w:rPr>
        <w:t>PD-T09 / Calculation notation</w:t>
      </w:r>
    </w:p>
    <w:p>
      <w:pPr>
        <w:keepNext/>
        <w:spacing w:before="40" w:after="60"/>
      </w:pPr>
      <m:oMath>
        <m:r>
          <w:rPr>
            <w:sz w:val="18"/>
          </w:rPr>
          <m:t>Δ</m:t>
        </m:r>
        <m:sSubSup>
          <m:e>
            <m:r>
              <w:rPr>
                <w:sz w:val="18"/>
              </w:rPr>
              <m:t>x</m:t>
            </m:r>
          </m:e>
          <m:sub>
            <m:r>
              <w:rPr>
                <w:sz w:val="18"/>
              </w:rPr>
              <m:t>r</m:t>
            </m:r>
            <m:r>
              <w:rPr>
                <w:sz w:val="18"/>
              </w:rPr>
              <m:rPr>
                <m:sty m:val="p"/>
              </m:rPr>
              <m:t>,</m:t>
            </m:r>
            <m:r>
              <w:rPr>
                <w:sz w:val="18"/>
              </w:rPr>
              <m:t>t</m:t>
            </m:r>
          </m:sub>
          <m:sup>
            <m:r>
              <w:rPr>
                <w:sz w:val="18"/>
              </w:rPr>
              <m:rPr>
                <m:sty m:val="p"/>
              </m:rPr>
              <m:t>a</m:t>
            </m:r>
            <m:r>
              <w:rPr>
                <w:sz w:val="18"/>
              </w:rPr>
              <m:rPr>
                <m:sty m:val="p"/>
              </m:rPr>
              <m:t>d</m:t>
            </m:r>
            <m:r>
              <w:rPr>
                <w:sz w:val="18"/>
              </w:rPr>
              <m:rPr>
                <m:sty m:val="p"/>
              </m:rPr>
              <m:t>d</m:t>
            </m:r>
          </m:sup>
        </m:sSubSup>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0</m:t>
                    </m:r>
                  </m:sub>
                </m:sSub>
              </m:sub>
            </m:sSub>
          </m:e>
        </m:d>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0</m:t>
                    </m:r>
                  </m:sub>
                </m:sSub>
              </m:sub>
            </m:sSub>
          </m:e>
        </m:d>
      </m:oMath>
    </w:p>
    <w:p>
      <w:pPr>
        <w:keepNext/>
        <w:spacing w:before="40" w:after="60"/>
      </w:pPr>
      <w:r>
        <w:rPr>
          <w:rFonts w:ascii="Lato" w:hAnsi="Lato"/>
          <w:color w:val="315B50"/>
          <w:sz w:val="16"/>
        </w:rPr>
        <w:t>r identifies one environmental or social indicator with its own unit u_r. This is the candidate estimand in M06.1, not an approved conversion to carbon or NVEU. Report different attributes separately; specify the protocol and observation support.</w:t>
      </w:r>
    </w:p>
    <w:p>
      <w:pPr>
        <w:keepNext/>
        <w:spacing w:before="40" w:after="60"/>
      </w:pPr>
      <w:r>
        <w:rPr>
          <w:rFonts w:ascii="Lato" w:hAnsi="Lato"/>
          <w:color w:val="315B50"/>
          <w:sz w:val="14"/>
        </w:rPr>
        <w:t>Basis: M06.1; T-10 | Workbook: Separate indicator schedule;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412"/>
        <w:gridCol w:w="3022"/>
      </w:tblGrid>
      <w:tr>
        <w:trPr>
          <w:trHeight w:val="446" w:hRule="atLeast"/>
          <w:tblHeader/>
        </w:trPr>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Indicator / attribute</w:t>
            </w:r>
          </w:p>
          <w:p>
            <w:pPr>
              <w:spacing w:before="40" w:after="40"/>
            </w:pPr>
            <m:oMath>
              <m:r>
                <w:rPr>
                  <w:sz w:val="16"/>
                  <w:color w:val="173E34"/>
                </w:rPr>
                <m:t>r</m:t>
              </m:r>
              <m:r>
                <w:rPr>
                  <w:sz w:val="16"/>
                  <w:color w:val="173E34"/>
                </w:rPr>
                <m:rPr>
                  <m:sty m:val="p"/>
                </m:rPr>
                <m:t>,</m:t>
              </m:r>
              <m:r>
                <w:rPr>
                  <w:sz w:val="16"/>
                  <w:color w:val="173E34"/>
                </w:rPr>
                <m:t> </m:t>
              </m:r>
              <m:sSub>
                <m:e>
                  <m:r>
                    <w:rPr>
                      <w:sz w:val="16"/>
                      <w:color w:val="173E34"/>
                    </w:rPr>
                    <m:t>t</m:t>
                  </m:r>
                </m:e>
                <m:sub>
                  <m:r>
                    <w:rPr>
                      <w:sz w:val="16"/>
                      <w:color w:val="173E34"/>
                    </w:rPr>
                    <m:t>0</m:t>
                  </m:r>
                </m:sub>
              </m:sSub>
              <m:r>
                <w:rPr>
                  <w:sz w:val="16"/>
                  <w:color w:val="173E34"/>
                </w:rPr>
                <m:rPr>
                  <m:sty m:val="p"/>
                </m:rPr>
                <m:t>,</m:t>
              </m:r>
              <m:r>
                <w:rPr>
                  <w:sz w:val="16"/>
                  <w:color w:val="173E34"/>
                </w:rPr>
                <m:t> </m:t>
              </m:r>
              <m:sSub>
                <m:e>
                  <m:r>
                    <w:rPr>
                      <w:sz w:val="16"/>
                      <w:color w:val="173E34"/>
                    </w:rPr>
                    <m:t>t</m:t>
                  </m:r>
                </m:e>
                <m:sub>
                  <m:r>
                    <w:rPr>
                      <w:sz w:val="16"/>
                      <w:color w:val="173E34"/>
                    </w:rPr>
                    <m:t>1</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Evidence, unit and frequency</w:t>
            </w:r>
          </w:p>
          <w:p>
            <w:pPr>
              <w:spacing w:before="40" w:after="40"/>
            </w:pPr>
            <m:oMath>
              <m:sSub>
                <m:e>
                  <m:r>
                    <w:rPr>
                      <w:sz w:val="16"/>
                      <w:color w:val="173E34"/>
                    </w:rPr>
                    <m:t>x</m:t>
                  </m:r>
                </m:e>
                <m:sub>
                  <m:r>
                    <w:rPr>
                      <w:sz w:val="16"/>
                      <w:color w:val="173E34"/>
                    </w:rPr>
                    <m:t>r</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t> </m:t>
              </m:r>
              <m:d>
                <m:dPr>
                  <m:begChr m:val="["/>
                  <m:endChr m:val="]"/>
                  <m:sepChr m:val=""/>
                  <m:grow/>
                </m:dPr>
                <m:e>
                  <m:sSub>
                    <m:e>
                      <m:r>
                        <w:rPr>
                          <w:sz w:val="16"/>
                          <w:color w:val="173E34"/>
                        </w:rPr>
                        <m:t>u</m:t>
                      </m:r>
                    </m:e>
                    <m:sub>
                      <m:r>
                        <w:rPr>
                          <w:sz w:val="16"/>
                          <w:color w:val="173E34"/>
                        </w:rPr>
                        <m:t>r</m:t>
                      </m:r>
                    </m:sub>
                  </m:sSub>
                </m:e>
              </m:d>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Responsible party / review trigger</w:t>
            </w:r>
          </w:p>
          <w:p>
            <w:pPr>
              <w:spacing w:before="40" w:after="40"/>
            </w:pPr>
            <m:oMath>
              <m:r>
                <w:rPr>
                  <w:sz w:val="16"/>
                  <w:color w:val="173E34"/>
                </w:rPr>
                <m:t>Δ</m:t>
              </m:r>
              <m:sSubSup>
                <m:e>
                  <m:r>
                    <w:rPr>
                      <w:sz w:val="16"/>
                      <w:color w:val="173E34"/>
                    </w:rPr>
                    <m:t>x</m:t>
                  </m:r>
                </m:e>
                <m:sub>
                  <m:r>
                    <w:rPr>
                      <w:sz w:val="16"/>
                      <w:color w:val="173E34"/>
                    </w:rPr>
                    <m:t>r</m:t>
                  </m:r>
                  <m:r>
                    <w:rPr>
                      <w:sz w:val="16"/>
                      <w:color w:val="173E34"/>
                    </w:rPr>
                    <m:rPr>
                      <m:sty m:val="p"/>
                    </m:rPr>
                    <m:t>,</m:t>
                  </m:r>
                  <m:r>
                    <w:rPr>
                      <w:sz w:val="16"/>
                      <w:color w:val="173E34"/>
                    </w:rPr>
                    <m:t>t</m:t>
                  </m:r>
                </m:sub>
                <m:sup>
                  <m:r>
                    <w:rPr>
                      <w:sz w:val="16"/>
                      <w:color w:val="173E34"/>
                    </w:rPr>
                    <m:rPr>
                      <m:sty m:val="p"/>
                    </m:rPr>
                    <m:t>a</m:t>
                  </m:r>
                  <m:r>
                    <w:rPr>
                      <w:sz w:val="16"/>
                      <w:color w:val="173E34"/>
                    </w:rPr>
                    <m:rPr>
                      <m:sty m:val="p"/>
                    </m:rPr>
                    <m:t>d</m:t>
                  </m:r>
                  <m:r>
                    <w:rPr>
                      <w:sz w:val="16"/>
                      <w:color w:val="173E34"/>
                    </w:rPr>
                    <m:rPr>
                      <m:sty m:val="p"/>
                    </m:rPr>
                    <m:t>d</m:t>
                  </m:r>
                </m:sup>
              </m:sSubSup>
            </m:oMath>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r>
        <w:br w:type="page"/>
      </w:r>
    </w:p>
    <w:p>
      <w:bookmarkStart w:id="105" w:name="Section_5"/>
      <w:pPr>
        <w:pStyle w:val="Heading1"/>
        <w:keepNext/>
      </w:pPr>
      <w:r>
        <w:t>05  Methods, evidence routes and calibrated models</w:t>
      </w:r>
      <w:bookmarkEnd w:id="105"/>
    </w:p>
    <w:p>
      <w:pPr>
        <w:keepNext/>
        <w:spacing w:after="180" w:line="259" w:lineRule="auto"/>
      </w:pPr>
      <w:r>
        <w:rPr>
          <w:rFonts w:ascii="Arial" w:hAnsi="Arial"/>
          <w:b w:val="0"/>
          <w:i w:val="0"/>
          <w:color w:val="62716E"/>
          <w:sz w:val="15"/>
        </w:rPr>
        <w:t>[1] Basis: S-01; S-02; T-01; T-04; T-06; T-07; T-11; T-12; T-13; T-15; FRM-08</w:t>
      </w:r>
    </w:p>
    <w:p>
      <w:pPr>
        <w:pStyle w:val="Heading2"/>
        <w:keepNext/>
      </w:pPr>
      <w:r>
        <w:t>Applicability and pathway register</w:t>
      </w:r>
    </w:p>
    <w:p>
      <w:pPr>
        <w:keepNext/>
        <w:spacing w:before="40" w:after="60"/>
      </w:pPr>
      <w:r>
        <w:rPr>
          <w:rFonts w:ascii="Lato" w:hAnsi="Lato"/>
          <w:color w:val="315B50"/>
          <w:sz w:val="18"/>
        </w:rPr>
        <w:t>PD-T10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217"/>
        <w:gridCol w:w="3217"/>
      </w:tblGrid>
      <w:tr>
        <w:trPr>
          <w:trHeight w:val="446" w:hRule="atLeast"/>
          <w:tblHeader/>
        </w:trPr>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Module / stratum / route A, B or C</w:t>
            </w:r>
          </w:p>
          <w:p>
            <w:pPr>
              <w:spacing w:before="40" w:after="40"/>
            </w:pPr>
            <m:oMath>
              <m:sSub>
                <m:e>
                  <m:r>
                    <w:rPr>
                      <w:sz w:val="16"/>
                      <w:color w:val="173E34"/>
                    </w:rPr>
                    <m:t>x</m:t>
                  </m:r>
                </m:e>
                <m:sub>
                  <m:r>
                    <w:rPr>
                      <w:sz w:val="16"/>
                      <w:color w:val="173E34"/>
                    </w:rPr>
                    <m:rPr>
                      <m:sty m:val="p"/>
                    </m:rPr>
                    <m:t>ℓ</m:t>
                  </m:r>
                </m:sub>
              </m:sSub>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Inputs, domains and exclusions</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Version, qualification and evidence</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NEB001 implementation and independent checks</w:t>
      </w:r>
    </w:p>
    <w:p>
      <w:pPr>
        <w:keepNext/>
        <w:spacing w:after="100" w:line="259" w:lineRule="auto"/>
      </w:pPr>
      <w:r>
        <w:rPr>
          <w:rFonts w:ascii="Arial" w:hAnsi="Arial"/>
          <w:b w:val="0"/>
          <w:i w:val="0"/>
          <w:color w:val="62716E"/>
          <w:sz w:val="18"/>
        </w:rPr>
        <w:t>Reference field and floristic evidence, CCA and gradient calibration, membership functions, inference, MOM, rules and parameters, temporal consistency, classification error and independent reference design.</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NEB002 reference, estimation and transfer</w:t>
      </w:r>
    </w:p>
    <w:p>
      <w:pPr>
        <w:keepNext/>
        <w:spacing w:after="100" w:line="259" w:lineRule="auto"/>
      </w:pPr>
      <w:r>
        <w:rPr>
          <w:rFonts w:ascii="Arial" w:hAnsi="Arial"/>
          <w:b w:val="0"/>
          <w:i w:val="0"/>
          <w:color w:val="62716E"/>
          <w:sz w:val="18"/>
        </w:rPr>
        <w:t>Reference disjoint organ measurements, material-volume and density conventions, tissue fractions, quality controls and plot aggregation; or the selected qualified library / secondary-evidence route. Document actual model records, holdouts, transfer limits and failed tests as applicable.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6" w:name="Section_6"/>
      <w:pPr>
        <w:pStyle w:val="Heading1"/>
        <w:keepNext/>
      </w:pPr>
      <w:r>
        <w:t>06  Baseline, drivers and applicable reference relationships</w:t>
      </w:r>
      <w:bookmarkEnd w:id="106"/>
    </w:p>
    <w:p>
      <w:pPr>
        <w:keepNext/>
        <w:spacing w:after="180" w:line="259" w:lineRule="auto"/>
      </w:pPr>
      <w:r>
        <w:rPr>
          <w:rFonts w:ascii="Arial" w:hAnsi="Arial"/>
          <w:b w:val="0"/>
          <w:i w:val="0"/>
          <w:color w:val="62716E"/>
          <w:sz w:val="15"/>
        </w:rPr>
        <w:t>[1] Basis: S-05; S-09; AO-05; MIG-03; MIG-05; FRM-05</w:t>
      </w:r>
    </w:p>
    <w:p>
      <w:pPr>
        <w:pStyle w:val="Heading2"/>
        <w:keepNext/>
      </w:pPr>
      <w:r>
        <w:t>Baseline scenario comparison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Alternative / driver / domain</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Historical and current evidence</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Credibility, selection and rejection</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Selected baseline and spatial / temporal allocation</w:t>
      </w:r>
    </w:p>
    <w:p>
      <w:pPr>
        <w:keepNext/>
        <w:spacing w:after="100" w:line="259" w:lineRule="auto"/>
      </w:pPr>
      <w:r>
        <w:rPr>
          <w:rFonts w:ascii="Arial" w:hAnsi="Arial"/>
          <w:b w:val="0"/>
          <w:i w:val="0"/>
          <w:color w:val="62716E"/>
          <w:sz w:val="18"/>
        </w:rPr>
        <w:t>State the selected pathway, reference domain, historical series, applicable periods and allocation method. Distinguish actual land use, preparation and anticipated conversion. Identify any required national reference, nesting or accounting relationship using its dated applicability record.</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Validity, sensitivity and controlled reassessment</w:t>
      </w:r>
    </w:p>
    <w:p>
      <w:pPr>
        <w:keepNext/>
        <w:spacing w:after="100" w:line="259" w:lineRule="auto"/>
      </w:pPr>
      <w:r>
        <w:rPr>
          <w:rFonts w:ascii="Arial" w:hAnsi="Arial"/>
          <w:b w:val="0"/>
          <w:i w:val="0"/>
          <w:color w:val="62716E"/>
          <w:sz w:val="18"/>
        </w:rPr>
        <w:t>Document sensitivities, transfer of evidence, changes in drivers, conditions for reassessment and reconciliation with prior versions. Changes cannot silently reset project age, baseline or obligations.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07" w:name="Section_7"/>
      <w:pPr>
        <w:pStyle w:val="Heading1"/>
        <w:keepNext/>
      </w:pPr>
      <w:r>
        <w:t>07  Additionality and adaptive continuation</w:t>
      </w:r>
      <w:bookmarkEnd w:id="107"/>
    </w:p>
    <w:p>
      <w:pPr>
        <w:keepNext/>
        <w:spacing w:after="180" w:line="259" w:lineRule="auto"/>
      </w:pPr>
      <w:r>
        <w:rPr>
          <w:rFonts w:ascii="Arial" w:hAnsi="Arial"/>
          <w:b w:val="0"/>
          <w:i w:val="0"/>
          <w:color w:val="62716E"/>
          <w:sz w:val="15"/>
        </w:rPr>
        <w:t>[1] Basis: S-08; AO-06; AO-07; AO-08; AO-10; AO-11; FRM-01/AO; FRM-02/AO</w:t>
      </w:r>
    </w:p>
    <w:p>
      <w:pPr>
        <w:pStyle w:val="Heading2"/>
        <w:keepNext/>
      </w:pPr>
      <w:r>
        <w:t>Applicable additionality tests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Test / intervention / relevant period</w:t>
            </w:r>
          </w:p>
        </w:tc>
        <w:tc>
          <w:tcPr>
            <w:tcW w:type="dxa" w:w="351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and counterfactual</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Conclusion, limits and review trigger</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Legal duties, common practice and financing where applicable</w:t>
      </w:r>
    </w:p>
    <w:p>
      <w:pPr>
        <w:keepNext/>
        <w:spacing w:after="100" w:line="259" w:lineRule="auto"/>
      </w:pPr>
      <w:r>
        <w:rPr>
          <w:rFonts w:ascii="Arial" w:hAnsi="Arial"/>
          <w:b w:val="0"/>
          <w:i w:val="0"/>
          <w:color w:val="62716E"/>
          <w:sz w:val="18"/>
        </w:rPr>
        <w:t>Explain how each adopted test is met using dated evidence. Distinguish compliance with legal duties from evidence of additional effect. Address the actual role of prior and concurrent interventions rather than assuming untreated territory.</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Continuing additionality review plan</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Indicator / changed condition</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frequency or event trigger</w:t>
            </w:r>
          </w:p>
        </w:tc>
        <w:tc>
          <w:tcPr>
            <w:tcW w:type="dxa" w:w="321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Reviewer, action and controlled record</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r>
        <w:br w:type="page"/>
      </w:r>
    </w:p>
    <w:p>
      <w:bookmarkStart w:id="108" w:name="Section_8"/>
      <w:pPr>
        <w:pStyle w:val="Heading1"/>
        <w:keepNext/>
      </w:pPr>
      <w:r>
        <w:t>08  Overlap, interacting initiatives and migration</w:t>
      </w:r>
      <w:bookmarkEnd w:id="108"/>
    </w:p>
    <w:p>
      <w:pPr>
        <w:keepNext/>
        <w:spacing w:after="180" w:line="259" w:lineRule="auto"/>
      </w:pPr>
      <w:r>
        <w:rPr>
          <w:rFonts w:ascii="Arial" w:hAnsi="Arial"/>
          <w:b w:val="0"/>
          <w:i w:val="0"/>
          <w:color w:val="62716E"/>
          <w:sz w:val="15"/>
        </w:rPr>
        <w:t>[1] Basis: AO-01; AO-02; AO-04; AO-09; AO-10; AO-11; AO-12; MIG-02; MIG-06; MIG-07; MIG-12; MIG-17; FRM-04/AO; FRM-04/M</w:t>
      </w:r>
    </w:p>
    <w:p>
      <w:pPr>
        <w:pStyle w:val="Heading2"/>
        <w:keepNext/>
      </w:pPr>
      <w:r>
        <w:t>Outcome-level overlap assessment</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315"/>
        <w:gridCol w:w="3120"/>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Initiative / geography / period / attribute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Authority, interventions and claim history</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Finding, allocation evidence or bounded hold</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Reconciliation and uniqueness</w:t>
      </w:r>
    </w:p>
    <w:p>
      <w:pPr>
        <w:keepNext/>
        <w:spacing w:after="100" w:line="259" w:lineRule="auto"/>
      </w:pPr>
      <w:r>
        <w:rPr>
          <w:rFonts w:ascii="Arial" w:hAnsi="Arial"/>
          <w:b w:val="0"/>
          <w:i w:val="0"/>
          <w:color w:val="62716E"/>
          <w:sz w:val="18"/>
        </w:rPr>
        <w:t>Separate geographic intersection, legitimate authority, additionality and outcome duplication. Identify shared causal effects; do not assign the entire common outcome to every initiative. Record the spatial and temporal support of the actual claim, not only its identifier.</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Migration and historical obligations, where applicable</w:t>
      </w:r>
    </w:p>
    <w:p>
      <w:pPr>
        <w:keepNext/>
        <w:spacing w:before="40" w:after="60"/>
      </w:pPr>
      <w:r>
        <w:rPr>
          <w:rFonts w:ascii="Lato" w:hAnsi="Lato"/>
          <w:color w:val="315B50"/>
          <w:sz w:val="18"/>
        </w:rPr>
        <w:t>PD-T15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022"/>
        <w:gridCol w:w="3607"/>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Origin / method / record</w:t>
            </w:r>
          </w:p>
          <w:p>
            <w:pPr>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Status, quantity and period</w:t>
            </w:r>
          </w:p>
          <w:p>
            <w:pPr>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60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Transition and outstanding responsibility</w:t>
            </w:r>
          </w:p>
          <w:p>
            <w:pPr>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60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60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Preserve originating records, other external carbon units and their use history, reversals and reserve obligations. Qualified map reuse remains available. Cancellation alone does not authorize replacement issuance or create a new environmental benefit.</w:t>
      </w:r>
    </w:p>
    <w:p>
      <w:r>
        <w:br w:type="page"/>
      </w:r>
    </w:p>
    <w:p>
      <w:bookmarkStart w:id="109" w:name="Section_9"/>
      <w:pPr>
        <w:pStyle w:val="Heading1"/>
        <w:keepNext/>
      </w:pPr>
      <w:r>
        <w:t>09  Quantification and reproducible environmental account</w:t>
      </w:r>
      <w:bookmarkEnd w:id="109"/>
    </w:p>
    <w:p>
      <w:pPr>
        <w:keepNext/>
        <w:spacing w:after="180" w:line="259" w:lineRule="auto"/>
      </w:pPr>
      <w:r>
        <w:rPr>
          <w:rFonts w:ascii="Arial" w:hAnsi="Arial"/>
          <w:b w:val="0"/>
          <w:i w:val="0"/>
          <w:color w:val="62716E"/>
          <w:sz w:val="15"/>
        </w:rPr>
        <w:t>[1] Basis: F-01; T-05; T-08; T-09; CYC-05; FRM-02</w:t>
      </w:r>
    </w:p>
    <w:p>
      <w:pPr>
        <w:pStyle w:val="Heading2"/>
        <w:keepNext/>
      </w:pPr>
      <w:r>
        <w:t>Calculation chain and input provenance</w:t>
      </w:r>
    </w:p>
    <w:p>
      <w:pPr>
        <w:keepNext/>
        <w:spacing w:before="40" w:after="60"/>
      </w:pPr>
      <w:r>
        <w:rPr>
          <w:rFonts w:ascii="Lato" w:hAnsi="Lato"/>
          <w:color w:val="315B50"/>
          <w:sz w:val="18"/>
        </w:rPr>
        <w:t>PD-T16 / Calculation notation</w:t>
      </w:r>
    </w:p>
    <w:p>
      <w:pPr>
        <w:keepNext/>
        <w:spacing w:before="40" w:after="60"/>
      </w:pPr>
      <m:oMath>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r>
          <w:rPr>
            <w:sz w:val="18"/>
          </w:rPr>
          <m:rPr>
            <m:sty m:val="p"/>
          </m:rPr>
          <m:t>=</m:t>
        </m:r>
        <m:sSub>
          <m:e>
            <m:r>
              <w:rPr>
                <w:sz w:val="18"/>
              </w:rPr>
              <m:t>x</m:t>
            </m:r>
          </m:e>
          <m:sub>
            <m:r>
              <w:rPr>
                <w:sz w:val="18"/>
              </w:rPr>
              <m:rPr>
                <m:sty m:val="p"/>
              </m:rPr>
              <m:t>ℓ</m:t>
            </m:r>
            <m:r>
              <w:rPr>
                <w:sz w:val="18"/>
              </w:rPr>
              <m:rPr>
                <m:sty m:val="p"/>
              </m:rPr>
              <m:t>,</m:t>
            </m:r>
            <m:r>
              <w:rPr>
                <w:sz w:val="18"/>
              </w:rPr>
              <m:t>s</m:t>
            </m:r>
            <m:r>
              <w:rPr>
                <w:sz w:val="18"/>
              </w:rPr>
              <m:rPr>
                <m:sty m:val="p"/>
              </m:rPr>
              <m:t>,</m:t>
            </m:r>
            <m:r>
              <w:rPr>
                <w:sz w:val="18"/>
              </w:rPr>
              <m:t>t</m:t>
            </m:r>
          </m:sub>
        </m:sSub>
        <m:sSub>
          <m:e>
            <m:r>
              <w:rPr>
                <w:sz w:val="18"/>
              </w:rPr>
              <m:t>f</m:t>
            </m:r>
          </m:e>
          <m:sub>
            <m:r>
              <w:rPr>
                <w:sz w:val="18"/>
              </w:rPr>
              <m:rPr>
                <m:sty m:val="p"/>
              </m:rPr>
              <m:t>ℓ</m:t>
            </m:r>
            <m:r>
              <w:rPr>
                <w:sz w:val="18"/>
              </w:rPr>
              <m:rPr>
                <m:sty m:val="p"/>
              </m:rPr>
              <m:t>,</m:t>
            </m:r>
            <m:r>
              <w:rPr>
                <w:sz w:val="18"/>
              </w:rPr>
              <m:t>s</m:t>
            </m:r>
            <m:r>
              <w:rPr>
                <w:sz w:val="18"/>
              </w:rPr>
              <m:rPr>
                <m:sty m:val="p"/>
              </m:rPr>
              <m:t>,</m:t>
            </m:r>
            <m:r>
              <w:rPr>
                <w:sz w:val="18"/>
              </w:rPr>
              <m:t>t</m:t>
            </m:r>
          </m:sub>
        </m:sSub>
      </m:oMath>
    </w:p>
    <w:p>
      <w:pPr>
        <w:keepNext/>
        <w:spacing w:before="40" w:after="60"/>
      </w:pPr>
      <m:oMath>
        <m:sSub>
          <m:e>
            <m:r>
              <w:rPr>
                <w:sz w:val="18"/>
              </w:rPr>
              <m:t>N</m:t>
            </m:r>
          </m:e>
          <m:sub>
            <m:r>
              <w:rPr>
                <w:sz w:val="18"/>
              </w:rPr>
              <m:t>s</m:t>
            </m:r>
            <m:r>
              <w:rPr>
                <w:sz w:val="18"/>
              </w:rPr>
              <m:rPr>
                <m:sty m:val="p"/>
              </m:rPr>
              <m:t>,</m:t>
            </m:r>
            <m:r>
              <w:rPr>
                <w:sz w:val="18"/>
              </w:rPr>
              <m:t>t</m:t>
            </m:r>
          </m:sub>
        </m:sSub>
        <m:r>
          <w:rPr>
            <w:sz w:val="18"/>
          </w:rPr>
          <m:rPr>
            <m:sty m:val="p"/>
          </m:rPr>
          <m:t>=</m:t>
        </m:r>
        <m:nary>
          <m:naryPr>
            <m:chr m:val="∑"/>
            <m:limLoc m:val="undOvr"/>
            <m:subHide m:val="off"/>
            <m:supHide m:val="on"/>
          </m:naryPr>
          <m:sub>
            <m:r>
              <w:rPr>
                <w:sz w:val="18"/>
              </w:rPr>
              <m:rPr>
                <m:sty m:val="p"/>
              </m:rPr>
              <m:t>ℓ</m:t>
            </m:r>
            <m:r>
              <w:rPr>
                <w:sz w:val="18"/>
              </w:rPr>
              <m:rPr>
                <m:sty m:val="p"/>
              </m:rPr>
              <m:t>∈</m:t>
            </m:r>
            <m:sSub>
              <m:e>
                <m:r>
                  <w:rPr>
                    <w:sz w:val="18"/>
                  </w:rPr>
                  <m:rPr>
                    <m:sty m:val="p"/>
                    <m:scr m:val="script"/>
                  </m:rPr>
                  <m:t>I</m:t>
                </m:r>
              </m:e>
              <m:sub>
                <m:r>
                  <w:rPr>
                    <w:sz w:val="18"/>
                  </w:rPr>
                  <m:t>s</m:t>
                </m:r>
                <m:r>
                  <w:rPr>
                    <w:sz w:val="18"/>
                  </w:rPr>
                  <m:rPr>
                    <m:sty m:val="p"/>
                  </m:rPr>
                  <m:t>,</m:t>
                </m:r>
                <m:r>
                  <w:rPr>
                    <w:sz w:val="18"/>
                  </w:rPr>
                  <m:t>t</m:t>
                </m:r>
              </m:sub>
            </m:sSub>
          </m:sub>
          <m:sup>
            <m:r>
              <w:rPr>
                <w:sz w:val="18"/>
              </w:rPr>
              <m:t>​</m:t>
            </m:r>
          </m:sup>
          <m:e>
            <m:sSub>
              <m:e>
                <m:r>
                  <w:rPr>
                    <w:sz w:val="18"/>
                  </w:rPr>
                  <m:t>q</m:t>
                </m:r>
              </m:e>
              <m:sub>
                <m:r>
                  <w:rPr>
                    <w:sz w:val="18"/>
                  </w:rPr>
                  <m:rPr>
                    <m:sty m:val="p"/>
                  </m:rPr>
                  <m:t>ℓ</m:t>
                </m:r>
                <m:r>
                  <w:rPr>
                    <w:sz w:val="18"/>
                  </w:rPr>
                  <m:rPr>
                    <m:sty m:val="p"/>
                  </m:rPr>
                  <m:t>,</m:t>
                </m:r>
                <m:r>
                  <w:rPr>
                    <w:sz w:val="18"/>
                  </w:rPr>
                  <m:t>s</m:t>
                </m:r>
                <m:r>
                  <w:rPr>
                    <w:sz w:val="18"/>
                  </w:rPr>
                  <m:rPr>
                    <m:sty m:val="p"/>
                  </m:rPr>
                  <m:t>,</m:t>
                </m:r>
                <m:r>
                  <w:rPr>
                    <w:sz w:val="18"/>
                  </w:rPr>
                  <m:t>t</m:t>
                </m:r>
              </m:sub>
            </m:sSub>
          </m:e>
        </m:nary>
      </m:oMath>
    </w:p>
    <w:p>
      <w:pPr>
        <w:keepNext/>
        <w:spacing w:before="40" w:after="60"/>
      </w:pPr>
      <w:r>
        <w:rPr>
          <w:rFonts w:ascii="Lato" w:hAnsi="Lato"/>
          <w:color w:val="315B50"/>
          <w:sz w:val="16"/>
        </w:rPr>
        <w:t>x and f have reciprocal units yielding t CO2e per period. I is the set of included, evidenced, disjoint components for the same basis, period and account. For precomputed mass, f=1 must be explicitly entered with its meaning. BL and PJ are net emissions; LK is attributable leakage.</w:t>
      </w:r>
    </w:p>
    <w:p>
      <w:pPr>
        <w:keepNext/>
        <w:spacing w:before="40" w:after="60"/>
      </w:pPr>
      <w:r>
        <w:rPr>
          <w:rFonts w:ascii="Lato" w:hAnsi="Lato"/>
          <w:color w:val="315B50"/>
          <w:sz w:val="14"/>
        </w:rPr>
        <w:t>Basis: M04.4; M04.5; T-08; arithmetic implementation | Workbook: Components!G:I; ExAnte!F:H; ExPost!F:H</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Step / equation IDs / output</w:t>
            </w:r>
          </w:p>
          <w:p>
            <w:pPr>
              <w:spacing w:before="40" w:after="40"/>
            </w:pPr>
            <m:oMath>
              <m:r>
                <w:rPr>
                  <w:sz w:val="16"/>
                  <w:color w:val="173E34"/>
                </w:rPr>
                <m:rPr>
                  <m:sty m:val="p"/>
                </m:rPr>
                <m:t>ℓ</m:t>
              </m:r>
              <m:r>
                <w:rPr>
                  <w:sz w:val="16"/>
                  <w:color w:val="173E34"/>
                </w:rPr>
                <m:rPr>
                  <m:sty m:val="p"/>
                </m:rPr>
                <m:t>,</m:t>
              </m:r>
              <m:r>
                <w:rPr>
                  <w:sz w:val="16"/>
                  <w:color w:val="173E34"/>
                </w:rPr>
                <m:t> </m:t>
              </m:r>
              <m:r>
                <w:rPr>
                  <w:sz w:val="16"/>
                  <w:color w:val="173E34"/>
                </w:rPr>
                <m:t>s</m:t>
              </m:r>
              <m:r>
                <w:rPr>
                  <w:sz w:val="16"/>
                  <w:color w:val="173E34"/>
                </w:rPr>
                <m:rPr>
                  <m:sty m:val="p"/>
                </m:rPr>
                <m:t>,</m:t>
              </m:r>
              <m:r>
                <w:rPr>
                  <w:sz w:val="16"/>
                  <w:color w:val="173E34"/>
                </w:rPr>
                <m:t> </m:t>
              </m:r>
              <m:r>
                <w:rPr>
                  <w:sz w:val="16"/>
                  <w:color w:val="173E34"/>
                </w:rPr>
                <m:t>t</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Input IDs, units, period and support</w:t>
            </w:r>
          </w:p>
          <w:p>
            <w:pPr>
              <w:spacing w:before="40" w:after="40"/>
            </w:pPr>
            <m:oMath>
              <m:sSub>
                <m:e>
                  <m:r>
                    <w:rPr>
                      <w:sz w:val="16"/>
                      <w:color w:val="173E34"/>
                    </w:rPr>
                    <m:t>x</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f</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Result, status and calculation location</w:t>
            </w:r>
          </w:p>
          <w:p>
            <w:pPr>
              <w:spacing w:before="40" w:after="40"/>
            </w:pPr>
            <m:oMath>
              <m:sSub>
                <m:e>
                  <m:r>
                    <w:rPr>
                      <w:sz w:val="16"/>
                      <w:color w:val="173E34"/>
                    </w:rPr>
                    <m:t>q</m:t>
                  </m:r>
                </m:e>
                <m:sub>
                  <m:r>
                    <w:rPr>
                      <w:sz w:val="16"/>
                      <w:color w:val="173E34"/>
                    </w:rPr>
                    <m:rPr>
                      <m:sty m:val="p"/>
                    </m:rPr>
                    <m:t>ℓ</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rPr>
                  <m:sty m:val="p"/>
                </m:rPr>
                <m:t>,</m:t>
              </m:r>
              <m:r>
                <w:rPr>
                  <w:sz w:val="16"/>
                  <w:color w:val="173E34"/>
                </w:rPr>
                <m:t> </m:t>
              </m:r>
              <m:sSub>
                <m:e>
                  <m:r>
                    <w:rPr>
                      <w:sz w:val="16"/>
                      <w:color w:val="173E34"/>
                    </w:rPr>
                    <m:t>N</m:t>
                  </m:r>
                </m:e>
                <m:sub>
                  <m:r>
                    <w:rPr>
                      <w:sz w:val="16"/>
                      <w:color w:val="173E34"/>
                    </w:rPr>
                    <m:t>s</m:t>
                  </m:r>
                  <m:r>
                    <w:rPr>
                      <w:sz w:val="16"/>
                      <w:color w:val="173E34"/>
                    </w:rPr>
                    <m:rPr>
                      <m:sty m:val="p"/>
                    </m:rPr>
                    <m:t>,</m:t>
                  </m:r>
                  <m:r>
                    <w:rPr>
                      <w:sz w:val="16"/>
                      <w:color w:val="173E34"/>
                    </w:rPr>
                    <m:t>t</m:t>
                  </m:r>
                </m:sub>
              </m:sSub>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Matched scenario and leakage accounts</w:t>
      </w:r>
    </w:p>
    <w:p>
      <w:pPr>
        <w:keepNext/>
        <w:spacing w:before="40" w:after="60"/>
      </w:pPr>
      <w:r>
        <w:rPr>
          <w:rFonts w:ascii="Lato" w:hAnsi="Lato"/>
          <w:color w:val="315B50"/>
          <w:sz w:val="18"/>
        </w:rPr>
        <w:t>PD-T17 / Calculation notation</w:t>
      </w:r>
    </w:p>
    <w:p>
      <w:pPr>
        <w:keepNext/>
        <w:spacing w:before="40" w:after="60"/>
      </w:pPr>
      <m:oMath>
        <m:sSubSup>
          <m:e>
            <m:acc>
              <m:accPr>
                <m:chr m:val="̂"/>
              </m:accPr>
              <m:e>
                <m:r>
                  <w:rPr>
                    <w:sz w:val="18"/>
                  </w:rPr>
                  <m:t>Q</m:t>
                </m:r>
              </m:e>
            </m:acc>
          </m:e>
          <m:sub>
            <m:r>
              <w:rPr>
                <w:sz w:val="18"/>
              </w:rPr>
              <m:t>t</m:t>
            </m:r>
          </m:sub>
          <m:sup>
            <m:r>
              <w:rPr>
                <w:sz w:val="18"/>
              </w:rPr>
              <m:t>z</m:t>
            </m:r>
          </m:sup>
        </m:sSubSup>
        <m:r>
          <w:rPr>
            <w:sz w:val="18"/>
          </w:rPr>
          <m:rPr>
            <m:sty m:val="p"/>
          </m:rPr>
          <m:t>=</m:t>
        </m:r>
        <m:sSubSup>
          <m:e>
            <m:r>
              <w:rPr>
                <w:sz w:val="18"/>
              </w:rPr>
              <m:t>N</m:t>
            </m:r>
          </m:e>
          <m:sub>
            <m:r>
              <w:rPr>
                <w:sz w:val="18"/>
              </w:rPr>
              <m:rPr>
                <m:sty m:val="p"/>
              </m:rPr>
              <m:t>B</m:t>
            </m:r>
            <m:r>
              <w:rPr>
                <w:sz w:val="18"/>
              </w:rPr>
              <m:rPr>
                <m:sty m:val="p"/>
              </m:rPr>
              <m:t>L</m:t>
            </m:r>
            <m:r>
              <w:rPr>
                <w:sz w:val="18"/>
              </w:rPr>
              <m:rPr>
                <m:sty m:val="p"/>
              </m:rPr>
              <m:t>,</m:t>
            </m:r>
            <m:r>
              <w:rPr>
                <w:sz w:val="18"/>
              </w:rPr>
              <m:t>t</m:t>
            </m:r>
          </m:sub>
          <m:sup>
            <m:r>
              <w:rPr>
                <w:sz w:val="18"/>
              </w:rPr>
              <m:t>z</m:t>
            </m:r>
          </m:sup>
        </m:sSubSup>
        <m:r>
          <w:rPr>
            <w:sz w:val="18"/>
          </w:rPr>
          <m:rPr>
            <m:sty m:val="p"/>
          </m:rPr>
          <m:t>−</m:t>
        </m:r>
        <m:sSubSup>
          <m:e>
            <m:r>
              <w:rPr>
                <w:sz w:val="18"/>
              </w:rPr>
              <m:t>N</m:t>
            </m:r>
          </m:e>
          <m:sub>
            <m:r>
              <w:rPr>
                <w:sz w:val="18"/>
              </w:rPr>
              <m:rPr>
                <m:sty m:val="p"/>
              </m:rPr>
              <m:t>P</m:t>
            </m:r>
            <m:r>
              <w:rPr>
                <w:sz w:val="18"/>
              </w:rPr>
              <m:rPr>
                <m:sty m:val="p"/>
              </m:rPr>
              <m:t>J</m:t>
            </m:r>
            <m:r>
              <w:rPr>
                <w:sz w:val="18"/>
              </w:rPr>
              <m:rPr>
                <m:sty m:val="p"/>
              </m:rPr>
              <m:t>,</m:t>
            </m:r>
            <m:r>
              <w:rPr>
                <w:sz w:val="18"/>
              </w:rPr>
              <m:t>t</m:t>
            </m:r>
          </m:sub>
          <m:sup>
            <m:r>
              <w:rPr>
                <w:sz w:val="18"/>
              </w:rPr>
              <m:t>z</m:t>
            </m:r>
          </m:sup>
        </m:sSubSup>
        <m:r>
          <w:rPr>
            <w:sz w:val="18"/>
          </w:rPr>
          <m:rPr>
            <m:sty m:val="p"/>
          </m:rPr>
          <m:t>−</m:t>
        </m:r>
        <m:sSubSup>
          <m:e>
            <m:r>
              <w:rPr>
                <w:sz w:val="18"/>
              </w:rPr>
              <m:t>L</m:t>
            </m:r>
          </m:e>
          <m:sub>
            <m:r>
              <w:rPr>
                <w:sz w:val="18"/>
              </w:rPr>
              <m:t>t</m:t>
            </m:r>
          </m:sub>
          <m:sup>
            <m:r>
              <w:rPr>
                <w:sz w:val="18"/>
              </w:rPr>
              <m:t>z</m:t>
            </m:r>
          </m:sup>
        </m:sSubSup>
        <m:r>
          <w:rPr>
            <w:sz w:val="18"/>
          </w:rPr>
          <m:rPr>
            <m:sty m:val="p"/>
          </m:rPr>
          <m:t>,</m:t>
        </m:r>
        <m:r>
          <w:rPr>
            <w:sz w:val="18"/>
          </w:rPr>
          <m:t>  </m:t>
        </m:r>
        <m:r>
          <w:rPr>
            <w:sz w:val="18"/>
          </w:rPr>
          <m:t>z</m:t>
        </m:r>
        <m:r>
          <w:rPr>
            <w:sz w:val="18"/>
          </w:rPr>
          <m:rPr>
            <m:sty m:val="p"/>
          </m:rPr>
          <m:t>∈</m:t>
        </m:r>
        <m:r>
          <w:rPr>
            <w:sz w:val="18"/>
          </w:rPr>
          <m:rPr>
            <m:sty m:val="p"/>
          </m:rPr>
          <m:t>{</m:t>
        </m:r>
        <m:r>
          <w:rPr>
            <w:sz w:val="18"/>
          </w:rPr>
          <m:rPr>
            <m:sty m:val="p"/>
          </m:rPr>
          <m:t>E</m:t>
        </m:r>
        <m:r>
          <w:rPr>
            <w:sz w:val="18"/>
          </w:rPr>
          <m:rPr>
            <m:sty m:val="p"/>
          </m:rPr>
          <m:t>A</m:t>
        </m:r>
        <m:r>
          <w:rPr>
            <w:sz w:val="18"/>
          </w:rPr>
          <m:rPr>
            <m:sty m:val="p"/>
          </m:rPr>
          <m:t>,</m:t>
        </m:r>
        <m:r>
          <w:rPr>
            <w:sz w:val="18"/>
          </w:rPr>
          <m:rPr>
            <m:sty m:val="p"/>
          </m:rPr>
          <m:t>E</m:t>
        </m:r>
        <m:r>
          <w:rPr>
            <w:sz w:val="18"/>
          </w:rPr>
          <m:rPr>
            <m:sty m:val="p"/>
          </m:rPr>
          <m:t>P</m:t>
        </m:r>
        <m:r>
          <w:rPr>
            <w:sz w:val="18"/>
          </w:rPr>
          <m:rPr>
            <m:sty m:val="p"/>
          </m:rPr>
          <m:t>}</m:t>
        </m:r>
      </m:oMath>
    </w:p>
    <w:p>
      <w:pPr>
        <w:keepNext/>
        <w:spacing w:before="40" w:after="60"/>
      </w:pPr>
      <w:r>
        <w:rPr>
          <w:rFonts w:ascii="Lato" w:hAnsi="Lato"/>
          <w:color w:val="315B50"/>
          <w:sz w:val="16"/>
        </w:rPr>
        <w:t>EA denotes the dated forecast; EP denotes the reporting-period account, not automatic verification. All terms are signed period masses on matched support. The quantity is before uncertainty, previous liabilities, reserve, and denomination.</w:t>
      </w:r>
    </w:p>
    <w:p>
      <w:pPr>
        <w:keepNext/>
        <w:spacing w:before="40" w:after="60"/>
      </w:pPr>
      <w:r>
        <w:rPr>
          <w:rFonts w:ascii="Lato" w:hAnsi="Lato"/>
          <w:color w:val="315B50"/>
          <w:sz w:val="14"/>
        </w:rPr>
        <w:t>Basis: M04.5; F-R01 | Workbook: ExAnte!F:I; ExPost!F:I</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2827"/>
        <w:gridCol w:w="3900"/>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Account / gas / pool</w:t>
            </w:r>
          </w:p>
          <w:p>
            <w:pPr>
              <w:spacing w:before="40" w:after="40"/>
            </w:pPr>
            <m:oMath>
              <m:r>
                <w:rPr>
                  <w:sz w:val="16"/>
                  <w:color w:val="173E34"/>
                </w:rPr>
                <m:t>t</m:t>
              </m:r>
              <m:r>
                <w:rPr>
                  <w:sz w:val="16"/>
                  <w:color w:val="173E34"/>
                </w:rPr>
                <m:rPr>
                  <m:sty m:val="p"/>
                </m:rPr>
                <m:t>,</m:t>
              </m:r>
              <m:r>
                <w:rPr>
                  <w:sz w:val="16"/>
                  <w:color w:val="173E34"/>
                </w:rPr>
                <m:t> </m:t>
              </m:r>
              <m:r>
                <w:rPr>
                  <w:sz w:val="16"/>
                  <w:color w:val="173E34"/>
                </w:rPr>
                <m:t>z</m:t>
              </m:r>
            </m:oMath>
          </w:p>
        </w:tc>
        <w:tc>
          <w:tcPr>
            <w:tcW w:type="dxa" w:w="282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Quantity, unit and period</w:t>
            </w:r>
          </w:p>
          <w:p>
            <w:pPr>
              <w:spacing w:before="40" w:after="40"/>
            </w:pPr>
            <m:oMath>
              <m:sSubSup>
                <m:e>
                  <m:r>
                    <w:rPr>
                      <w:sz w:val="16"/>
                      <w:color w:val="173E34"/>
                    </w:rPr>
                    <m:t>N</m:t>
                  </m:r>
                </m:e>
                <m:sub>
                  <m:r>
                    <w:rPr>
                      <w:sz w:val="16"/>
                      <w:color w:val="173E34"/>
                    </w:rPr>
                    <m:rPr>
                      <m:sty m:val="p"/>
                    </m:rPr>
                    <m:t>B</m:t>
                  </m:r>
                  <m:r>
                    <w:rPr>
                      <w:sz w:val="16"/>
                      <w:color w:val="173E34"/>
                    </w:rPr>
                    <m:rPr>
                      <m:sty m:val="p"/>
                    </m:rPr>
                    <m:t>L</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N</m:t>
                  </m:r>
                </m:e>
                <m:sub>
                  <m:r>
                    <w:rPr>
                      <w:sz w:val="16"/>
                      <w:color w:val="173E34"/>
                    </w:rPr>
                    <m:rPr>
                      <m:sty m:val="p"/>
                    </m:rPr>
                    <m:t>P</m:t>
                  </m:r>
                  <m:r>
                    <w:rPr>
                      <w:sz w:val="16"/>
                      <w:color w:val="173E34"/>
                    </w:rPr>
                    <m:rPr>
                      <m:sty m:val="p"/>
                    </m:rPr>
                    <m:t>J</m:t>
                  </m:r>
                  <m:r>
                    <w:rPr>
                      <w:sz w:val="16"/>
                      <w:color w:val="173E34"/>
                    </w:rPr>
                    <m:rPr>
                      <m:sty m:val="p"/>
                    </m:rPr>
                    <m:t>,</m:t>
                  </m:r>
                  <m:r>
                    <w:rPr>
                      <w:sz w:val="16"/>
                      <w:color w:val="173E34"/>
                    </w:rPr>
                    <m:t>t</m:t>
                  </m:r>
                </m:sub>
                <m:sup>
                  <m:r>
                    <w:rPr>
                      <w:sz w:val="16"/>
                      <w:color w:val="173E34"/>
                    </w:rPr>
                    <m:t>z</m:t>
                  </m:r>
                </m:sup>
              </m:sSubSup>
              <m:r>
                <w:rPr>
                  <w:sz w:val="16"/>
                  <w:color w:val="173E34"/>
                </w:rPr>
                <m:rPr>
                  <m:sty m:val="p"/>
                </m:rPr>
                <m:t>,</m:t>
              </m:r>
              <m:r>
                <w:rPr>
                  <w:sz w:val="16"/>
                  <w:color w:val="173E34"/>
                </w:rPr>
                <m:t> </m:t>
              </m:r>
              <m:sSubSup>
                <m:e>
                  <m:r>
                    <w:rPr>
                      <w:sz w:val="16"/>
                      <w:color w:val="173E34"/>
                    </w:rPr>
                    <m:t>L</m:t>
                  </m:r>
                </m:e>
                <m:sub>
                  <m:r>
                    <w:rPr>
                      <w:sz w:val="16"/>
                      <w:color w:val="173E34"/>
                    </w:rPr>
                    <m:t>t</m:t>
                  </m:r>
                </m:sub>
                <m:sup>
                  <m:r>
                    <w:rPr>
                      <w:sz w:val="16"/>
                      <w:color w:val="173E34"/>
                    </w:rPr>
                    <m:t>z</m:t>
                  </m:r>
                </m:sup>
              </m:sSubSup>
            </m:oMath>
          </w:p>
        </w:tc>
        <w:tc>
          <w:tcPr>
            <w:tcW w:type="dxa" w:w="390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Inclusions, exclusions and overlap control</w:t>
            </w:r>
          </w:p>
          <w:p>
            <w:pPr>
              <w:spacing w:before="40" w:after="40"/>
            </w:pPr>
            <m:oMath>
              <m:sSubSup>
                <m:e>
                  <m:acc>
                    <m:accPr>
                      <m:chr m:val="̂"/>
                    </m:accPr>
                    <m:e>
                      <m:r>
                        <w:rPr>
                          <w:sz w:val="16"/>
                          <w:color w:val="173E34"/>
                        </w:rPr>
                        <m:t>Q</m:t>
                      </m:r>
                    </m:e>
                  </m:acc>
                </m:e>
                <m:sub>
                  <m:r>
                    <w:rPr>
                      <w:sz w:val="16"/>
                      <w:color w:val="173E34"/>
                    </w:rPr>
                    <m:t>t</m:t>
                  </m:r>
                </m:sub>
                <m:sup>
                  <m:r>
                    <w:rPr>
                      <w:sz w:val="16"/>
                      <w:color w:val="173E34"/>
                    </w:rPr>
                    <m:t>z</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90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Account reconciliation</w:t>
      </w:r>
    </w:p>
    <w:p>
      <w:pPr>
        <w:keepNext/>
        <w:spacing w:after="100" w:line="259" w:lineRule="auto"/>
      </w:pPr>
      <w:r>
        <w:rPr>
          <w:rFonts w:ascii="Arial" w:hAnsi="Arial"/>
          <w:b w:val="0"/>
          <w:i w:val="0"/>
          <w:color w:val="62716E"/>
          <w:sz w:val="18"/>
        </w:rPr>
        <w:t>Attach the full calculation, pool and gas balance and scenario comparison. Distinguish stocks from changes and annual from cumulative quantities; carbon from CO2 and CO2e; modeled from observed values. Use the approved GWP convention and retain negative outcomes.</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0" w:name="Section_10"/>
      <w:pPr>
        <w:pStyle w:val="Heading1"/>
        <w:keepNext/>
      </w:pPr>
      <w:r>
        <w:t>10  Uncertainty, materiality, risk and liability treatment</w:t>
      </w:r>
      <w:bookmarkEnd w:id="110"/>
    </w:p>
    <w:p>
      <w:pPr>
        <w:keepNext/>
        <w:spacing w:after="180" w:line="259" w:lineRule="auto"/>
      </w:pPr>
      <w:r>
        <w:rPr>
          <w:rFonts w:ascii="Arial" w:hAnsi="Arial"/>
          <w:b w:val="0"/>
          <w:i w:val="0"/>
          <w:color w:val="62716E"/>
          <w:sz w:val="15"/>
        </w:rPr>
        <w:t>[1] Basis: F-02; F-03; T-14; T-16; T-17; T-18; T-19; T-20; FRM-02/C; FRM-08; FRM-09</w:t>
      </w:r>
    </w:p>
    <w:p>
      <w:pPr>
        <w:pStyle w:val="Heading2"/>
        <w:keepNext/>
      </w:pPr>
      <w:r>
        <w:t>Uncertainty and materiality specification</w:t>
      </w:r>
    </w:p>
    <w:p>
      <w:pPr>
        <w:keepNext/>
        <w:spacing w:before="40" w:after="60"/>
      </w:pPr>
      <w:r>
        <w:rPr>
          <w:rFonts w:ascii="Lato" w:hAnsi="Lato"/>
          <w:color w:val="315B50"/>
          <w:sz w:val="18"/>
        </w:rPr>
        <w:t>PD-T18 / Calculation notation</w:t>
      </w:r>
    </w:p>
    <w:p>
      <w:pPr>
        <w:keepNext/>
        <w:spacing w:before="40" w:after="60"/>
      </w:pPr>
      <m:oMath>
        <m:sSubSup>
          <m:e>
            <m:r>
              <w:rPr>
                <w:sz w:val="18"/>
              </w:rPr>
              <m:t>u</m:t>
            </m:r>
          </m:e>
          <m:sub>
            <m:r>
              <w:rPr>
                <w:sz w:val="18"/>
              </w:rPr>
              <m:t>Q</m:t>
            </m:r>
          </m:sub>
          <m:sup>
            <m:r>
              <w:rPr>
                <w:sz w:val="18"/>
              </w:rPr>
              <m:t>2</m:t>
            </m:r>
          </m:sup>
        </m:sSubSup>
        <m:r>
          <w:rPr>
            <w:sz w:val="18"/>
          </w:rPr>
          <m:rPr>
            <m:sty m:val="p"/>
          </m:rPr>
          <m:t>=</m:t>
        </m:r>
        <m:sSubSup>
          <m:e>
            <m:r>
              <w:rPr>
                <w:sz w:val="18"/>
              </w:rPr>
              <m:t>u</m:t>
            </m:r>
          </m:e>
          <m:sub>
            <m:r>
              <w:rPr>
                <w:sz w:val="18"/>
              </w:rPr>
              <m:t>B</m:t>
            </m:r>
          </m:sub>
          <m:sup>
            <m:r>
              <w:rPr>
                <w:sz w:val="18"/>
              </w:rPr>
              <m:t>2</m:t>
            </m:r>
          </m:sup>
        </m:sSubSup>
        <m:r>
          <w:rPr>
            <w:sz w:val="18"/>
          </w:rPr>
          <m:rPr>
            <m:sty m:val="p"/>
          </m:rPr>
          <m:t>+</m:t>
        </m:r>
        <m:sSubSup>
          <m:e>
            <m:r>
              <w:rPr>
                <w:sz w:val="18"/>
              </w:rPr>
              <m:t>u</m:t>
            </m:r>
          </m:e>
          <m:sub>
            <m:r>
              <w:rPr>
                <w:sz w:val="18"/>
              </w:rPr>
              <m:t>P</m:t>
            </m:r>
          </m:sub>
          <m:sup>
            <m:r>
              <w:rPr>
                <w:sz w:val="18"/>
              </w:rPr>
              <m:t>2</m:t>
            </m:r>
          </m:sup>
        </m:sSubSup>
        <m:r>
          <w:rPr>
            <w:sz w:val="18"/>
          </w:rPr>
          <m:rPr>
            <m:sty m:val="p"/>
          </m:rPr>
          <m:t>+</m:t>
        </m:r>
        <m:sSubSup>
          <m:e>
            <m:r>
              <w:rPr>
                <w:sz w:val="18"/>
              </w:rPr>
              <m:t>u</m:t>
            </m:r>
          </m:e>
          <m:sub>
            <m:r>
              <w:rPr>
                <w:sz w:val="18"/>
              </w:rPr>
              <m:t>L</m:t>
            </m:r>
          </m:sub>
          <m:sup>
            <m:r>
              <w:rPr>
                <w:sz w:val="18"/>
              </w:rPr>
              <m:t>2</m:t>
            </m:r>
          </m:sup>
        </m:sSubSup>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P</m:t>
            </m:r>
          </m:e>
        </m:d>
        <m:r>
          <w:rPr>
            <w:sz w:val="18"/>
          </w:rPr>
          <m:rPr>
            <m:sty m:val="p"/>
          </m:rPr>
          <m:t>−</m:t>
        </m:r>
        <m:r>
          <w:rPr>
            <w:sz w:val="18"/>
          </w:rPr>
          <m:t>2</m:t>
        </m:r>
        <m:r>
          <w:rPr>
            <w:sz w:val="18"/>
          </w:rPr>
          <m:rPr>
            <m:sty m:val="p"/>
          </m:rPr>
          <m:t>Cov</m:t>
        </m:r>
        <m:d>
          <m:dPr>
            <m:begChr m:val="("/>
            <m:endChr m:val=")"/>
            <m:sepChr m:val=""/>
            <m:grow/>
          </m:dPr>
          <m:e>
            <m:r>
              <w:rPr>
                <w:sz w:val="18"/>
              </w:rPr>
              <m:t>B</m:t>
            </m:r>
            <m:r>
              <w:rPr>
                <w:sz w:val="18"/>
              </w:rPr>
              <m:rPr>
                <m:sty m:val="p"/>
              </m:rPr>
              <m:t>,</m:t>
            </m:r>
            <m:r>
              <w:rPr>
                <w:sz w:val="18"/>
              </w:rPr>
              <m:t>L</m:t>
            </m:r>
          </m:e>
        </m:d>
        <m:r>
          <w:rPr>
            <w:sz w:val="18"/>
          </w:rPr>
          <m:rPr>
            <m:sty m:val="p"/>
          </m:rPr>
          <m:t>+</m:t>
        </m:r>
        <m:r>
          <w:rPr>
            <w:sz w:val="18"/>
          </w:rPr>
          <m:t>2</m:t>
        </m:r>
        <m:r>
          <w:rPr>
            <w:sz w:val="18"/>
          </w:rPr>
          <m:rPr>
            <m:sty m:val="p"/>
          </m:rPr>
          <m:t>Cov</m:t>
        </m:r>
        <m:d>
          <m:dPr>
            <m:begChr m:val="("/>
            <m:endChr m:val=")"/>
            <m:sepChr m:val=""/>
            <m:grow/>
          </m:dPr>
          <m:e>
            <m:r>
              <w:rPr>
                <w:sz w:val="18"/>
              </w:rPr>
              <m:t>P</m:t>
            </m:r>
            <m:r>
              <w:rPr>
                <w:sz w:val="18"/>
              </w:rPr>
              <m:rPr>
                <m:sty m:val="p"/>
              </m:rPr>
              <m:t>,</m:t>
            </m:r>
            <m:r>
              <w:rPr>
                <w:sz w:val="18"/>
              </w:rPr>
              <m:t>L</m:t>
            </m:r>
          </m:e>
        </m:d>
      </m:oMath>
    </w:p>
    <w:p>
      <w:pPr>
        <w:keepNext/>
        <w:spacing w:before="40" w:after="60"/>
      </w:pPr>
      <w:r>
        <w:rPr>
          <w:rFonts w:ascii="Lato" w:hAnsi="Lato"/>
          <w:color w:val="315B50"/>
          <w:sz w:val="16"/>
        </w:rPr>
        <w:t>B, P and L in this variance identity denote baseline, project and leakage estimators, not reserve B_t. Standard uncertainties are in t CO2e; variances and covariances are squared units. Retain shared-source dependence and a valid covariance matrix.</w:t>
      </w:r>
    </w:p>
    <w:p>
      <w:pPr>
        <w:keepNext/>
        <w:spacing w:before="40" w:after="60"/>
      </w:pPr>
      <w:r>
        <w:rPr>
          <w:rFonts w:ascii="Lato" w:hAnsi="Lato"/>
          <w:color w:val="315B50"/>
          <w:sz w:val="14"/>
        </w:rPr>
        <w:t>Basis: F-U01; M05.1; M05.2 | Workbook: Qualified uncertainty calculation; ExAnte!J:L; ExPost!J:L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Component / potential error</w:t>
            </w:r>
          </w:p>
          <w:p>
            <w:pPr>
              <w:spacing w:before="40" w:after="40"/>
            </w:pPr>
            <m:oMath>
              <m:r>
                <w:rPr>
                  <w:sz w:val="16"/>
                  <w:color w:val="173E34"/>
                </w:rPr>
                <m:t>B</m:t>
              </m:r>
              <m:r>
                <w:rPr>
                  <w:sz w:val="16"/>
                  <w:color w:val="173E34"/>
                </w:rPr>
                <m:rPr>
                  <m:sty m:val="p"/>
                </m:rPr>
                <m:t>,</m:t>
              </m:r>
              <m:r>
                <w:rPr>
                  <w:sz w:val="16"/>
                  <w:color w:val="173E34"/>
                </w:rPr>
                <m:t> </m:t>
              </m:r>
              <m:r>
                <w:rPr>
                  <w:sz w:val="16"/>
                  <w:color w:val="173E34"/>
                </w:rPr>
                <m:t>P</m:t>
              </m:r>
              <m:r>
                <w:rPr>
                  <w:sz w:val="16"/>
                  <w:color w:val="173E34"/>
                </w:rPr>
                <m:rPr>
                  <m:sty m:val="p"/>
                </m:rPr>
                <m:t>,</m:t>
              </m:r>
              <m:r>
                <w:rPr>
                  <w:sz w:val="16"/>
                  <w:color w:val="173E34"/>
                </w:rPr>
                <m:t> </m:t>
              </m:r>
              <m:r>
                <w:rPr>
                  <w:sz w:val="16"/>
                  <w:color w:val="173E34"/>
                </w:rPr>
                <m:t>L</m:t>
              </m:r>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Method, dependence and evidence</w:t>
            </w:r>
          </w:p>
          <w:p>
            <w:pPr>
              <w:spacing w:before="40" w:after="40"/>
            </w:pPr>
            <m:oMath>
              <m:sSub>
                <m:e>
                  <m:r>
                    <w:rPr>
                      <w:sz w:val="16"/>
                      <w:color w:val="173E34"/>
                    </w:rPr>
                    <m:t>u</m:t>
                  </m:r>
                </m:e>
                <m:sub>
                  <m:r>
                    <w:rPr>
                      <w:sz w:val="16"/>
                      <w:color w:val="173E34"/>
                    </w:rPr>
                    <m:t>B</m:t>
                  </m:r>
                </m:sub>
              </m:sSub>
              <m:r>
                <w:rPr>
                  <w:sz w:val="16"/>
                  <w:color w:val="173E34"/>
                </w:rPr>
                <m:rPr>
                  <m:sty m:val="p"/>
                </m:rPr>
                <m:t>,</m:t>
              </m:r>
              <m:r>
                <w:rPr>
                  <w:sz w:val="16"/>
                  <w:color w:val="173E34"/>
                </w:rPr>
                <m:t> </m:t>
              </m:r>
              <m:sSub>
                <m:e>
                  <m:r>
                    <w:rPr>
                      <w:sz w:val="16"/>
                      <w:color w:val="173E34"/>
                    </w:rPr>
                    <m:t>u</m:t>
                  </m:r>
                </m:e>
                <m:sub>
                  <m:r>
                    <w:rPr>
                      <w:sz w:val="16"/>
                      <w:color w:val="173E34"/>
                    </w:rPr>
                    <m:t>P</m:t>
                  </m:r>
                </m:sub>
              </m:sSub>
              <m:r>
                <w:rPr>
                  <w:sz w:val="16"/>
                  <w:color w:val="173E34"/>
                </w:rPr>
                <m:rPr>
                  <m:sty m:val="p"/>
                </m:rPr>
                <m:t>,</m:t>
              </m:r>
              <m:r>
                <w:rPr>
                  <w:sz w:val="16"/>
                  <w:color w:val="173E34"/>
                </w:rPr>
                <m:t> </m:t>
              </m:r>
              <m:sSub>
                <m:e>
                  <m:r>
                    <w:rPr>
                      <w:sz w:val="16"/>
                      <w:color w:val="173E34"/>
                    </w:rPr>
                    <m:t>u</m:t>
                  </m:r>
                </m:e>
                <m:sub>
                  <m:r>
                    <w:rPr>
                      <w:sz w:val="16"/>
                      <w:color w:val="173E34"/>
                    </w:rPr>
                    <m:t>L</m:t>
                  </m:r>
                </m:sub>
              </m:sSub>
              <m:r>
                <w:rPr>
                  <w:sz w:val="16"/>
                  <w:color w:val="173E34"/>
                </w:rPr>
                <m:rPr>
                  <m:sty m:val="p"/>
                </m:rPr>
                <m:t>,</m:t>
              </m:r>
              <m:r>
                <w:rPr>
                  <w:sz w:val="16"/>
                  <w:color w:val="173E34"/>
                </w:rPr>
                <m:t> </m:t>
              </m:r>
              <m:r>
                <w:rPr>
                  <w:sz w:val="16"/>
                  <w:color w:val="173E34"/>
                </w:rPr>
                <m:rPr>
                  <m:sty m:val="p"/>
                </m:rPr>
                <m:t>Cov</m:t>
              </m:r>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Criterion, adjustment and decision</w:t>
            </w:r>
          </w:p>
          <w:p>
            <w:pPr>
              <w:spacing w:before="40" w:after="40"/>
            </w:pPr>
            <m:oMath>
              <m:sSubSup>
                <m:e>
                  <m:r>
                    <w:rPr>
                      <w:sz w:val="16"/>
                      <w:color w:val="173E34"/>
                    </w:rPr>
                    <m:t>u</m:t>
                  </m:r>
                </m:e>
                <m:sub>
                  <m:r>
                    <w:rPr>
                      <w:sz w:val="16"/>
                      <w:color w:val="173E34"/>
                    </w:rPr>
                    <m:t>Q</m:t>
                  </m:r>
                </m:sub>
                <m:sup>
                  <m:r>
                    <w:rPr>
                      <w:sz w:val="16"/>
                      <w:color w:val="173E34"/>
                    </w:rPr>
                    <m:t>2</m:t>
                  </m:r>
                </m:sup>
              </m:sSubSup>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Liability and reserve design</w:t>
      </w:r>
    </w:p>
    <w:p>
      <w:pPr>
        <w:keepNext/>
        <w:spacing w:before="40" w:after="60"/>
      </w:pPr>
      <w:r>
        <w:rPr>
          <w:rFonts w:ascii="Lato" w:hAnsi="Lato"/>
          <w:color w:val="315B50"/>
          <w:sz w:val="18"/>
        </w:rPr>
        <w:t>PD-T19 / Calculation notation</w:t>
      </w:r>
    </w:p>
    <w:p>
      <w:pPr>
        <w:keepNext/>
        <w:spacing w:before="40" w:after="60"/>
      </w:pPr>
      <m:oMath>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r>
          <w:rPr>
            <w:sz w:val="18"/>
          </w:rPr>
          <m:rPr>
            <m:sty m:val="p"/>
          </m:rPr>
          <m:t>max</m:t>
        </m:r>
        <m:d>
          <m:dPr>
            <m:begChr m:val="("/>
            <m:endChr m:val=")"/>
            <m:sepChr m:val=""/>
            <m:grow/>
          </m:dPr>
          <m:e>
            <m:r>
              <w:rPr>
                <w:sz w:val="18"/>
              </w:rPr>
              <m:t>0</m:t>
            </m:r>
            <m:r>
              <w:rPr>
                <w:sz w:val="18"/>
              </w:rPr>
              <m:rPr>
                <m:sty m:val="p"/>
              </m:rPr>
              <m:t>,</m:t>
            </m:r>
            <m:sSubSup>
              <m:e>
                <m:r>
                  <w:rPr>
                    <w:sz w:val="18"/>
                  </w:rPr>
                  <m:t>Q</m:t>
                </m:r>
              </m:e>
              <m:sub>
                <m:r>
                  <w:rPr>
                    <w:sz w:val="18"/>
                  </w:rPr>
                  <m:t>t</m:t>
                </m:r>
              </m:sub>
              <m:sup>
                <m:r>
                  <w:rPr>
                    <w:sz w:val="18"/>
                  </w:rPr>
                  <m:rPr>
                    <m:sty m:val="p"/>
                  </m:rPr>
                  <m:t>l</m:t>
                </m:r>
                <m:r>
                  <w:rPr>
                    <w:sz w:val="18"/>
                  </w:rPr>
                  <m:rPr>
                    <m:sty m:val="p"/>
                  </m:rPr>
                  <m:t>o</m:t>
                </m:r>
                <m:r>
                  <w:rPr>
                    <w:sz w:val="18"/>
                  </w:rPr>
                  <m:rPr>
                    <m:sty m:val="p"/>
                  </m:rPr>
                  <m:t>w</m:t>
                </m:r>
              </m:sup>
            </m:sSubSup>
          </m:e>
        </m:d>
        <m:r>
          <w:rPr>
            <w:sz w:val="18"/>
          </w:rPr>
          <m:rPr>
            <m:sty m:val="p"/>
          </m:rPr>
          <m:t>,</m:t>
        </m:r>
        <m:r>
          <w:rPr>
            <w:sz w:val="18"/>
          </w:rPr>
          <m:t> </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rPr>
            <m:sty m:val="p"/>
          </m:rPr>
          <m:t>min</m:t>
        </m:r>
        <m:d>
          <m:dPr>
            <m:begChr m:val="("/>
            <m:endChr m:val=")"/>
            <m:sepChr m:val=""/>
            <m:grow/>
          </m:dPr>
          <m:e>
            <m:sSub>
              <m:e>
                <m:r>
                  <w:rPr>
                    <w:sz w:val="18"/>
                  </w:rPr>
                  <m:t>D</m:t>
                </m:r>
              </m:e>
              <m:sub>
                <m:r>
                  <w:rPr>
                    <w:sz w:val="18"/>
                  </w:rPr>
                  <m:t>t</m:t>
                </m:r>
              </m:sub>
            </m:sSub>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e>
        </m:d>
      </m:oMath>
    </w:p>
    <w:p>
      <w:pPr>
        <w:keepNext/>
        <w:spacing w:before="40" w:after="60"/>
      </w:pPr>
      <m:oMath>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e</m:t>
            </m:r>
            <m:r>
              <w:rPr>
                <w:sz w:val="18"/>
              </w:rPr>
              <m:rPr>
                <m:sty m:val="p"/>
              </m:rPr>
              <m:t>l</m:t>
            </m:r>
            <m:r>
              <w:rPr>
                <w:sz w:val="18"/>
              </w:rPr>
              <m:rPr>
                <m:sty m:val="p"/>
              </m:rPr>
              <m:t>i</m:t>
            </m:r>
            <m:r>
              <w:rPr>
                <w:sz w:val="18"/>
              </w:rPr>
              <m:rPr>
                <m:sty m:val="p"/>
              </m:rPr>
              <m:t>g</m:t>
            </m:r>
            <m:r>
              <w:rPr>
                <w:sz w:val="18"/>
              </w:rPr>
              <m:rPr>
                <m:sty m:val="p"/>
              </m:rPr>
              <m:t>i</m:t>
            </m:r>
            <m:r>
              <w:rPr>
                <w:sz w:val="18"/>
              </w:rPr>
              <m:rPr>
                <m:sty m:val="p"/>
              </m:rPr>
              <m:t>b</m:t>
            </m:r>
            <m:r>
              <w:rPr>
                <w:sz w:val="18"/>
              </w:rPr>
              <m:rPr>
                <m:sty m:val="p"/>
              </m:rPr>
              <m:t>l</m:t>
            </m:r>
            <m:r>
              <w:rPr>
                <w:sz w:val="18"/>
              </w:rPr>
              <m:rPr>
                <m:sty m:val="p"/>
              </m:rPr>
              <m:t>e</m:t>
            </m:r>
          </m:sup>
        </m:sSubSup>
        <m:r>
          <w:rPr>
            <w:sz w:val="18"/>
          </w:rPr>
          <m:rPr>
            <m:sty m:val="p"/>
          </m:rPr>
          <m:t>−</m:t>
        </m:r>
        <m:sSubSup>
          <m:e>
            <m:r>
              <w:rPr>
                <w:sz w:val="18"/>
              </w:rPr>
              <m:t>D</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Sup>
          <m:e>
            <m:r>
              <w:rPr>
                <w:sz w:val="18"/>
              </w:rPr>
              <m:t>Q</m:t>
            </m:r>
          </m:e>
          <m:sub>
            <m:r>
              <w:rPr>
                <w:sz w:val="18"/>
              </w:rPr>
              <m:t>t</m:t>
            </m:r>
          </m:sub>
          <m:sup>
            <m:r>
              <w:rPr>
                <w:sz w:val="18"/>
              </w:rPr>
              <m:rPr>
                <m:sty m:val="p"/>
              </m:rPr>
              <m:t>b</m:t>
            </m:r>
            <m:r>
              <w:rPr>
                <w:sz w:val="18"/>
              </w:rPr>
              <m:rPr>
                <m:sty m:val="p"/>
              </m:rPr>
              <m:t>a</m:t>
            </m:r>
            <m:r>
              <w:rPr>
                <w:sz w:val="18"/>
              </w:rPr>
              <m:rPr>
                <m:sty m:val="p"/>
              </m:rPr>
              <m:t>s</m:t>
            </m:r>
            <m:r>
              <w:rPr>
                <w:sz w:val="18"/>
              </w:rPr>
              <m:rPr>
                <m:sty m:val="p"/>
              </m:rPr>
              <m:t>e</m:t>
            </m:r>
            <m:r>
              <w:rPr>
                <w:sz w:val="18"/>
              </w:rPr>
              <m:rPr>
                <m:sty m:val="p"/>
              </m:rPr>
              <m:t>,</m:t>
            </m:r>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sSub>
          <m:e>
            <m:r>
              <w:rPr>
                <w:sz w:val="18"/>
              </w:rPr>
              <m:t>B</m:t>
            </m:r>
          </m:e>
          <m:sub>
            <m:r>
              <w:rPr>
                <w:sz w:val="18"/>
              </w:rPr>
              <m:t>t</m:t>
            </m:r>
          </m:sub>
        </m:sSub>
      </m:oMath>
    </w:p>
    <w:p>
      <w:pPr>
        <w:keepNext/>
        <w:spacing w:before="40" w:after="60"/>
      </w:pPr>
      <w:r>
        <w:rPr>
          <w:rFonts w:ascii="Lato" w:hAnsi="Lato"/>
          <w:color w:val="315B50"/>
          <w:sz w:val="16"/>
        </w:rPr>
        <w:t>cand distinguishes a worksheet proposal from an executed posting. D_set is actual evidenced settlement; D_rem = D - D_set. Do not reduce posted liability by D_cand. A larger required reserve than the candidate base is a shortfall, not funded protection. No rounding is implied.</w:t>
      </w:r>
    </w:p>
    <w:p>
      <w:pPr>
        <w:keepNext/>
        <w:spacing w:before="40" w:after="60"/>
      </w:pPr>
      <w:r>
        <w:rPr>
          <w:rFonts w:ascii="Lato" w:hAnsi="Lato"/>
          <w:color w:val="315B50"/>
          <w:sz w:val="14"/>
        </w:rPr>
        <w:t>Basis: M05.4; M05.5; F-R03 | Workbook: Settlement!B:L; ExAnte!M:O (forecast only)</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802"/>
        <w:gridCol w:w="2925"/>
        <w:gridCol w:w="3022"/>
      </w:tblGrid>
      <w:tr>
        <w:trPr>
          <w:trHeight w:val="446" w:hRule="atLeast"/>
          <w:tblHeader/>
        </w:trPr>
        <w:tc>
          <w:tcPr>
            <w:tcW w:type="dxa" w:w="380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Account element</w:t>
            </w:r>
          </w:p>
          <w:p>
            <w:pPr>
              <w:spacing w:before="40" w:after="40"/>
            </w:pPr>
            <m:oMath>
              <m:sSub>
                <m:e>
                  <m:r>
                    <w:rPr>
                      <w:sz w:val="16"/>
                      <w:color w:val="173E34"/>
                    </w:rPr>
                    <m:t>D</m:t>
                  </m:r>
                </m:e>
                <m:sub>
                  <m:r>
                    <w:rPr>
                      <w:sz w:val="16"/>
                      <w:color w:val="173E34"/>
                    </w:rPr>
                    <m:t>t</m:t>
                  </m:r>
                </m:sub>
              </m:sSub>
              <m:r>
                <w:rPr>
                  <w:sz w:val="16"/>
                  <w:color w:val="173E34"/>
                </w:rPr>
                <m:rPr>
                  <m:sty m:val="p"/>
                </m:rPr>
                <m:t>,</m:t>
              </m:r>
              <m:r>
                <w:rPr>
                  <w:sz w:val="16"/>
                  <w:color w:val="173E34"/>
                </w:rPr>
                <m:t> </m:t>
              </m:r>
              <m:sSubSup>
                <m:e>
                  <m:r>
                    <w:rPr>
                      <w:sz w:val="16"/>
                      <w:color w:val="173E34"/>
                    </w:rPr>
                    <m:t>Q</m:t>
                  </m:r>
                </m:e>
                <m:sub>
                  <m:r>
                    <w:rPr>
                      <w:sz w:val="16"/>
                      <w:color w:val="173E34"/>
                    </w:rPr>
                    <m:t>t</m:t>
                  </m:r>
                </m:sub>
                <m:sup>
                  <m:r>
                    <w:rPr>
                      <w:sz w:val="16"/>
                      <w:color w:val="173E34"/>
                    </w:rPr>
                    <m:rPr>
                      <m:sty m:val="p"/>
                    </m:rPr>
                    <m:t>l</m:t>
                  </m:r>
                  <m:r>
                    <w:rPr>
                      <w:sz w:val="16"/>
                      <w:color w:val="173E34"/>
                    </w:rPr>
                    <m:rPr>
                      <m:sty m:val="p"/>
                    </m:rPr>
                    <m:t>o</m:t>
                  </m:r>
                  <m:r>
                    <w:rPr>
                      <w:sz w:val="16"/>
                      <w:color w:val="173E34"/>
                    </w:rPr>
                    <m:rPr>
                      <m:sty m:val="p"/>
                    </m:rPr>
                    <m:t>w</m:t>
                  </m:r>
                </m:sup>
              </m:sSubSup>
            </m:oMath>
          </w:p>
        </w:tc>
        <w:tc>
          <w:tcPr>
            <w:tcW w:type="dxa" w:w="292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Applicable rule / evidence</w:t>
            </w:r>
          </w:p>
          <w:p>
            <w:pPr>
              <w:spacing w:before="40" w:after="40"/>
            </w:pPr>
            <m:oMath>
              <m:sSubSup>
                <m:e>
                  <m:r>
                    <w:rPr>
                      <w:sz w:val="16"/>
                      <w:color w:val="173E34"/>
                    </w:rPr>
                    <m:t>D</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D</m:t>
                  </m:r>
                </m:e>
                <m:sub>
                  <m:r>
                    <w:rPr>
                      <w:sz w:val="16"/>
                      <w:color w:val="173E34"/>
                    </w:rPr>
                    <m:t>t</m:t>
                  </m:r>
                </m:sub>
                <m:sup>
                  <m:r>
                    <w:rPr>
                      <w:sz w:val="16"/>
                      <w:color w:val="173E34"/>
                    </w:rPr>
                    <m:rPr>
                      <m:sty m:val="p"/>
                    </m:rPr>
                    <m:t>s</m:t>
                  </m:r>
                  <m:r>
                    <w:rPr>
                      <w:sz w:val="16"/>
                      <w:color w:val="173E34"/>
                    </w:rPr>
                    <m:rPr>
                      <m:sty m:val="p"/>
                    </m:rPr>
                    <m:t>e</m:t>
                  </m:r>
                  <m:r>
                    <w:rPr>
                      <w:sz w:val="16"/>
                      <w:color w:val="173E34"/>
                    </w:rPr>
                    <m:rPr>
                      <m:sty m:val="p"/>
                    </m:rPr>
                    <m:t>t</m:t>
                  </m:r>
                </m:sup>
              </m:sSubSup>
            </m:oMath>
          </w:p>
        </w:tc>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Decision and unresolved condition</w:t>
            </w:r>
          </w:p>
          <w:p>
            <w:pPr>
              <w:spacing w:before="40" w:after="40"/>
            </w:pPr>
            <m:oMath>
              <m:sSubSup>
                <m:e>
                  <m:r>
                    <w:rPr>
                      <w:sz w:val="16"/>
                      <w:color w:val="173E34"/>
                    </w:rPr>
                    <m:t>Q</m:t>
                  </m:r>
                </m:e>
                <m:sub>
                  <m:r>
                    <w:rPr>
                      <w:sz w:val="16"/>
                      <w:color w:val="173E34"/>
                    </w:rPr>
                    <m:t>t</m:t>
                  </m:r>
                </m:sub>
                <m:sup>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e</m:t>
                  </m:r>
                  <m:r>
                    <w:rPr>
                      <w:sz w:val="16"/>
                      <w:color w:val="173E34"/>
                    </w:rPr>
                    <m:rPr>
                      <m:sty m:val="p"/>
                    </m:rPr>
                    <m:t>,</m:t>
                  </m:r>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
                <m:e>
                  <m:r>
                    <w:rPr>
                      <w:sz w:val="16"/>
                      <w:color w:val="173E34"/>
                    </w:rPr>
                    <m:t>B</m:t>
                  </m:r>
                </m:e>
                <m:sub>
                  <m:r>
                    <w:rPr>
                      <w:sz w:val="16"/>
                      <w:color w:val="173E34"/>
                    </w:rPr>
                    <m:t>t</m:t>
                  </m:r>
                </m:sub>
              </m:sSub>
              <m:r>
                <w:rPr>
                  <w:sz w:val="16"/>
                  <w:color w:val="173E34"/>
                </w:rPr>
                <m:rPr>
                  <m:sty m:val="p"/>
                </m:rPr>
                <m:t>,</m:t>
              </m:r>
              <m:r>
                <w:rPr>
                  <w:sz w:val="16"/>
                  <w:color w:val="173E34"/>
                </w:rPr>
                <m:t> </m:t>
              </m:r>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oMath>
          </w:p>
        </w:tc>
      </w:tr>
      <w:tr>
        <w:trPr>
          <w:trHeight w:val="446" w:hRule="atLeast"/>
        </w:trPr>
        <w:tc>
          <w:tcPr>
            <w:tcW w:type="dxa" w:w="380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Conservative signed result / F-R03</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802"/>
            <w:vAlign w:val="center"/>
            <w:tcMar>
              <w:top w:w="70" w:type="dxa"/>
              <w:start w:w="85" w:type="dxa"/>
              <w:bottom w:w="70" w:type="dxa"/>
              <w:end w:w="85" w:type="dxa"/>
            </w:tcMar>
          </w:tcPr>
          <w:p>
            <w:pPr>
              <w:spacing w:after="0" w:line="250" w:lineRule="auto"/>
            </w:pPr>
            <w:r>
              <w:rPr>
                <w:rFonts w:ascii="Arial" w:hAnsi="Arial"/>
                <w:b w:val="0"/>
                <w:i w:val="0"/>
                <w:color w:val="243A36"/>
                <w:sz w:val="16"/>
              </w:rPr>
              <w:t>Prior liability and executed settlement</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80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Post-liability reserve base and protection</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802"/>
            <w:vAlign w:val="center"/>
            <w:tcMar>
              <w:top w:w="70" w:type="dxa"/>
              <w:start w:w="85" w:type="dxa"/>
              <w:bottom w:w="70" w:type="dxa"/>
              <w:end w:w="85" w:type="dxa"/>
            </w:tcMar>
          </w:tcPr>
          <w:p>
            <w:pPr>
              <w:spacing w:after="0" w:line="250" w:lineRule="auto"/>
            </w:pPr>
            <w:r>
              <w:rPr>
                <w:rFonts w:ascii="Arial" w:hAnsi="Arial"/>
                <w:b w:val="0"/>
                <w:i w:val="0"/>
                <w:color w:val="243A36"/>
                <w:sz w:val="16"/>
              </w:rPr>
              <w:t>Negative carry-forward / F-R05a/b</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Protection horizon, residual risk and remedy</w:t>
      </w:r>
    </w:p>
    <w:p>
      <w:pPr>
        <w:keepNext/>
        <w:spacing w:after="100" w:line="259" w:lineRule="auto"/>
      </w:pPr>
      <w:r>
        <w:rPr>
          <w:rFonts w:ascii="Arial" w:hAnsi="Arial"/>
          <w:b w:val="0"/>
          <w:i w:val="0"/>
          <w:color w:val="62716E"/>
          <w:sz w:val="18"/>
        </w:rPr>
        <w:t>Document the selected risk model or stress treatment, compatible available reserve, approved protection level where applicable, common shocks, shortfalls, cancellation, replenishment and remaining liability. An uncertainty-driven negative bound is not automatically a physical reversal.</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1" w:name="Section_11"/>
      <w:pPr>
        <w:pStyle w:val="Heading1"/>
        <w:keepNext/>
      </w:pPr>
      <w:r>
        <w:t>11  Participation, consent, safeguards and benefit-sharing</w:t>
      </w:r>
      <w:bookmarkEnd w:id="111"/>
    </w:p>
    <w:p>
      <w:pPr>
        <w:keepNext/>
        <w:spacing w:after="180" w:line="259" w:lineRule="auto"/>
      </w:pPr>
      <w:r>
        <w:rPr>
          <w:rFonts w:ascii="Arial" w:hAnsi="Arial"/>
          <w:b w:val="0"/>
          <w:i w:val="0"/>
          <w:color w:val="62716E"/>
          <w:sz w:val="15"/>
        </w:rPr>
        <w:t>[1] Basis: S-12; S-13; S-17; AO-03; AO-12; P-12; A-13; A-14; A-15</w:t>
      </w:r>
    </w:p>
    <w:p>
      <w:pPr>
        <w:pStyle w:val="Heading2"/>
        <w:keepNext/>
      </w:pPr>
      <w:r>
        <w:t>Stakeholder and safeguards record</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827"/>
        <w:gridCol w:w="3412"/>
        <w:gridCol w:w="3510"/>
      </w:tblGrid>
      <w:tr>
        <w:trPr>
          <w:trHeight w:val="446" w:hRule="atLeast"/>
          <w:tblHeader/>
        </w:trPr>
        <w:tc>
          <w:tcPr>
            <w:tcW w:type="dxa" w:w="282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Party / issue / right</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Consultation, consent and evidence</w:t>
            </w:r>
          </w:p>
        </w:tc>
        <w:tc>
          <w:tcPr>
            <w:tcW w:type="dxa" w:w="351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Commitment, independent check and remedy</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82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Benefit-sharing and adverse-impact controls</w:t>
      </w:r>
    </w:p>
    <w:p>
      <w:pPr>
        <w:keepNext/>
        <w:spacing w:after="100" w:line="259" w:lineRule="auto"/>
      </w:pPr>
      <w:r>
        <w:rPr>
          <w:rFonts w:ascii="Arial" w:hAnsi="Arial"/>
          <w:b w:val="0"/>
          <w:i w:val="0"/>
          <w:color w:val="62716E"/>
          <w:sz w:val="18"/>
        </w:rPr>
        <w:t>Describe decision participation, agreements, benefit allocation, vulnerable groups, adverse-impact prevention and monitoring. Separate executed arrangements from proposals and provide protected supporting evidence.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Complaint access, deadlines and review</w:t>
      </w:r>
    </w:p>
    <w:p>
      <w:pPr>
        <w:keepNext/>
        <w:spacing w:after="100" w:line="259" w:lineRule="auto"/>
      </w:pPr>
      <w:r>
        <w:rPr>
          <w:rFonts w:ascii="Arial" w:hAnsi="Arial"/>
          <w:b w:val="0"/>
          <w:i w:val="0"/>
          <w:color w:val="62716E"/>
          <w:sz w:val="18"/>
        </w:rPr>
        <w:t>Record the published channel, approved timetable, non-digital and language access, protection against retaliation, independent handling of conflicts, escalation and record-retention approval. Do not substitute the project contact for a required independent route.</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2" w:name="Section_12"/>
      <w:pPr>
        <w:pStyle w:val="Heading1"/>
        <w:keepNext/>
      </w:pPr>
      <w:r>
        <w:t>12  Environmental attributes and NVEU claim boundaries</w:t>
      </w:r>
      <w:bookmarkEnd w:id="112"/>
    </w:p>
    <w:p>
      <w:pPr>
        <w:keepNext/>
        <w:spacing w:after="180" w:line="259" w:lineRule="auto"/>
      </w:pPr>
      <w:r>
        <w:rPr>
          <w:rFonts w:ascii="Arial" w:hAnsi="Arial"/>
          <w:b w:val="0"/>
          <w:i w:val="0"/>
          <w:color w:val="62716E"/>
          <w:sz w:val="15"/>
        </w:rPr>
        <w:t>[1] Basis: S-02; T-10; T-22; U-01; U-02; U-03; U-05; U-07</w:t>
      </w:r>
    </w:p>
    <w:p>
      <w:pPr>
        <w:pStyle w:val="Heading2"/>
        <w:keepNext/>
      </w:pPr>
      <w:r>
        <w:t>Attribute and outcome register</w:t>
      </w:r>
    </w:p>
    <w:p>
      <w:pPr>
        <w:keepNext/>
        <w:spacing w:before="40" w:after="60"/>
      </w:pPr>
      <w:r>
        <w:rPr>
          <w:rFonts w:ascii="Lato" w:hAnsi="Lato"/>
          <w:color w:val="315B50"/>
          <w:sz w:val="18"/>
        </w:rPr>
        <w:t>PD-T21 / Calculation notation</w:t>
      </w:r>
    </w:p>
    <w:p>
      <w:pPr>
        <w:keepNext/>
        <w:spacing w:before="40" w:after="60"/>
      </w:pPr>
      <m:oMath>
        <m:r>
          <w:rPr>
            <w:sz w:val="18"/>
          </w:rPr>
          <m:t>Δ</m:t>
        </m:r>
        <m:sSubSup>
          <m:e>
            <m:r>
              <w:rPr>
                <w:sz w:val="18"/>
              </w:rPr>
              <m:t>x</m:t>
            </m:r>
          </m:e>
          <m:sub>
            <m:r>
              <w:rPr>
                <w:sz w:val="18"/>
              </w:rPr>
              <m:t>r</m:t>
            </m:r>
            <m:r>
              <w:rPr>
                <w:sz w:val="18"/>
              </w:rPr>
              <m:rPr>
                <m:sty m:val="p"/>
              </m:rPr>
              <m:t>,</m:t>
            </m:r>
            <m:r>
              <w:rPr>
                <w:sz w:val="18"/>
              </w:rPr>
              <m:t>t</m:t>
            </m:r>
          </m:sub>
          <m:sup>
            <m:r>
              <w:rPr>
                <w:sz w:val="18"/>
              </w:rPr>
              <m:rPr>
                <m:sty m:val="p"/>
              </m:rPr>
              <m:t>a</m:t>
            </m:r>
            <m:r>
              <w:rPr>
                <w:sz w:val="18"/>
              </w:rPr>
              <m:rPr>
                <m:sty m:val="p"/>
              </m:rPr>
              <m:t>d</m:t>
            </m:r>
            <m:r>
              <w:rPr>
                <w:sz w:val="18"/>
              </w:rPr>
              <m:rPr>
                <m:sty m:val="p"/>
              </m:rPr>
              <m:t>d</m:t>
            </m:r>
          </m:sup>
        </m:sSubSup>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P</m:t>
                </m:r>
                <m:r>
                  <w:rPr>
                    <w:sz w:val="18"/>
                  </w:rPr>
                  <m:rPr>
                    <m:sty m:val="p"/>
                  </m:rPr>
                  <m:t>J</m:t>
                </m:r>
                <m:r>
                  <w:rPr>
                    <w:sz w:val="18"/>
                  </w:rPr>
                  <m:rPr>
                    <m:sty m:val="p"/>
                  </m:rPr>
                  <m:t>,</m:t>
                </m:r>
                <m:sSub>
                  <m:e>
                    <m:r>
                      <w:rPr>
                        <w:sz w:val="18"/>
                      </w:rPr>
                      <m:t>t</m:t>
                    </m:r>
                  </m:e>
                  <m:sub>
                    <m:r>
                      <w:rPr>
                        <w:sz w:val="18"/>
                      </w:rPr>
                      <m:t>0</m:t>
                    </m:r>
                  </m:sub>
                </m:sSub>
              </m:sub>
            </m:sSub>
          </m:e>
        </m:d>
        <m:r>
          <w:rPr>
            <w:sz w:val="18"/>
          </w:rPr>
          <m:rPr>
            <m:sty m:val="p"/>
          </m:rPr>
          <m:t>−</m:t>
        </m:r>
        <m:d>
          <m:dPr>
            <m:begChr m:val="("/>
            <m:endChr m:val=")"/>
            <m:sepChr m:val=""/>
            <m:grow/>
          </m:dPr>
          <m:e>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1</m:t>
                    </m:r>
                  </m:sub>
                </m:sSub>
              </m:sub>
            </m:sSub>
            <m:r>
              <w:rPr>
                <w:sz w:val="18"/>
              </w:rPr>
              <m:rPr>
                <m:sty m:val="p"/>
              </m:rPr>
              <m:t>−</m:t>
            </m:r>
            <m:sSub>
              <m:e>
                <m:r>
                  <w:rPr>
                    <w:sz w:val="18"/>
                  </w:rPr>
                  <m:t>x</m:t>
                </m:r>
              </m:e>
              <m:sub>
                <m:r>
                  <w:rPr>
                    <w:sz w:val="18"/>
                  </w:rPr>
                  <m:t>r</m:t>
                </m:r>
                <m:r>
                  <w:rPr>
                    <w:sz w:val="18"/>
                  </w:rPr>
                  <m:rPr>
                    <m:sty m:val="p"/>
                  </m:rPr>
                  <m:t>,</m:t>
                </m:r>
                <m:r>
                  <w:rPr>
                    <w:sz w:val="18"/>
                  </w:rPr>
                  <m:rPr>
                    <m:sty m:val="p"/>
                  </m:rPr>
                  <m:t>B</m:t>
                </m:r>
                <m:r>
                  <w:rPr>
                    <w:sz w:val="18"/>
                  </w:rPr>
                  <m:rPr>
                    <m:sty m:val="p"/>
                  </m:rPr>
                  <m:t>L</m:t>
                </m:r>
                <m:r>
                  <w:rPr>
                    <w:sz w:val="18"/>
                  </w:rPr>
                  <m:rPr>
                    <m:sty m:val="p"/>
                  </m:rPr>
                  <m:t>,</m:t>
                </m:r>
                <m:sSub>
                  <m:e>
                    <m:r>
                      <w:rPr>
                        <w:sz w:val="18"/>
                      </w:rPr>
                      <m:t>t</m:t>
                    </m:r>
                  </m:e>
                  <m:sub>
                    <m:r>
                      <w:rPr>
                        <w:sz w:val="18"/>
                      </w:rPr>
                      <m:t>0</m:t>
                    </m:r>
                  </m:sub>
                </m:sSub>
              </m:sub>
            </m:sSub>
          </m:e>
        </m:d>
      </m:oMath>
    </w:p>
    <w:p>
      <w:pPr>
        <w:keepNext/>
        <w:spacing w:before="40" w:after="60"/>
      </w:pPr>
      <w:r>
        <w:rPr>
          <w:rFonts w:ascii="Lato" w:hAnsi="Lato"/>
          <w:color w:val="315B50"/>
          <w:sz w:val="16"/>
        </w:rPr>
        <w:t>r identifies one environmental or social indicator with its own unit u_r. This is the candidate estimand in M06.1, not an approved conversion to carbon or NVEU. Report different attributes separately; specify the protocol and observation support.</w:t>
      </w:r>
    </w:p>
    <w:p>
      <w:pPr>
        <w:keepNext/>
        <w:spacing w:before="40" w:after="60"/>
      </w:pPr>
      <w:r>
        <w:rPr>
          <w:rFonts w:ascii="Lato" w:hAnsi="Lato"/>
          <w:color w:val="315B50"/>
          <w:sz w:val="14"/>
        </w:rPr>
        <w:t>Basis: M06.1; T-10 | Workbook: Separate indicator schedule;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412"/>
        <w:gridCol w:w="3217"/>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Attribute / ecological meaning</w:t>
            </w:r>
          </w:p>
          <w:p>
            <w:pPr>
              <w:spacing w:before="40" w:after="40"/>
            </w:pPr>
            <m:oMath>
              <m:r>
                <w:rPr>
                  <w:sz w:val="16"/>
                  <w:color w:val="173E34"/>
                </w:rPr>
                <m:t>r</m:t>
              </m:r>
              <m:r>
                <w:rPr>
                  <w:sz w:val="16"/>
                  <w:color w:val="173E34"/>
                </w:rPr>
                <m:rPr>
                  <m:sty m:val="p"/>
                </m:rPr>
                <m:t>,</m:t>
              </m:r>
              <m:r>
                <w:rPr>
                  <w:sz w:val="16"/>
                  <w:color w:val="173E34"/>
                </w:rPr>
                <m:t> </m:t>
              </m:r>
              <m:sSub>
                <m:e>
                  <m:r>
                    <w:rPr>
                      <w:sz w:val="16"/>
                      <w:color w:val="173E34"/>
                    </w:rPr>
                    <m:t>t</m:t>
                  </m:r>
                </m:e>
                <m:sub>
                  <m:r>
                    <w:rPr>
                      <w:sz w:val="16"/>
                      <w:color w:val="173E34"/>
                    </w:rPr>
                    <m:t>0</m:t>
                  </m:r>
                </m:sub>
              </m:sSub>
              <m:r>
                <w:rPr>
                  <w:sz w:val="16"/>
                  <w:color w:val="173E34"/>
                </w:rPr>
                <m:rPr>
                  <m:sty m:val="p"/>
                </m:rPr>
                <m:t>,</m:t>
              </m:r>
              <m:r>
                <w:rPr>
                  <w:sz w:val="16"/>
                  <w:color w:val="173E34"/>
                </w:rPr>
                <m:t> </m:t>
              </m:r>
              <m:sSub>
                <m:e>
                  <m:r>
                    <w:rPr>
                      <w:sz w:val="16"/>
                      <w:color w:val="173E34"/>
                    </w:rPr>
                    <m:t>t</m:t>
                  </m:r>
                </m:e>
                <m:sub>
                  <m:r>
                    <w:rPr>
                      <w:sz w:val="16"/>
                      <w:color w:val="173E34"/>
                    </w:rPr>
                    <m:t>1</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Indicator, unit, boundary and period</w:t>
            </w:r>
          </w:p>
          <w:p>
            <w:pPr>
              <w:spacing w:before="40" w:after="40"/>
            </w:pPr>
            <m:oMath>
              <m:sSub>
                <m:e>
                  <m:r>
                    <w:rPr>
                      <w:sz w:val="16"/>
                      <w:color w:val="173E34"/>
                    </w:rPr>
                    <m:t>x</m:t>
                  </m:r>
                </m:e>
                <m:sub>
                  <m:r>
                    <w:rPr>
                      <w:sz w:val="16"/>
                      <w:color w:val="173E34"/>
                    </w:rPr>
                    <m:t>r</m:t>
                  </m:r>
                  <m:r>
                    <w:rPr>
                      <w:sz w:val="16"/>
                      <w:color w:val="173E34"/>
                    </w:rPr>
                    <m:rPr>
                      <m:sty m:val="p"/>
                    </m:rPr>
                    <m:t>,</m:t>
                  </m:r>
                  <m:r>
                    <w:rPr>
                      <w:sz w:val="16"/>
                      <w:color w:val="173E34"/>
                    </w:rPr>
                    <m:t>s</m:t>
                  </m:r>
                  <m:r>
                    <w:rPr>
                      <w:sz w:val="16"/>
                      <w:color w:val="173E34"/>
                    </w:rPr>
                    <m:rPr>
                      <m:sty m:val="p"/>
                    </m:rPr>
                    <m:t>,</m:t>
                  </m:r>
                  <m:r>
                    <w:rPr>
                      <w:sz w:val="16"/>
                      <w:color w:val="173E34"/>
                    </w:rPr>
                    <m:t>t</m:t>
                  </m:r>
                </m:sub>
              </m:sSub>
              <m:r>
                <w:rPr>
                  <w:sz w:val="16"/>
                  <w:color w:val="173E34"/>
                </w:rPr>
                <m:t> </m:t>
              </m:r>
              <m:d>
                <m:dPr>
                  <m:begChr m:val="["/>
                  <m:endChr m:val="]"/>
                  <m:sepChr m:val=""/>
                  <m:grow/>
                </m:dPr>
                <m:e>
                  <m:sSub>
                    <m:e>
                      <m:r>
                        <w:rPr>
                          <w:sz w:val="16"/>
                          <w:color w:val="173E34"/>
                        </w:rPr>
                        <m:t>u</m:t>
                      </m:r>
                    </m:e>
                    <m:sub>
                      <m:r>
                        <w:rPr>
                          <w:sz w:val="16"/>
                          <w:color w:val="173E34"/>
                        </w:rPr>
                        <m:t>r</m:t>
                      </m:r>
                    </m:sub>
                  </m:sSub>
                </m:e>
              </m:d>
            </m:oMath>
          </w:p>
        </w:tc>
        <w:tc>
          <w:tcPr>
            <w:tcW w:type="dxa" w:w="321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Method, evidence status and limitations</w:t>
            </w:r>
          </w:p>
          <w:p>
            <w:pPr>
              <w:spacing w:before="40" w:after="40"/>
            </w:pPr>
            <m:oMath>
              <m:r>
                <w:rPr>
                  <w:sz w:val="16"/>
                  <w:color w:val="173E34"/>
                </w:rPr>
                <m:t>Δ</m:t>
              </m:r>
              <m:sSubSup>
                <m:e>
                  <m:r>
                    <w:rPr>
                      <w:sz w:val="16"/>
                      <w:color w:val="173E34"/>
                    </w:rPr>
                    <m:t>x</m:t>
                  </m:r>
                </m:e>
                <m:sub>
                  <m:r>
                    <w:rPr>
                      <w:sz w:val="16"/>
                      <w:color w:val="173E34"/>
                    </w:rPr>
                    <m:t>r</m:t>
                  </m:r>
                  <m:r>
                    <w:rPr>
                      <w:sz w:val="16"/>
                      <w:color w:val="173E34"/>
                    </w:rPr>
                    <m:rPr>
                      <m:sty m:val="p"/>
                    </m:rPr>
                    <m:t>,</m:t>
                  </m:r>
                  <m:r>
                    <w:rPr>
                      <w:sz w:val="16"/>
                      <w:color w:val="173E34"/>
                    </w:rPr>
                    <m:t>t</m:t>
                  </m:r>
                </m:sub>
                <m:sup>
                  <m:r>
                    <w:rPr>
                      <w:sz w:val="16"/>
                      <w:color w:val="173E34"/>
                    </w:rPr>
                    <m:rPr>
                      <m:sty m:val="p"/>
                    </m:rPr>
                    <m:t>a</m:t>
                  </m:r>
                  <m:r>
                    <w:rPr>
                      <w:sz w:val="16"/>
                      <w:color w:val="173E34"/>
                    </w:rPr>
                    <m:rPr>
                      <m:sty m:val="p"/>
                    </m:rPr>
                    <m:t>d</m:t>
                  </m:r>
                  <m:r>
                    <w:rPr>
                      <w:sz w:val="16"/>
                      <w:color w:val="173E34"/>
                    </w:rPr>
                    <m:rPr>
                      <m:sty m:val="p"/>
                    </m:rPr>
                    <m:t>d</m:t>
                  </m:r>
                </m:sup>
              </m:sSubSup>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217"/>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Requested category specification, if applicable</w:t>
      </w:r>
    </w:p>
    <w:p>
      <w:pPr>
        <w:keepNext/>
        <w:spacing w:before="40" w:after="60"/>
      </w:pPr>
      <w:r>
        <w:rPr>
          <w:rFonts w:ascii="Lato" w:hAnsi="Lato"/>
          <w:color w:val="315B50"/>
          <w:sz w:val="18"/>
        </w:rPr>
        <w:t>PD-T22 / Calculation notation</w:t>
      </w:r>
    </w:p>
    <w:p>
      <w:pPr>
        <w:keepNext/>
        <w:spacing w:before="40" w:after="60"/>
      </w:pPr>
      <m:oMath>
        <m:sSubSup>
          <m:e>
            <m:r>
              <w:rPr>
                <w:sz w:val="18"/>
              </w:rPr>
              <m:t>n</m:t>
            </m:r>
          </m:e>
          <m:sub>
            <m:r>
              <w:rPr>
                <w:sz w:val="18"/>
              </w:rPr>
              <m:t>t</m:t>
            </m:r>
          </m:sub>
          <m:sup>
            <m:r>
              <w:rPr>
                <w:sz w:val="18"/>
              </w:rPr>
              <m:rPr>
                <m:sty m:val="p"/>
              </m:rPr>
              <m:t>c</m:t>
            </m:r>
            <m:r>
              <w:rPr>
                <w:sz w:val="18"/>
              </w:rPr>
              <m:rPr>
                <m:sty m:val="p"/>
              </m:rPr>
              <m:t>a</m:t>
            </m:r>
            <m:r>
              <w:rPr>
                <w:sz w:val="18"/>
              </w:rPr>
              <m:rPr>
                <m:sty m:val="p"/>
              </m:rPr>
              <m:t>n</m:t>
            </m:r>
            <m:r>
              <w:rPr>
                <w:sz w:val="18"/>
              </w:rPr>
              <m:rPr>
                <m:sty m:val="p"/>
              </m:rPr>
              <m:t>d</m:t>
            </m:r>
            <m:r>
              <w:rPr>
                <w:sz w:val="18"/>
              </w:rPr>
              <m:rPr>
                <m:sty m:val="p"/>
              </m:rPr>
              <m:t>i</m:t>
            </m:r>
            <m:r>
              <w:rPr>
                <w:sz w:val="18"/>
              </w:rPr>
              <m:rPr>
                <m:sty m:val="p"/>
              </m:rPr>
              <m:t>d</m:t>
            </m:r>
            <m:r>
              <w:rPr>
                <w:sz w:val="18"/>
              </w:rPr>
              <m:rPr>
                <m:sty m:val="p"/>
              </m:rPr>
              <m:t>a</m:t>
            </m:r>
            <m:r>
              <w:rPr>
                <w:sz w:val="18"/>
              </w:rPr>
              <m:rPr>
                <m:sty m:val="p"/>
              </m:rPr>
              <m:t>t</m:t>
            </m:r>
            <m:r>
              <w:rPr>
                <w:sz w:val="18"/>
              </w:rPr>
              <m:rPr>
                <m:sty m:val="p"/>
              </m:rPr>
              <m:t>e</m:t>
            </m:r>
          </m:sup>
        </m:sSubSup>
        <m:r>
          <w:rPr>
            <w:sz w:val="18"/>
          </w:rPr>
          <m:rPr>
            <m:sty m:val="p"/>
          </m:rPr>
          <m:t>=</m:t>
        </m:r>
        <m:f>
          <m:fPr>
            <m:type m:val="bar"/>
          </m:fPr>
          <m:num>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num>
          <m:den>
            <m:sSub>
              <m:e>
                <m:r>
                  <w:rPr>
                    <w:sz w:val="18"/>
                  </w:rPr>
                  <m:t>d</m:t>
                </m:r>
              </m:e>
              <m:sub>
                <m:r>
                  <w:rPr>
                    <w:sz w:val="18"/>
                  </w:rPr>
                  <m:t>u</m:t>
                </m:r>
              </m:sub>
            </m:sSub>
          </m:den>
        </m:f>
        <m:r>
          <w:rPr>
            <w:sz w:val="18"/>
          </w:rPr>
          <m:rPr>
            <m:sty m:val="p"/>
          </m:rPr>
          <m:t>,</m:t>
        </m:r>
        <m:r>
          <w:rPr>
            <w:sz w:val="18"/>
          </w:rPr>
          <m:t>  </m:t>
        </m:r>
        <m:sSub>
          <m:e>
            <m:r>
              <w:rPr>
                <w:sz w:val="18"/>
              </w:rPr>
              <m:t>d</m:t>
            </m:r>
          </m:e>
          <m:sub>
            <m:r>
              <w:rPr>
                <w:sz w:val="18"/>
              </w:rPr>
              <m:t>u</m:t>
            </m:r>
          </m:sub>
        </m:sSub>
        <m:r>
          <w:rPr>
            <w:sz w:val="18"/>
          </w:rPr>
          <m:rPr>
            <m:sty m:val="p"/>
          </m:rPr>
          <m:t>&gt;</m:t>
        </m:r>
        <m:r>
          <w:rPr>
            <w:sz w:val="18"/>
          </w:rPr>
          <m:t>0</m:t>
        </m:r>
        <m:r>
          <w:rPr>
            <w:sz w:val="18"/>
          </w:rPr>
          <m:rPr>
            <m:sty m:val="p"/>
          </m:rPr>
          <m:t>,</m:t>
        </m:r>
        <m:r>
          <w:rPr>
            <w:sz w:val="18"/>
          </w:rPr>
          <m:t> </m:t>
        </m:r>
        <m:sSubSup>
          <m:e>
            <m:r>
              <w:rPr>
                <w:sz w:val="18"/>
              </w:rPr>
              <m:t>J</m:t>
            </m:r>
          </m:e>
          <m:sub>
            <m:r>
              <w:rPr>
                <w:sz w:val="18"/>
              </w:rPr>
              <m:t>t</m:t>
            </m:r>
          </m:sub>
          <m:sup>
            <m:r>
              <w:rPr>
                <w:sz w:val="18"/>
              </w:rPr>
              <m:rPr>
                <m:sty m:val="p"/>
              </m:rPr>
              <m:t>c</m:t>
            </m:r>
            <m:r>
              <w:rPr>
                <w:sz w:val="18"/>
              </w:rPr>
              <m:rPr>
                <m:sty m:val="p"/>
              </m:rPr>
              <m:t>a</m:t>
            </m:r>
            <m:r>
              <w:rPr>
                <w:sz w:val="18"/>
              </w:rPr>
              <m:rPr>
                <m:sty m:val="p"/>
              </m:rPr>
              <m:t>n</m:t>
            </m:r>
            <m:r>
              <w:rPr>
                <w:sz w:val="18"/>
              </w:rPr>
              <m:rPr>
                <m:sty m:val="p"/>
              </m:rPr>
              <m:t>d</m:t>
            </m:r>
          </m:sup>
        </m:sSubSup>
        <m:r>
          <w:rPr>
            <w:sz w:val="18"/>
          </w:rPr>
          <m:rPr>
            <m:sty m:val="p"/>
          </m:rPr>
          <m:t>≥</m:t>
        </m:r>
        <m:r>
          <w:rPr>
            <w:sz w:val="18"/>
          </w:rPr>
          <m:t>0</m:t>
        </m:r>
      </m:oMath>
    </w:p>
    <w:p>
      <w:pPr>
        <w:keepNext/>
        <w:spacing w:before="40" w:after="60"/>
      </w:pPr>
      <w:r>
        <w:rPr>
          <w:rFonts w:ascii="Lato" w:hAnsi="Lato"/>
          <w:color w:val="315B50"/>
          <w:sz w:val="16"/>
        </w:rPr>
        <w:t>d_u is t CO2e per NVEU of the specified category. The quotient is a candidate count, not issuance or an equivalence with other external carbon units. No value for d_u or whole-unit rule is assumed. Missing category authorization blocks the unit count.</w:t>
      </w:r>
    </w:p>
    <w:p>
      <w:pPr>
        <w:keepNext/>
        <w:spacing w:before="40" w:after="60"/>
      </w:pPr>
      <w:r>
        <w:rPr>
          <w:rFonts w:ascii="Lato" w:hAnsi="Lato"/>
          <w:color w:val="315B50"/>
          <w:sz w:val="14"/>
        </w:rPr>
        <w:t>Basis: F-R04; U-01 | Workbook: Results!F:H; Profile!B7:B10</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Category / permitted claim</w:t>
            </w:r>
          </w:p>
          <w:p>
            <w:pPr>
              <w:spacing w:before="40" w:after="40"/>
            </w:pPr>
            <m:oMath>
              <m:r>
                <w:rPr>
                  <w:sz w:val="16"/>
                  <w:color w:val="173E34"/>
                </w:rPr>
                <m:rPr>
                  <m:nor/>
                  <m:sty m:val="p"/>
                </m:rPr>
                <m:t>category</m:t>
              </m:r>
              <m:r>
                <w:rPr>
                  <w:sz w:val="16"/>
                  <w:color w:val="173E34"/>
                </w:rPr>
                <m:rPr>
                  <m:sty m:val="p"/>
                </m:rPr>
                <m:t>,</m:t>
              </m:r>
              <m:r>
                <w:rPr>
                  <w:sz w:val="16"/>
                  <w:color w:val="173E34"/>
                </w:rPr>
                <m:t> </m:t>
              </m:r>
              <m:r>
                <w:rPr>
                  <w:sz w:val="16"/>
                  <w:color w:val="173E34"/>
                </w:rPr>
                <m:t>t</m:t>
              </m:r>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Denomination and authorization record</w:t>
            </w:r>
          </w:p>
          <w:p>
            <w:pPr>
              <w:spacing w:before="40" w:after="40"/>
            </w:pPr>
            <m:oMath>
              <m:sSub>
                <m:e>
                  <m:r>
                    <w:rPr>
                      <w:sz w:val="16"/>
                      <w:color w:val="173E34"/>
                    </w:rPr>
                    <m:t>d</m:t>
                  </m:r>
                </m:e>
                <m:sub>
                  <m:r>
                    <w:rPr>
                      <w:sz w:val="16"/>
                      <w:color w:val="173E34"/>
                    </w:rPr>
                    <m:t>u</m:t>
                  </m:r>
                </m:sub>
              </m:sSub>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Uncertainty, durability and status controls</w:t>
            </w:r>
          </w:p>
          <w:p>
            <w:pPr>
              <w:spacing w:before="40" w:after="40"/>
            </w:pPr>
            <m:oMath>
              <m:sSubSup>
                <m:e>
                  <m:r>
                    <w:rPr>
                      <w:sz w:val="16"/>
                      <w:color w:val="173E34"/>
                    </w:rPr>
                    <m:t>J</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sup>
              </m:sSubSup>
              <m:r>
                <w:rPr>
                  <w:sz w:val="16"/>
                  <w:color w:val="173E34"/>
                </w:rPr>
                <m:rPr>
                  <m:sty m:val="p"/>
                </m:rPr>
                <m:t>,</m:t>
              </m:r>
              <m:r>
                <w:rPr>
                  <w:sz w:val="16"/>
                  <w:color w:val="173E34"/>
                </w:rPr>
                <m:t> </m:t>
              </m:r>
              <m:sSubSup>
                <m:e>
                  <m:r>
                    <w:rPr>
                      <w:sz w:val="16"/>
                      <w:color w:val="173E34"/>
                    </w:rPr>
                    <m:t>n</m:t>
                  </m:r>
                </m:e>
                <m:sub>
                  <m:r>
                    <w:rPr>
                      <w:sz w:val="16"/>
                      <w:color w:val="173E34"/>
                    </w:rPr>
                    <m:t>t</m:t>
                  </m:r>
                </m:sub>
                <m:sup>
                  <m:r>
                    <w:rPr>
                      <w:sz w:val="16"/>
                      <w:color w:val="173E34"/>
                    </w:rPr>
                    <m:rPr>
                      <m:sty m:val="p"/>
                    </m:rPr>
                    <m:t>c</m:t>
                  </m:r>
                  <m:r>
                    <w:rPr>
                      <w:sz w:val="16"/>
                      <w:color w:val="173E34"/>
                    </w:rPr>
                    <m:rPr>
                      <m:sty m:val="p"/>
                    </m:rPr>
                    <m:t>a</m:t>
                  </m:r>
                  <m:r>
                    <w:rPr>
                      <w:sz w:val="16"/>
                      <w:color w:val="173E34"/>
                    </w:rPr>
                    <m:rPr>
                      <m:sty m:val="p"/>
                    </m:rPr>
                    <m:t>n</m:t>
                  </m:r>
                  <m:r>
                    <w:rPr>
                      <w:sz w:val="16"/>
                      <w:color w:val="173E34"/>
                    </w:rPr>
                    <m:rPr>
                      <m:sty m:val="p"/>
                    </m:rPr>
                    <m:t>d</m:t>
                  </m:r>
                  <m:r>
                    <w:rPr>
                      <w:sz w:val="16"/>
                      <w:color w:val="173E34"/>
                    </w:rPr>
                    <m:rPr>
                      <m:sty m:val="p"/>
                    </m:rPr>
                    <m:t>i</m:t>
                  </m:r>
                  <m:r>
                    <w:rPr>
                      <w:sz w:val="16"/>
                      <w:color w:val="173E34"/>
                    </w:rPr>
                    <m:rPr>
                      <m:sty m:val="p"/>
                    </m:rPr>
                    <m:t>d</m:t>
                  </m:r>
                  <m:r>
                    <w:rPr>
                      <w:sz w:val="16"/>
                      <w:color w:val="173E34"/>
                    </w:rPr>
                    <m:rPr>
                      <m:sty m:val="p"/>
                    </m:rPr>
                    <m:t>a</m:t>
                  </m:r>
                  <m:r>
                    <w:rPr>
                      <w:sz w:val="16"/>
                      <w:color w:val="173E34"/>
                    </w:rPr>
                    <m:rPr>
                      <m:sty m:val="p"/>
                    </m:rPr>
                    <m:t>t</m:t>
                  </m:r>
                  <m:r>
                    <w:rPr>
                      <w:sz w:val="16"/>
                      <w:color w:val="173E34"/>
                    </w:rPr>
                    <m:rPr>
                      <m:sty m:val="p"/>
                    </m:rPr>
                    <m:t>e</m:t>
                  </m:r>
                </m:sup>
              </m:sSubSup>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Limits on statements and aggregation</w:t>
      </w:r>
    </w:p>
    <w:p>
      <w:pPr>
        <w:keepNext/>
        <w:spacing w:after="100" w:line="259" w:lineRule="auto"/>
      </w:pPr>
      <w:r>
        <w:rPr>
          <w:rFonts w:ascii="Arial" w:hAnsi="Arial"/>
          <w:b w:val="0"/>
          <w:i w:val="0"/>
          <w:color w:val="62716E"/>
          <w:sz w:val="18"/>
        </w:rPr>
        <w:t>Distinguish ecosystem observations, projections, verified results and authorized NVEUs. Explain comparability limits and prevent duplicate or incompatible claims. An adopted carbon denomination is not implied by the acronym NVEU.</w:t>
      </w:r>
    </w:p>
    <w:tbl>
      <w:tblPr>
        <w:tblW w:type="auto" w:w="0"/>
        <w:tblLook w:firstColumn="1" w:firstRow="1" w:lastColumn="0" w:lastRow="0" w:noHBand="0" w:noVBand="1" w:val="04A0"/>
      </w:tblPr>
      <w:tblGrid>
        <w:gridCol w:w="9746"/>
      </w:tblGrid>
      <w:tr>
        <w:trPr>
          <w:trHeight w:val="850"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3" w:name="Section_13"/>
      <w:pPr>
        <w:pStyle w:val="Heading1"/>
        <w:keepNext/>
      </w:pPr>
      <w:r>
        <w:t>13  Implementation plan, resources and contingencies</w:t>
      </w:r>
      <w:bookmarkEnd w:id="113"/>
    </w:p>
    <w:p>
      <w:pPr>
        <w:keepNext/>
        <w:spacing w:after="180" w:line="259" w:lineRule="auto"/>
      </w:pPr>
      <w:r>
        <w:rPr>
          <w:rFonts w:ascii="Arial" w:hAnsi="Arial"/>
          <w:b w:val="0"/>
          <w:i w:val="0"/>
          <w:color w:val="62716E"/>
          <w:sz w:val="15"/>
        </w:rPr>
        <w:t>[1] Basis: S-11; S-13; S-25; CYC-05; P-02; FRM-07</w:t>
      </w:r>
    </w:p>
    <w:p>
      <w:pPr>
        <w:pStyle w:val="Heading2"/>
        <w:keepNext/>
      </w:pPr>
      <w:r>
        <w:t>Implementation work program</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315"/>
        <w:gridCol w:w="3315"/>
        <w:gridCol w:w="3120"/>
      </w:tblGrid>
      <w:tr>
        <w:trPr>
          <w:trHeight w:val="446" w:hRule="atLeast"/>
          <w:tblHeader/>
        </w:trPr>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Activity, location and milestone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Implementer, mandate and resources</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Schedule, dependency and evidence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Resource and financial feasibility</w:t>
      </w:r>
    </w:p>
    <w:p>
      <w:pPr>
        <w:keepNext/>
        <w:spacing w:before="40" w:after="60"/>
      </w:pPr>
      <w:r>
        <w:rPr>
          <w:rFonts w:ascii="Lato" w:hAnsi="Lato"/>
          <w:color w:val="315B50"/>
          <w:sz w:val="18"/>
        </w:rPr>
        <w:t>PD-T24 / Calculation notation</w:t>
      </w:r>
    </w:p>
    <w:p>
      <w:pPr>
        <w:keepNext/>
        <w:spacing w:before="40" w:after="60"/>
      </w:pPr>
      <m:oMath>
        <m:sSub>
          <m:e>
            <m:r>
              <w:rPr>
                <w:sz w:val="18"/>
              </w:rPr>
              <m:t>c</m:t>
            </m:r>
          </m:e>
          <m:sub>
            <m:r>
              <w:rPr>
                <w:sz w:val="18"/>
              </w:rPr>
              <m:t>j</m:t>
            </m:r>
            <m:r>
              <w:rPr>
                <w:sz w:val="18"/>
              </w:rPr>
              <m:rPr>
                <m:sty m:val="p"/>
              </m:rPr>
              <m:t>,</m:t>
            </m:r>
            <m:r>
              <w:rPr>
                <w:sz w:val="18"/>
              </w:rPr>
              <m:t>t</m:t>
            </m:r>
          </m:sub>
        </m:sSub>
        <m:r>
          <w:rPr>
            <w:sz w:val="18"/>
          </w:rPr>
          <m:t> </m:t>
        </m:r>
        <m:d>
          <m:dPr>
            <m:begChr m:val="["/>
            <m:endChr m:val="]"/>
            <m:sepChr m:val=""/>
            <m:grow/>
          </m:dPr>
          <m:e>
            <m:sSub>
              <m:e>
                <m:r>
                  <w:rPr>
                    <w:sz w:val="18"/>
                  </w:rPr>
                  <m:t>u</m:t>
                </m:r>
              </m:e>
              <m:sub>
                <m:r>
                  <w:rPr>
                    <w:sz w:val="18"/>
                  </w:rPr>
                  <m:t>c</m:t>
                </m:r>
              </m:sub>
            </m:sSub>
          </m:e>
        </m:d>
      </m:oMath>
    </w:p>
    <w:p>
      <w:pPr>
        <w:keepNext/>
        <w:spacing w:before="40" w:after="60"/>
      </w:pPr>
      <w:r>
        <w:rPr>
          <w:rFonts w:ascii="Lato" w:hAnsi="Lato"/>
          <w:color w:val="315B50"/>
          <w:sz w:val="16"/>
        </w:rPr>
        <w:t>c is the recorded cost or resource amount in the explicitly identified currency and price date. Enter the actual budgeting equation and its data source if calculated. This label supplies no price, discount rate, financial formula, or emission factor.</w:t>
      </w:r>
    </w:p>
    <w:p>
      <w:pPr>
        <w:keepNext/>
        <w:spacing w:before="40" w:after="60"/>
      </w:pPr>
      <w:r>
        <w:rPr>
          <w:rFonts w:ascii="Lato" w:hAnsi="Lato"/>
          <w:color w:val="315B50"/>
          <w:sz w:val="14"/>
        </w:rPr>
        <w:t>Basis: CYC-03; CYC-04; CYC-05; data label | Workbook: Project budget attachment; Evidence!G</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Cost / resource commitment</w:t>
            </w:r>
          </w:p>
          <w:p>
            <w:pPr>
              <w:spacing w:before="40" w:after="40"/>
            </w:pPr>
            <m:oMath>
              <m:r>
                <w:rPr>
                  <w:sz w:val="16"/>
                  <w:color w:val="173E34"/>
                </w:rPr>
                <m:t>j</m:t>
              </m:r>
              <m:r>
                <w:rPr>
                  <w:sz w:val="16"/>
                  <w:color w:val="173E34"/>
                </w:rPr>
                <m:rPr>
                  <m:sty m:val="p"/>
                </m:rPr>
                <m:t>,</m:t>
              </m:r>
              <m:r>
                <w:rPr>
                  <w:sz w:val="16"/>
                  <w:color w:val="173E34"/>
                </w:rPr>
                <m:t> </m:t>
              </m:r>
              <m:r>
                <w:rPr>
                  <w:sz w:val="16"/>
                  <w:color w:val="173E34"/>
                </w:rPr>
                <m:t>t</m:t>
              </m:r>
            </m:oMath>
          </w:p>
        </w:tc>
        <w:tc>
          <w:tcPr>
            <w:tcW w:type="dxa" w:w="341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Amount, currency, timing and source</w:t>
            </w:r>
          </w:p>
          <w:p>
            <w:pPr>
              <w:spacing w:before="40" w:after="40"/>
            </w:pPr>
            <m:oMath>
              <m:sSub>
                <m:e>
                  <m:r>
                    <w:rPr>
                      <w:sz w:val="16"/>
                      <w:color w:val="173E34"/>
                    </w:rPr>
                    <m:t>c</m:t>
                  </m:r>
                </m:e>
                <m:sub>
                  <m:r>
                    <w:rPr>
                      <w:sz w:val="16"/>
                      <w:color w:val="173E34"/>
                    </w:rPr>
                    <m:t>j</m:t>
                  </m:r>
                  <m:r>
                    <w:rPr>
                      <w:sz w:val="16"/>
                      <w:color w:val="173E34"/>
                    </w:rPr>
                    <m:rPr>
                      <m:sty m:val="p"/>
                    </m:rPr>
                    <m:t>,</m:t>
                  </m:r>
                  <m:r>
                    <w:rPr>
                      <w:sz w:val="16"/>
                      <w:color w:val="173E34"/>
                    </w:rPr>
                    <m:t>t</m:t>
                  </m:r>
                </m:sub>
              </m:sSub>
            </m:oMath>
          </w:p>
        </w:tc>
        <w:tc>
          <w:tcPr>
            <w:tcW w:type="dxa" w:w="3315"/>
            <w:vAlign w:val="center"/>
            <w:tcMar>
              <w:top w:w="70" w:type="dxa"/>
              <w:start w:w="85" w:type="dxa"/>
              <w:bottom w:w="70" w:type="dxa"/>
              <w:end w:w="85" w:type="dxa"/>
            </w:tcMar>
            <w:shd w:fill="E6F0EB"/>
          </w:tcPr>
          <w:p>
            <w:pPr>
              <w:spacing w:after="0" w:line="250" w:lineRule="auto"/>
            </w:pPr>
            <w:r>
              <w:rPr>
                <w:rFonts w:ascii="Arial" w:hAnsi="Arial"/>
                <w:b/>
                <w:i w:val="0"/>
                <w:color w:val="173E34"/>
                <w:sz w:val="16"/>
              </w:rPr>
              <w:t>Funding status, sensitivity and contingency</w:t>
            </w:r>
          </w:p>
          <w:p>
            <w:pPr>
              <w:spacing w:before="40" w:after="40"/>
            </w:pPr>
            <m:oMath>
              <m:r>
                <w:rPr>
                  <w:sz w:val="16"/>
                  <w:color w:val="173E34"/>
                </w:rPr>
                <m:rPr>
                  <m:nor/>
                  <m:sty m:val="p"/>
                </m:rPr>
                <m:t>source</m:t>
              </m:r>
              <m:d>
                <m:dPr>
                  <m:begChr m:val="("/>
                  <m:endChr m:val=")"/>
                  <m:sepChr m:val=""/>
                  <m:grow/>
                </m:dPr>
                <m:e>
                  <m:sSub>
                    <m:e>
                      <m:r>
                        <w:rPr>
                          <w:sz w:val="16"/>
                          <w:color w:val="173E34"/>
                        </w:rPr>
                        <m:t>c</m:t>
                      </m:r>
                    </m:e>
                    <m:sub>
                      <m:r>
                        <w:rPr>
                          <w:sz w:val="16"/>
                          <w:color w:val="173E34"/>
                        </w:rPr>
                        <m:t>j</m:t>
                      </m:r>
                      <m:r>
                        <w:rPr>
                          <w:sz w:val="16"/>
                          <w:color w:val="173E34"/>
                        </w:rPr>
                        <m:rPr>
                          <m:sty m:val="p"/>
                        </m:rPr>
                        <m:t>,</m:t>
                      </m:r>
                      <m:r>
                        <w:rPr>
                          <w:sz w:val="16"/>
                          <w:color w:val="173E34"/>
                        </w:rPr>
                        <m:t>t</m:t>
                      </m:r>
                    </m:sub>
                  </m:sSub>
                </m:e>
              </m:d>
            </m:oMath>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Operating, maintenance and incident arrangements</w:t>
      </w:r>
    </w:p>
    <w:p>
      <w:pPr>
        <w:keepNext/>
        <w:spacing w:after="100" w:line="259" w:lineRule="auto"/>
      </w:pPr>
      <w:r>
        <w:rPr>
          <w:rFonts w:ascii="Arial" w:hAnsi="Arial"/>
          <w:b w:val="0"/>
          <w:i w:val="0"/>
          <w:color w:val="62716E"/>
          <w:sz w:val="18"/>
        </w:rPr>
        <w:t>Record access, safety, capacity, maintenance, monitoring resources, disturbances, escalation and remedy responsibilities. NEBIOT performs its contracted technical services; the named implementer executes the interventions.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4" w:name="Section_14"/>
      <w:pPr>
        <w:pStyle w:val="Heading1"/>
        <w:keepNext/>
      </w:pPr>
      <w:r>
        <w:t>14  Monitoring design and controlled change</w:t>
      </w:r>
      <w:bookmarkEnd w:id="114"/>
    </w:p>
    <w:p>
      <w:pPr>
        <w:keepNext/>
        <w:spacing w:after="180" w:line="259" w:lineRule="auto"/>
      </w:pPr>
      <w:r>
        <w:rPr>
          <w:rFonts w:ascii="Arial" w:hAnsi="Arial"/>
          <w:b w:val="0"/>
          <w:i w:val="0"/>
          <w:color w:val="62716E"/>
          <w:sz w:val="15"/>
        </w:rPr>
        <w:t>[1] Basis: CYC-05; CYC-06; P-02; P-03; P-04; P-10; AO-08; FRM-02/AO</w:t>
      </w:r>
    </w:p>
    <w:p>
      <w:pPr>
        <w:pStyle w:val="Heading2"/>
        <w:keepNext/>
      </w:pPr>
      <w:r>
        <w:t>Variable-to-equation monitoring matrix</w:t>
      </w:r>
    </w:p>
    <w:p>
      <w:pPr>
        <w:keepNext/>
        <w:spacing w:before="40" w:after="60"/>
      </w:pPr>
      <w:r>
        <w:rPr>
          <w:rFonts w:ascii="Lato" w:hAnsi="Lato"/>
          <w:color w:val="315B50"/>
          <w:sz w:val="18"/>
        </w:rPr>
        <w:t>PD-T25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120"/>
        <w:gridCol w:w="3510"/>
        <w:gridCol w:w="3120"/>
      </w:tblGrid>
      <w:tr>
        <w:trPr>
          <w:trHeight w:val="446" w:hRule="atLeast"/>
          <w:tblHeader/>
        </w:trPr>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Variable / equation / spatial support</w:t>
            </w:r>
          </w:p>
          <w:p>
            <w:pPr>
              <w:spacing w:before="40" w:after="40"/>
            </w:pPr>
            <m:oMath>
              <m:sSub>
                <m:e>
                  <m:r>
                    <w:rPr>
                      <w:sz w:val="16"/>
                      <w:color w:val="173E34"/>
                    </w:rPr>
                    <m:t>x</m:t>
                  </m:r>
                </m:e>
                <m:sub>
                  <m:r>
                    <w:rPr>
                      <w:sz w:val="16"/>
                      <w:color w:val="173E34"/>
                    </w:rPr>
                    <m:rPr>
                      <m:sty m:val="p"/>
                    </m:rPr>
                    <m:t>ℓ</m:t>
                  </m:r>
                </m:sub>
              </m:sSub>
            </m:oMath>
          </w:p>
        </w:tc>
        <w:tc>
          <w:tcPr>
            <w:tcW w:type="dxa" w:w="351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Method, sampling, frequency and owner</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120"/>
            <w:vAlign w:val="center"/>
            <w:tcMar>
              <w:top w:w="70" w:type="dxa"/>
              <w:start w:w="85" w:type="dxa"/>
              <w:bottom w:w="70" w:type="dxa"/>
              <w:end w:w="85" w:type="dxa"/>
            </w:tcMar>
            <w:shd w:fill="E6F0EB"/>
          </w:tcPr>
          <w:p>
            <w:pPr>
              <w:spacing w:after="0" w:line="250" w:lineRule="auto"/>
            </w:pPr>
            <w:r>
              <w:rPr>
                <w:rFonts w:ascii="Arial" w:hAnsi="Arial"/>
                <w:b/>
                <w:i w:val="0"/>
                <w:color w:val="173E34"/>
                <w:sz w:val="16"/>
              </w:rPr>
              <w:t>Calibration, quality control and missing data</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51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Monitoring outputs and independent access</w:t>
      </w:r>
    </w:p>
    <w:p>
      <w:pPr>
        <w:keepNext/>
        <w:spacing w:after="100" w:line="259" w:lineRule="auto"/>
      </w:pPr>
      <w:r>
        <w:rPr>
          <w:rFonts w:ascii="Arial" w:hAnsi="Arial"/>
          <w:b w:val="0"/>
          <w:i w:val="0"/>
          <w:color w:val="62716E"/>
          <w:sz w:val="18"/>
        </w:rPr>
        <w:t>Describe field and remote evidence, laboratory custody, reporting periods, original-data retention, versioning and reproducible outputs. Link each reported variable to its module and calculation. Record independent OVV access arrangements.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Disturbance response and revalidation triggers</w:t>
      </w:r>
    </w:p>
    <w:p>
      <w:pPr>
        <w:keepNext/>
        <w:spacing w:after="100" w:line="259" w:lineRule="auto"/>
      </w:pPr>
      <w:r>
        <w:rPr>
          <w:rFonts w:ascii="Arial" w:hAnsi="Arial"/>
          <w:b w:val="0"/>
          <w:i w:val="0"/>
          <w:color w:val="62716E"/>
          <w:sz w:val="18"/>
        </w:rPr>
        <w:t>Identify event detection, reversal notification, data gaps, changes in rights, methods or boundaries, additionality review and conditions requiring recalculation or revalidation. Preserve earlier versions and adverse findings.</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5" w:name="Section_15"/>
      <w:pPr>
        <w:pStyle w:val="Heading1"/>
        <w:keepNext/>
      </w:pPr>
      <w:r>
        <w:t>15  Application profile and parameter approvals</w:t>
      </w:r>
      <w:bookmarkEnd w:id="115"/>
    </w:p>
    <w:p>
      <w:pPr>
        <w:keepNext/>
        <w:spacing w:after="180" w:line="259" w:lineRule="auto"/>
      </w:pPr>
      <w:r>
        <w:rPr>
          <w:rFonts w:ascii="Arial" w:hAnsi="Arial"/>
          <w:b w:val="0"/>
          <w:i w:val="0"/>
          <w:color w:val="62716E"/>
          <w:sz w:val="15"/>
        </w:rPr>
        <w:t>[1] Basis: S-18; T-01; T-14; T-20; F-03; U-01; FRM-05</w:t>
      </w:r>
    </w:p>
    <w:p>
      <w:pPr>
        <w:keepNext w:val="0"/>
        <w:spacing w:after="160" w:line="259" w:lineRule="auto"/>
        <w:shd w:fill="F1F5F2"/>
      </w:pPr>
      <w:r>
        <w:rPr>
          <w:rFonts w:ascii="Arial" w:hAnsi="Arial"/>
          <w:b w:val="0"/>
          <w:i w:val="0"/>
          <w:color w:val="215F52"/>
          <w:sz w:val="18"/>
        </w:rPr>
        <w:t>Complete or attach FRM-05 for every applicable item. Each approved entry needs its rule or value, applicability, units where relevant, evidence, approving authority, effective date, version and review trigger. Unresolved entries identify the affected gate; blank cells are not defaults.</w:t>
      </w:r>
    </w:p>
    <w:p>
      <w:pPr>
        <w:pStyle w:val="Heading2"/>
        <w:keepNext/>
      </w:pPr>
      <w:r>
        <w:t>AP-01–AP-12 decision register</w:t>
      </w:r>
    </w:p>
    <w:p>
      <w:pPr>
        <w:keepNext/>
        <w:spacing w:before="40" w:after="60"/>
      </w:pPr>
      <w:r>
        <w:rPr>
          <w:rFonts w:ascii="Lato" w:hAnsi="Lato"/>
          <w:color w:val="315B50"/>
          <w:sz w:val="18"/>
        </w:rPr>
        <w:t>PD-T26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192"/>
        <w:gridCol w:w="5557"/>
      </w:tblGrid>
      <w:tr>
        <w:trPr>
          <w:trHeight w:val="446" w:hRule="atLeast"/>
          <w:tblHeader/>
        </w:trPr>
        <w:tc>
          <w:tcPr>
            <w:tcW w:type="dxa" w:w="4192"/>
            <w:vAlign w:val="center"/>
            <w:tcMar>
              <w:top w:w="70" w:type="dxa"/>
              <w:start w:w="85" w:type="dxa"/>
              <w:bottom w:w="70" w:type="dxa"/>
              <w:end w:w="85" w:type="dxa"/>
            </w:tcMar>
            <w:shd w:fill="E6F0EB"/>
          </w:tcPr>
          <w:p>
            <w:pPr>
              <w:spacing w:after="0" w:line="250" w:lineRule="auto"/>
            </w:pPr>
            <w:r>
              <w:rPr>
                <w:rFonts w:ascii="Arial" w:hAnsi="Arial"/>
                <w:b/>
                <w:i w:val="0"/>
                <w:color w:val="173E34"/>
                <w:sz w:val="16"/>
              </w:rPr>
              <w:t>ID / decision topic</w:t>
            </w:r>
          </w:p>
          <w:p>
            <w:pPr>
              <w:spacing w:before="40" w:after="40"/>
            </w:pPr>
            <m:oMath>
              <m:sSub>
                <m:e>
                  <m:r>
                    <w:rPr>
                      <w:sz w:val="16"/>
                      <w:color w:val="173E34"/>
                    </w:rPr>
                    <m:t>x</m:t>
                  </m:r>
                </m:e>
                <m:sub>
                  <m:r>
                    <w:rPr>
                      <w:sz w:val="16"/>
                      <w:color w:val="173E34"/>
                    </w:rPr>
                    <m:rPr>
                      <m:sty m:val="p"/>
                    </m:rPr>
                    <m:t>ℓ</m:t>
                  </m:r>
                </m:sub>
              </m:sSub>
            </m:oMath>
          </w:p>
        </w:tc>
        <w:tc>
          <w:tcPr>
            <w:tcW w:type="dxa" w:w="5557"/>
            <w:vAlign w:val="center"/>
            <w:tcMar>
              <w:top w:w="70" w:type="dxa"/>
              <w:start w:w="85" w:type="dxa"/>
              <w:bottom w:w="70" w:type="dxa"/>
              <w:end w:w="85" w:type="dxa"/>
            </w:tcMar>
            <w:shd w:fill="E6F0EB"/>
          </w:tcPr>
          <w:p>
            <w:pPr>
              <w:spacing w:after="0" w:line="250" w:lineRule="auto"/>
            </w:pPr>
            <w:r>
              <w:rPr>
                <w:rFonts w:ascii="Arial" w:hAnsi="Arial"/>
                <w:b/>
                <w:i w:val="0"/>
                <w:color w:val="173E34"/>
                <w:sz w:val="16"/>
              </w:rPr>
              <w:t>Rule / value / evidence / approval or affected gate</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AP-01 / Activity and pool applicability</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AP-02 / Project dates and historical eligibility</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AP-03 / Crediting and durability horizons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AP-04 / Baseline and additionality tests</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AP-05 / Classification and model criteria</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AP-06 / Sampling and monitoring</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AP-07 / Gas characterization</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AP-08 / Conservative uncertainty rule</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AP-09 / Risk reserve, remedy and negative results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AP-10 / Assurance and materiality</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AP-11 / Governance and claims</w:t>
            </w:r>
          </w:p>
        </w:tc>
        <w:tc>
          <w:tcPr>
            <w:tcW w:type="dxa" w:w="555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 or reference the controlled FRM-05 entry]</w:t>
            </w:r>
          </w:p>
        </w:tc>
      </w:tr>
      <w:tr>
        <w:trPr>
          <w:trHeight w:val="446" w:hRule="atLeast"/>
        </w:trPr>
        <w:tc>
          <w:tcPr>
            <w:tcW w:type="dxa" w:w="4192"/>
            <w:vAlign w:val="center"/>
            <w:tcMar>
              <w:top w:w="70" w:type="dxa"/>
              <w:start w:w="85" w:type="dxa"/>
              <w:bottom w:w="70" w:type="dxa"/>
              <w:end w:w="85" w:type="dxa"/>
            </w:tcMar>
          </w:tcPr>
          <w:p>
            <w:pPr>
              <w:spacing w:after="0" w:line="250" w:lineRule="auto"/>
            </w:pPr>
            <w:r>
              <w:rPr>
                <w:rFonts w:ascii="Arial" w:hAnsi="Arial"/>
                <w:b w:val="0"/>
                <w:i w:val="0"/>
                <w:color w:val="243A36"/>
                <w:sz w:val="16"/>
              </w:rPr>
              <w:t>AP-12 / Safeguards and records</w:t>
            </w:r>
          </w:p>
        </w:tc>
        <w:tc>
          <w:tcPr>
            <w:tcW w:type="dxa" w:w="5557"/>
            <w:vAlign w:val="center"/>
            <w:tcMar>
              <w:top w:w="70" w:type="dxa"/>
              <w:start w:w="85" w:type="dxa"/>
              <w:bottom w:w="70" w:type="dxa"/>
              <w:end w:w="85" w:type="dxa"/>
            </w:tcMar>
          </w:tcPr>
          <w:p>
            <w:pPr>
              <w:spacing w:after="0" w:line="250" w:lineRule="auto"/>
            </w:pPr>
            <w:r>
              <w:rPr>
                <w:rFonts w:ascii="Arial" w:hAnsi="Arial"/>
                <w:b w:val="0"/>
                <w:i/>
                <w:color w:val="62716E"/>
                <w:sz w:val="16"/>
              </w:rPr>
              <w:t>[Complete or reference the controlled FRM-05 entry]</w:t>
            </w:r>
          </w:p>
        </w:tc>
      </w:tr>
    </w:tbl>
    <w:p>
      <w:pPr>
        <w:keepNext w:val="0"/>
        <w:spacing w:after="60" w:line="259" w:lineRule="auto"/>
      </w:pPr>
      <w:r>
        <w:rPr>
          <w:rFonts w:ascii="Arial" w:hAnsi="Arial"/>
          <w:b w:val="0"/>
          <w:i w:val="0"/>
          <w:color w:val="243A36"/>
          <w:sz w:val="2"/>
        </w:rPr>
      </w:r>
    </w:p>
    <w:p>
      <w:r>
        <w:br w:type="page"/>
      </w:r>
    </w:p>
    <w:p>
      <w:bookmarkStart w:id="116" w:name="Section_16"/>
      <w:pPr>
        <w:pStyle w:val="Heading1"/>
        <w:keepNext/>
      </w:pPr>
      <w:r>
        <w:t>16  Validation package and requirement crosswalk</w:t>
      </w:r>
      <w:bookmarkEnd w:id="116"/>
    </w:p>
    <w:p>
      <w:pPr>
        <w:keepNext/>
        <w:spacing w:after="180" w:line="259" w:lineRule="auto"/>
      </w:pPr>
      <w:r>
        <w:rPr>
          <w:rFonts w:ascii="Arial" w:hAnsi="Arial"/>
          <w:b w:val="0"/>
          <w:i w:val="0"/>
          <w:color w:val="62716E"/>
          <w:sz w:val="15"/>
        </w:rPr>
        <w:t>[1] Basis: CYC-05; S-15; S-16; S-22; P-01; P-05; P-07; P-14; A-03; A-06; A-12; FRM-03; FRM-10</w:t>
      </w:r>
    </w:p>
    <w:p>
      <w:pPr>
        <w:pStyle w:val="Heading2"/>
        <w:keepNext/>
      </w:pPr>
      <w:r>
        <w:t>Independent design-validation scope</w:t>
      </w:r>
    </w:p>
    <w:p>
      <w:pPr>
        <w:keepNext/>
        <w:spacing w:after="100" w:line="259" w:lineRule="auto"/>
      </w:pPr>
      <w:r>
        <w:rPr>
          <w:rFonts w:ascii="Arial" w:hAnsi="Arial"/>
          <w:b w:val="0"/>
          <w:i w:val="0"/>
          <w:color w:val="62716E"/>
          <w:sz w:val="18"/>
        </w:rPr>
        <w:t>Identify the proposed or engaged OVV, competence and recognition evidence, independence record, criteria and version, assurance scope and unresolved conditions. Do not prepopulate a favorable opinion.</w:t>
      </w:r>
    </w:p>
    <w:tbl>
      <w:tblPr>
        <w:tblW w:type="auto" w:w="0"/>
        <w:tblLook w:firstColumn="1" w:firstRow="1" w:lastColumn="0" w:lastRow="0" w:noHBand="0" w:noVBand="1" w:val="04A0"/>
      </w:tblPr>
      <w:tblGrid>
        <w:gridCol w:w="9746"/>
      </w:tblGrid>
      <w:tr>
        <w:trPr>
          <w:trHeight w:val="662"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pPr>
        <w:pStyle w:val="Heading2"/>
        <w:keepNext/>
      </w:pPr>
      <w:r>
        <w:t>Applicable requirement crosswalk</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412"/>
        <w:gridCol w:w="3315"/>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Requirement / version / applicability</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Dossier location and exact evidence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Finding / response / independent closure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keepNext w:val="0"/>
        <w:spacing w:after="160" w:line="259" w:lineRule="auto"/>
        <w:shd w:fill="F1F5F2"/>
      </w:pPr>
      <w:r>
        <w:rPr>
          <w:rFonts w:ascii="Arial" w:hAnsi="Arial"/>
          <w:b w:val="0"/>
          <w:i w:val="0"/>
          <w:color w:val="215F52"/>
          <w:sz w:val="18"/>
        </w:rPr>
        <w:t>Attach the complete applicable requirement matrix, not only these example rows. Use conforming, nonconforming, evidence insufficient, or not applicable with an accepted justification. A technical response is not independent closure; an assessment score cannot compensate for a failed mandatory requirement.</w:t>
      </w:r>
    </w:p>
    <w:p>
      <w:pPr>
        <w:pStyle w:val="Heading2"/>
        <w:keepNext/>
      </w:pPr>
      <w:r>
        <w:t>Findings, dissent and revision control</w:t>
      </w:r>
    </w:p>
    <w:p>
      <w:pPr>
        <w:keepNext/>
        <w:spacing w:after="100" w:line="259" w:lineRule="auto"/>
      </w:pPr>
      <w:r>
        <w:rPr>
          <w:rFonts w:ascii="Arial" w:hAnsi="Arial"/>
          <w:b w:val="0"/>
          <w:i w:val="0"/>
          <w:color w:val="62716E"/>
          <w:sz w:val="18"/>
        </w:rPr>
        <w:t>Record open and closed findings, rejected responses, conflicts, before/after calculations and the proposed version to be validated.</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7" w:name="Section_17"/>
      <w:pPr>
        <w:pStyle w:val="Heading1"/>
        <w:keepNext/>
      </w:pPr>
      <w:r>
        <w:t>17  Evidence, annexes and references</w:t>
      </w:r>
      <w:bookmarkEnd w:id="117"/>
    </w:p>
    <w:p>
      <w:pPr>
        <w:keepNext/>
        <w:spacing w:after="180" w:line="259" w:lineRule="auto"/>
      </w:pPr>
      <w:r>
        <w:rPr>
          <w:rFonts w:ascii="Arial" w:hAnsi="Arial"/>
          <w:b w:val="0"/>
          <w:i w:val="0"/>
          <w:color w:val="62716E"/>
          <w:sz w:val="15"/>
        </w:rPr>
        <w:t>[1] Basis: F-01; S-17; P-04; A-05</w:t>
      </w:r>
    </w:p>
    <w:p>
      <w:pPr>
        <w:keepNext w:val="0"/>
        <w:spacing w:after="160" w:line="259" w:lineRule="auto"/>
        <w:shd w:fill="F1F5F2"/>
      </w:pPr>
      <w:r>
        <w:rPr>
          <w:rFonts w:ascii="Arial" w:hAnsi="Arial"/>
          <w:b w:val="0"/>
          <w:i w:val="0"/>
          <w:color w:val="215F52"/>
          <w:sz w:val="18"/>
        </w:rPr>
        <w:t>Give every annex an identifier, version, date, custodian and exact location. Cite the source of every material input. Keep restricted supporting evidence separately accessible to authorized reviewers; do not hide the methodological basis of a claim.</w:t>
      </w:r>
    </w:p>
    <w:p>
      <w:pPr>
        <w:pStyle w:val="Heading2"/>
        <w:keepNext/>
      </w:pPr>
      <w:r>
        <w:t>Annex register</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2340"/>
        <w:gridCol w:w="4484"/>
        <w:gridCol w:w="2925"/>
      </w:tblGrid>
      <w:tr>
        <w:trPr>
          <w:trHeight w:val="446" w:hRule="atLeast"/>
          <w:tblHeader/>
        </w:trPr>
        <w:tc>
          <w:tcPr>
            <w:tcW w:type="dxa" w:w="234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Annex / evidence ID</w:t>
            </w:r>
          </w:p>
        </w:tc>
        <w:tc>
          <w:tcPr>
            <w:tcW w:type="dxa" w:w="448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Contents and linked section</w:t>
            </w:r>
          </w:p>
        </w:tc>
        <w:tc>
          <w:tcPr>
            <w:tcW w:type="dxa" w:w="292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Custodian / access / version</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234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48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92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Project-specific references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1755"/>
        <w:gridCol w:w="4874"/>
        <w:gridCol w:w="3120"/>
      </w:tblGrid>
      <w:tr>
        <w:trPr>
          <w:trHeight w:val="446" w:hRule="atLeast"/>
          <w:tblHeader/>
        </w:trPr>
        <w:tc>
          <w:tcPr>
            <w:tcW w:type="dxa" w:w="175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Reference ID</w:t>
            </w:r>
          </w:p>
        </w:tc>
        <w:tc>
          <w:tcPr>
            <w:tcW w:type="dxa" w:w="4874"/>
            <w:vAlign w:val="center"/>
            <w:tcMar>
              <w:top w:w="70" w:type="dxa"/>
              <w:start w:w="85" w:type="dxa"/>
              <w:bottom w:w="70" w:type="dxa"/>
              <w:end w:w="85" w:type="dxa"/>
            </w:tcMar>
            <w:shd w:fill="215F52"/>
          </w:tcPr>
          <w:p>
            <w:pPr>
              <w:spacing w:after="0" w:line="250" w:lineRule="auto"/>
            </w:pPr>
            <w:r>
              <w:rPr>
                <w:rFonts w:ascii="Arial" w:hAnsi="Arial"/>
                <w:b/>
                <w:i w:val="0"/>
                <w:color w:val="FFFFFF"/>
                <w:sz w:val="16"/>
              </w:rPr>
              <w:t>Full citation / exact version</w:t>
            </w:r>
          </w:p>
        </w:tc>
        <w:tc>
          <w:tcPr>
            <w:tcW w:type="dxa" w:w="3120"/>
            <w:vAlign w:val="center"/>
            <w:tcMar>
              <w:top w:w="70" w:type="dxa"/>
              <w:start w:w="85" w:type="dxa"/>
              <w:bottom w:w="70" w:type="dxa"/>
              <w:end w:w="85" w:type="dxa"/>
            </w:tcMar>
            <w:shd w:fill="215F52"/>
          </w:tcPr>
          <w:p>
            <w:pPr>
              <w:spacing w:after="0" w:line="250" w:lineRule="auto"/>
            </w:pPr>
            <w:r>
              <w:rPr>
                <w:rFonts w:ascii="Arial" w:hAnsi="Arial"/>
                <w:b/>
                <w:i w:val="0"/>
                <w:color w:val="FFFFFF"/>
                <w:sz w:val="16"/>
              </w:rPr>
              <w:t>Use in this dossier</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175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4874"/>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120"/>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bl>
    <w:p>
      <w:pPr>
        <w:keepNext w:val="0"/>
        <w:spacing w:after="60" w:line="259" w:lineRule="auto"/>
      </w:pPr>
      <w:r>
        <w:rPr>
          <w:rFonts w:ascii="Arial" w:hAnsi="Arial"/>
          <w:b w:val="0"/>
          <w:i w:val="0"/>
          <w:color w:val="243A36"/>
          <w:sz w:val="2"/>
        </w:rPr>
      </w:r>
    </w:p>
    <w:p>
      <w:pPr>
        <w:pStyle w:val="Heading2"/>
        <w:keepNext/>
      </w:pPr>
      <w:r>
        <w:t>Reproducibility and transfer</w:t>
      </w:r>
    </w:p>
    <w:p>
      <w:pPr>
        <w:keepNext/>
        <w:spacing w:after="100" w:line="259" w:lineRule="auto"/>
      </w:pPr>
      <w:r>
        <w:rPr>
          <w:rFonts w:ascii="Arial" w:hAnsi="Arial"/>
          <w:b w:val="0"/>
          <w:i w:val="0"/>
          <w:color w:val="62716E"/>
          <w:sz w:val="18"/>
        </w:rPr>
        <w:t>Identify the approved evidence package, calculation files, access arrangements and responsible custodian. Resolve all broken references before submission.</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r>
        <w:br w:type="page"/>
      </w:r>
    </w:p>
    <w:p>
      <w:bookmarkStart w:id="118" w:name="Section_18"/>
      <w:pPr>
        <w:pStyle w:val="Heading1"/>
        <w:keepNext/>
      </w:pPr>
      <w:r>
        <w:t>18  Submission, review and stage decision</w:t>
      </w:r>
      <w:bookmarkEnd w:id="118"/>
    </w:p>
    <w:p>
      <w:pPr>
        <w:keepNext/>
        <w:spacing w:after="180" w:line="259" w:lineRule="auto"/>
      </w:pPr>
      <w:r>
        <w:rPr>
          <w:rFonts w:ascii="Arial" w:hAnsi="Arial"/>
          <w:b w:val="0"/>
          <w:i w:val="0"/>
          <w:color w:val="62716E"/>
          <w:sz w:val="15"/>
        </w:rPr>
        <w:t>[1] Basis: CYC-01; CYC-05; S-16; S-22; S-23; FRM-03; FRM-06; A-12; A-13</w:t>
      </w:r>
    </w:p>
    <w:p>
      <w:pPr>
        <w:keepNext w:val="0"/>
        <w:spacing w:after="160" w:line="259" w:lineRule="auto"/>
        <w:shd w:fill="F1F5F2"/>
      </w:pPr>
      <w:r>
        <w:rPr>
          <w:rFonts w:ascii="Arial" w:hAnsi="Arial"/>
          <w:b w:val="0"/>
          <w:i w:val="0"/>
          <w:color w:val="215F52"/>
          <w:sz w:val="18"/>
        </w:rPr>
        <w:t>Submission of the PD requests design validation. Validation, program registration, outcome verification and NVEU authorization are separate decisions. No blank field or signature confers any of these statuses.</w:t>
      </w:r>
    </w:p>
    <w:p>
      <w:pPr>
        <w:pStyle w:val="Heading2"/>
        <w:keepNext/>
      </w:pPr>
      <w:r>
        <w:t>Stage-exit review</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4777"/>
        <w:gridCol w:w="2535"/>
        <w:gridCol w:w="2437"/>
      </w:tblGrid>
      <w:tr>
        <w:trPr>
          <w:trHeight w:val="446" w:hRule="atLeast"/>
          <w:tblHeader/>
        </w:trPr>
        <w:tc>
          <w:tcPr>
            <w:tcW w:type="dxa" w:w="477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Criterion</w:t>
            </w:r>
          </w:p>
        </w:tc>
        <w:tc>
          <w:tcPr>
            <w:tcW w:type="dxa" w:w="253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Evidence / section</w:t>
            </w:r>
          </w:p>
        </w:tc>
        <w:tc>
          <w:tcPr>
            <w:tcW w:type="dxa" w:w="2437"/>
            <w:vAlign w:val="center"/>
            <w:tcMar>
              <w:top w:w="70" w:type="dxa"/>
              <w:start w:w="85" w:type="dxa"/>
              <w:bottom w:w="70" w:type="dxa"/>
              <w:end w:w="85" w:type="dxa"/>
            </w:tcMar>
            <w:shd w:fill="215F52"/>
          </w:tcPr>
          <w:p>
            <w:pPr>
              <w:spacing w:after="0" w:line="250" w:lineRule="auto"/>
            </w:pPr>
            <w:r>
              <w:rPr>
                <w:rFonts w:ascii="Arial" w:hAnsi="Arial"/>
                <w:b/>
                <w:i w:val="0"/>
                <w:color w:val="FFFFFF"/>
                <w:sz w:val="16"/>
              </w:rPr>
              <w:t>Review finding</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Complete design consistent with feasibility</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Mandates, rights and safeguards supported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Methods, calculations and profile reproducible</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tcPr>
          <w:p>
            <w:pPr>
              <w:spacing w:after="0" w:line="250" w:lineRule="auto"/>
            </w:pPr>
            <w:r>
              <w:rPr>
                <w:rFonts w:ascii="Arial" w:hAnsi="Arial"/>
                <w:b w:val="0"/>
                <w:i w:val="0"/>
                <w:color w:val="243A36"/>
                <w:sz w:val="16"/>
              </w:rPr>
              <w:t>Additionality and overlap dispositions documented</w:t>
            </w:r>
          </w:p>
        </w:tc>
        <w:tc>
          <w:tcPr>
            <w:tcW w:type="dxa" w:w="253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tcPr>
          <w:p>
            <w:pPr>
              <w:spacing w:after="0" w:line="250" w:lineRule="auto"/>
            </w:pPr>
            <w:r>
              <w:rPr>
                <w:rFonts w:ascii="Arial" w:hAnsi="Arial"/>
                <w:b w:val="0"/>
                <w:i/>
                <w:color w:val="62716E"/>
                <w:sz w:val="16"/>
              </w:rPr>
              <w:t>[Not assessed]</w:t>
            </w:r>
          </w:p>
        </w:tc>
      </w:tr>
      <w:tr>
        <w:trPr>
          <w:trHeight w:val="446" w:hRule="atLeast"/>
        </w:trPr>
        <w:tc>
          <w:tcPr>
            <w:tcW w:type="dxa" w:w="4777"/>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Monitoring, implementation and validation records ready</w:t>
            </w:r>
          </w:p>
        </w:tc>
        <w:tc>
          <w:tcPr>
            <w:tcW w:type="dxa" w:w="253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2437"/>
            <w:vAlign w:val="center"/>
            <w:tcMar>
              <w:top w:w="70" w:type="dxa"/>
              <w:start w:w="85" w:type="dxa"/>
              <w:bottom w:w="70" w:type="dxa"/>
              <w:end w:w="85" w:type="dxa"/>
            </w:tcMar>
            <w:shd w:fill="F6F8F6"/>
          </w:tcPr>
          <w:p>
            <w:pPr>
              <w:spacing w:after="0" w:line="250" w:lineRule="auto"/>
            </w:pPr>
            <w:r>
              <w:rPr>
                <w:rFonts w:ascii="Arial" w:hAnsi="Arial"/>
                <w:b w:val="0"/>
                <w:i/>
                <w:color w:val="62716E"/>
                <w:sz w:val="16"/>
              </w:rPr>
              <w:t>[Not assessed]</w:t>
            </w:r>
          </w:p>
        </w:tc>
      </w:tr>
    </w:tbl>
    <w:p>
      <w:pPr>
        <w:keepNext w:val="0"/>
        <w:spacing w:after="60" w:line="259" w:lineRule="auto"/>
      </w:pPr>
      <w:r>
        <w:rPr>
          <w:rFonts w:ascii="Arial" w:hAnsi="Arial"/>
          <w:b w:val="0"/>
          <w:i w:val="0"/>
          <w:color w:val="243A36"/>
          <w:sz w:val="2"/>
        </w:rPr>
      </w:r>
    </w:p>
    <w:p>
      <w:pPr>
        <w:pStyle w:val="Heading2"/>
        <w:keepNext/>
      </w:pPr>
      <w:r>
        <w:t>Separate records and signatures</w:t>
      </w:r>
    </w:p>
    <w:tbl>
      <w:tblPr>
        <w:tblW w:type="auto" w:w="0"/>
        <w:jc w:val="center"/>
        <w:tblLayout w:type="fixed"/>
        <w:tblLook w:firstColumn="1" w:firstRow="1" w:lastColumn="0" w:lastRow="0" w:noHBand="0" w:noVBand="1" w:val="04A0"/>
        <w:tblBorders>
          <w:top w:val="single" w:sz="4" w:color="C9D5CE"/>
          <w:left w:val="single" w:sz="4" w:color="C9D5CE"/>
          <w:bottom w:val="single" w:sz="4" w:color="C9D5CE"/>
          <w:right w:val="single" w:sz="4" w:color="C9D5CE"/>
          <w:insideH w:val="single" w:sz="4" w:color="C9D5CE"/>
          <w:insideV w:val="single" w:sz="4" w:color="C9D5CE"/>
        </w:tblBorders>
      </w:tblPr>
      <w:tblGrid>
        <w:gridCol w:w="3022"/>
        <w:gridCol w:w="3315"/>
        <w:gridCol w:w="3412"/>
      </w:tblGrid>
      <w:tr>
        <w:trPr>
          <w:trHeight w:val="446" w:hRule="atLeast"/>
          <w:tblHeader/>
        </w:trPr>
        <w:tc>
          <w:tcPr>
            <w:tcW w:type="dxa" w:w="302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Action / accountable role</w:t>
            </w:r>
          </w:p>
        </w:tc>
        <w:tc>
          <w:tcPr>
            <w:tcW w:type="dxa" w:w="3315"/>
            <w:vAlign w:val="center"/>
            <w:tcMar>
              <w:top w:w="70" w:type="dxa"/>
              <w:start w:w="85" w:type="dxa"/>
              <w:bottom w:w="70" w:type="dxa"/>
              <w:end w:w="85" w:type="dxa"/>
            </w:tcMar>
            <w:shd w:fill="215F52"/>
          </w:tcPr>
          <w:p>
            <w:pPr>
              <w:spacing w:after="0" w:line="250" w:lineRule="auto"/>
            </w:pPr>
            <w:r>
              <w:rPr>
                <w:rFonts w:ascii="Arial" w:hAnsi="Arial"/>
                <w:b/>
                <w:i w:val="0"/>
                <w:color w:val="FFFFFF"/>
                <w:sz w:val="16"/>
              </w:rPr>
              <w:t>Name, date and signature</w:t>
            </w:r>
          </w:p>
        </w:tc>
        <w:tc>
          <w:tcPr>
            <w:tcW w:type="dxa" w:w="3412"/>
            <w:vAlign w:val="center"/>
            <w:tcMar>
              <w:top w:w="70" w:type="dxa"/>
              <w:start w:w="85" w:type="dxa"/>
              <w:bottom w:w="70" w:type="dxa"/>
              <w:end w:w="85" w:type="dxa"/>
            </w:tcMar>
            <w:shd w:fill="215F52"/>
          </w:tcPr>
          <w:p>
            <w:pPr>
              <w:spacing w:after="0" w:line="250" w:lineRule="auto"/>
            </w:pPr>
            <w:r>
              <w:rPr>
                <w:rFonts w:ascii="Arial" w:hAnsi="Arial"/>
                <w:b/>
                <w:i w:val="0"/>
                <w:color w:val="FFFFFF"/>
                <w:sz w:val="16"/>
              </w:rPr>
              <w:t>Decision / scope / record</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Submission / proponent</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Technical preparation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shd w:fill="F6F8F6"/>
          </w:tcPr>
          <w:p>
            <w:pPr>
              <w:spacing w:after="0" w:line="250" w:lineRule="auto"/>
            </w:pPr>
            <w:r>
              <w:rPr>
                <w:rFonts w:ascii="Arial" w:hAnsi="Arial"/>
                <w:b w:val="0"/>
                <w:i w:val="0"/>
                <w:color w:val="243A36"/>
                <w:sz w:val="16"/>
              </w:rPr>
              <w:t>Unconflicted review</w:t>
            </w:r>
          </w:p>
        </w:tc>
        <w:tc>
          <w:tcPr>
            <w:tcW w:type="dxa" w:w="3315"/>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shd w:fill="F6F8F6"/>
          </w:tcPr>
          <w:p>
            <w:pPr>
              <w:spacing w:after="0" w:line="250" w:lineRule="auto"/>
            </w:pPr>
            <w:r>
              <w:rPr>
                <w:rFonts w:ascii="Arial" w:hAnsi="Arial"/>
                <w:b w:val="0"/>
                <w:i/>
                <w:color w:val="62716E"/>
                <w:sz w:val="16"/>
              </w:rPr>
              <w:t>[Complete]</w:t>
            </w:r>
          </w:p>
        </w:tc>
      </w:tr>
      <w:tr>
        <w:trPr>
          <w:trHeight w:val="446" w:hRule="atLeast"/>
        </w:trPr>
        <w:tc>
          <w:tcPr>
            <w:tcW w:type="dxa" w:w="3022"/>
            <w:vAlign w:val="center"/>
            <w:tcMar>
              <w:top w:w="70" w:type="dxa"/>
              <w:start w:w="85" w:type="dxa"/>
              <w:bottom w:w="70" w:type="dxa"/>
              <w:end w:w="85" w:type="dxa"/>
            </w:tcMar>
          </w:tcPr>
          <w:p>
            <w:pPr>
              <w:spacing w:after="0" w:line="250" w:lineRule="auto"/>
            </w:pPr>
            <w:r>
              <w:rPr>
                <w:rFonts w:ascii="Arial" w:hAnsi="Arial"/>
                <w:b w:val="0"/>
                <w:i w:val="0"/>
                <w:color w:val="243A36"/>
                <w:sz w:val="16"/>
              </w:rPr>
              <w:t>Authorized stage decision</w:t>
            </w:r>
          </w:p>
        </w:tc>
        <w:tc>
          <w:tcPr>
            <w:tcW w:type="dxa" w:w="3315"/>
            <w:vAlign w:val="center"/>
            <w:tcMar>
              <w:top w:w="70" w:type="dxa"/>
              <w:start w:w="85" w:type="dxa"/>
              <w:bottom w:w="70" w:type="dxa"/>
              <w:end w:w="85" w:type="dxa"/>
            </w:tcMar>
          </w:tcPr>
          <w:p>
            <w:pPr>
              <w:spacing w:after="0" w:line="250" w:lineRule="auto"/>
            </w:pPr>
            <w:r>
              <w:rPr>
                <w:rFonts w:ascii="Arial" w:hAnsi="Arial"/>
                <w:b w:val="0"/>
                <w:i/>
                <w:color w:val="62716E"/>
                <w:sz w:val="16"/>
              </w:rPr>
              <w:t>[Complete]</w:t>
            </w:r>
          </w:p>
        </w:tc>
        <w:tc>
          <w:tcPr>
            <w:tcW w:type="dxa" w:w="3412"/>
            <w:vAlign w:val="center"/>
            <w:tcMar>
              <w:top w:w="70" w:type="dxa"/>
              <w:start w:w="85" w:type="dxa"/>
              <w:bottom w:w="70" w:type="dxa"/>
              <w:end w:w="85" w:type="dxa"/>
            </w:tcMar>
          </w:tcPr>
          <w:p>
            <w:pPr>
              <w:spacing w:after="0" w:line="250" w:lineRule="auto"/>
            </w:pPr>
            <w:r>
              <w:rPr>
                <w:rFonts w:ascii="Arial" w:hAnsi="Arial"/>
                <w:b w:val="0"/>
                <w:i/>
                <w:color w:val="62716E"/>
                <w:sz w:val="16"/>
              </w:rPr>
              <w:t>[Advance / correct / defer / decline]</w:t>
            </w:r>
          </w:p>
        </w:tc>
      </w:tr>
    </w:tbl>
    <w:p>
      <w:pPr>
        <w:keepNext w:val="0"/>
        <w:spacing w:after="60" w:line="259" w:lineRule="auto"/>
      </w:pPr>
      <w:r>
        <w:rPr>
          <w:rFonts w:ascii="Arial" w:hAnsi="Arial"/>
          <w:b w:val="0"/>
          <w:i w:val="0"/>
          <w:color w:val="243A36"/>
          <w:sz w:val="2"/>
        </w:rPr>
      </w:r>
    </w:p>
    <w:p>
      <w:pPr>
        <w:pStyle w:val="Heading2"/>
        <w:keepNext/>
      </w:pPr>
      <w:r>
        <w:t>Conditions, unresolved findings and next-stage handover</w:t>
      </w:r>
    </w:p>
    <w:p>
      <w:pPr>
        <w:keepNext/>
        <w:spacing w:after="100" w:line="259" w:lineRule="auto"/>
      </w:pPr>
      <w:r>
        <w:rPr>
          <w:rFonts w:ascii="Arial" w:hAnsi="Arial"/>
          <w:b w:val="0"/>
          <w:i w:val="0"/>
          <w:color w:val="62716E"/>
          <w:sz w:val="18"/>
        </w:rPr>
        <w:t>State the permitted scope, blocked activities or claims, corrective-action owner, evidence required, deadline under the approved profile and receiving party. A blank signature is not approval.</w:t>
      </w:r>
    </w:p>
    <w:tbl>
      <w:tblPr>
        <w:tblW w:type="auto" w:w="0"/>
        <w:tblLook w:firstColumn="1" w:firstRow="1" w:lastColumn="0" w:lastRow="0" w:noHBand="0" w:noVBand="1" w:val="04A0"/>
      </w:tblPr>
      <w:tblGrid>
        <w:gridCol w:w="9746"/>
      </w:tblGrid>
      <w:tr>
        <w:trPr>
          <w:trHeight w:val="475" w:hRule="atLeast"/>
        </w:trPr>
        <w:tc>
          <w:tcPr>
            <w:tcW w:type="dxa" w:w="9746"/>
            <w:shd w:fill="F5F7F5"/>
            <w:tcMar>
              <w:top w:w="100" w:type="dxa"/>
              <w:start w:w="100" w:type="dxa"/>
              <w:bottom w:w="100" w:type="dxa"/>
              <w:end w:w="100" w:type="dxa"/>
            </w:tcMar>
          </w:tcPr>
          <w:p>
            <w:pPr>
              <w:spacing w:after="0"/>
            </w:pPr>
            <w:r>
              <w:rPr>
                <w:rFonts w:ascii="Arial" w:hAnsi="Arial"/>
                <w:b w:val="0"/>
                <w:i/>
                <w:color w:val="62716E"/>
                <w:sz w:val="18"/>
              </w:rPr>
              <w:t>[Enter response and evidence references.]</w:t>
            </w:r>
          </w:p>
        </w:tc>
      </w:tr>
    </w:tbl>
    <w:p>
      <w:pPr>
        <w:keepNext w:val="0"/>
        <w:spacing w:after="60" w:line="259" w:lineRule="auto"/>
      </w:pPr>
      <w:r>
        <w:rPr>
          <w:rFonts w:ascii="Arial" w:hAnsi="Arial"/>
          <w:b w:val="0"/>
          <w:i w:val="0"/>
          <w:color w:val="243A36"/>
          <w:sz w:val="2"/>
        </w:rPr>
      </w:r>
    </w:p>
    <w:p>
      <w:bookmarkStart w:id="3999" w:name="account_annex"/>
      <w:pPr>
        <w:pStyle w:val="Heading1"/>
        <w:keepNext/>
        <w:pageBreakBefore/>
      </w:pPr>
      <w:r>
        <w:t>A  Ex-ante, ex-post and migration account attachments</w:t>
      </w:r>
      <w:bookmarkEnd w:id="3999"/>
    </w:p>
    <w:p>
      <w:pPr>
        <w:spacing w:after="120"/>
      </w:pPr>
      <w:r>
        <w:rPr>
          <w:rFonts w:ascii="Lato" w:hAnsi="Lato"/>
          <w:b w:val="0"/>
          <w:color w:val="62716E"/>
          <w:sz w:val="16"/>
        </w:rPr>
        <w:t>[1] Basis: CYC-01; CYC-05; F-01; F-03; P-13; MIG-05; FRM-02; FRM-04; FRM-05</w:t>
      </w:r>
    </w:p>
    <w:p>
      <w:pPr>
        <w:pStyle w:val="Heading2"/>
        <w:keepNext/>
      </w:pPr>
      <w:r>
        <w:t>Stage-specific use</w:t>
      </w:r>
    </w:p>
    <w:p>
      <w:pPr>
        <w:spacing w:after="80"/>
      </w:pPr>
      <w:r>
        <w:rPr>
          <w:rFonts w:ascii="Lato" w:hAnsi="Lato"/>
          <w:b w:val="0"/>
          <w:color w:val="62716E"/>
          <w:sz w:val="18"/>
        </w:rPr>
        <w:t>Freeze the design-stage ex-ante account as a PD annex. Define the ex-post report structure for monitoring and attach historical outcomes or a migration reconciliation where applicable. Updates preserve the original forecast and earlier decisions.</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0-EN"/>
                <w:tag w:val="account_annex-0-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Account attachment register</w:t>
      </w:r>
    </w:p>
    <w:p>
      <w:pPr>
        <w:keepNext/>
        <w:spacing w:before="40" w:after="60"/>
      </w:pPr>
      <w:r>
        <w:rPr>
          <w:rFonts w:ascii="Lato" w:hAnsi="Lato"/>
          <w:color w:val="315B50"/>
          <w:sz w:val="18"/>
        </w:rPr>
        <w:t>PD-T32 / Calculation notation</w:t>
      </w:r>
    </w:p>
    <w:p>
      <w:pPr>
        <w:keepNext/>
        <w:spacing w:before="40" w:after="60"/>
      </w:pPr>
      <m:oMath>
        <m:sSub>
          <m:e>
            <m:r>
              <w:rPr>
                <w:sz w:val="18"/>
              </w:rPr>
              <m:t>x</m:t>
            </m:r>
          </m:e>
          <m:sub>
            <m:r>
              <w:rPr>
                <w:sz w:val="18"/>
              </w:rPr>
              <m:rPr>
                <m:sty m:val="p"/>
              </m:rPr>
              <m:t>ℓ</m:t>
            </m:r>
          </m:sub>
        </m:sSub>
        <m:r>
          <w:rPr>
            <w:sz w:val="18"/>
          </w:rPr>
          <m:t> </m:t>
        </m:r>
        <m:d>
          <m:dPr>
            <m:begChr m:val="["/>
            <m:endChr m:val="]"/>
            <m:sepChr m:val=""/>
            <m:grow/>
          </m:dPr>
          <m:e>
            <m:sSub>
              <m:e>
                <m:r>
                  <w:rPr>
                    <w:sz w:val="18"/>
                  </w:rPr>
                  <m:t>u</m:t>
                </m:r>
              </m:e>
              <m:sub>
                <m:r>
                  <w:rPr>
                    <w:sz w:val="18"/>
                  </w:rPr>
                  <m:rPr>
                    <m:sty m:val="p"/>
                  </m:rPr>
                  <m:t>ℓ</m:t>
                </m:r>
              </m:sub>
            </m:sSub>
          </m:e>
        </m:d>
      </m:oMath>
    </w:p>
    <w:p>
      <w:pPr>
        <w:keepNext/>
        <w:spacing w:before="40" w:after="60"/>
      </w:pPr>
      <w:r>
        <w:rPr>
          <w:rFonts w:ascii="Lato" w:hAnsi="Lato"/>
          <w:color w:val="315B50"/>
          <w:sz w:val="16"/>
        </w:rPr>
        <w:t>x_l is the identified observation, input, or output; u_l is its declared unit. Record the exact equation and source file, worksheet, cell/range, period, and status. This notation does not prescribe an estimator.</w:t>
      </w:r>
    </w:p>
    <w:p>
      <w:pPr>
        <w:keepNext/>
        <w:spacing w:before="40" w:after="60"/>
      </w:pPr>
      <w:r>
        <w:rPr>
          <w:rFonts w:ascii="Lato" w:hAnsi="Lato"/>
          <w:color w:val="315B50"/>
          <w:sz w:val="14"/>
        </w:rPr>
        <w:t>Basis: F-01; T-01 | Workbook: Evidence!A:J; Components!F:L</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r>
              <w:rPr>
                <w:rFonts w:ascii="Lato" w:hAnsi="Lato"/>
                <w:b/>
                <w:color w:val="173E34"/>
                <w:sz w:val="17"/>
              </w:rPr>
              <w:t>Product / applicable scope</w:t>
            </w:r>
          </w:p>
          <w:p>
            <w:pPr>
              <w:spacing w:before="40" w:after="40"/>
            </w:pPr>
            <m:oMath>
              <m:sSub>
                <m:e>
                  <m:r>
                    <w:rPr>
                      <w:sz w:val="16"/>
                      <w:color w:val="173E34"/>
                    </w:rPr>
                    <m:t>x</m:t>
                  </m:r>
                </m:e>
                <m:sub>
                  <m:r>
                    <w:rPr>
                      <w:sz w:val="16"/>
                      <w:color w:val="173E34"/>
                    </w:rPr>
                    <m:rPr>
                      <m:sty m:val="p"/>
                    </m:rPr>
                    <m:t>ℓ</m:t>
                  </m:r>
                </m:sub>
              </m:sSub>
            </m:oMath>
          </w:p>
        </w:tc>
        <w:tc>
          <w:tcPr>
            <w:tcW w:type="dxa" w:w="3250"/>
            <w:tcMar>
              <w:top w:w="90" w:type="dxa"/>
              <w:bottom w:w="90" w:type="dxa"/>
              <w:left w:w="100" w:type="dxa"/>
              <w:right w:w="100" w:type="dxa"/>
            </w:tcMar>
            <w:vAlign w:val="center"/>
            <w:shd w:fill="E6F0EB"/>
          </w:tcPr>
          <w:p>
            <w:r>
              <w:rPr>
                <w:rFonts w:ascii="Lato" w:hAnsi="Lato"/>
                <w:b/>
                <w:color w:val="173E34"/>
                <w:sz w:val="17"/>
              </w:rPr>
              <w:t>Version, workbook and evidence location</w:t>
            </w:r>
          </w:p>
          <w:p>
            <w:pPr>
              <w:spacing w:before="40" w:after="40"/>
            </w:pPr>
            <m:oMath>
              <m:sSub>
                <m:e>
                  <m:r>
                    <w:rPr>
                      <w:sz w:val="16"/>
                      <w:color w:val="173E34"/>
                    </w:rPr>
                    <m:t>u</m:t>
                  </m:r>
                </m:e>
                <m:sub>
                  <m:r>
                    <w:rPr>
                      <w:sz w:val="16"/>
                      <w:color w:val="173E34"/>
                    </w:rPr>
                    <m:rPr>
                      <m:sty m:val="p"/>
                    </m:rPr>
                    <m:t>ℓ</m:t>
                  </m:r>
                </m:sub>
              </m:sSub>
              <m:r>
                <w:rPr>
                  <w:sz w:val="16"/>
                  <w:color w:val="173E34"/>
                </w:rPr>
                <m:rPr>
                  <m:sty m:val="p"/>
                </m:rPr>
                <m:t>,</m:t>
              </m:r>
              <m:r>
                <w:rPr>
                  <w:sz w:val="16"/>
                  <w:color w:val="173E34"/>
                </w:rPr>
                <m:t> </m:t>
              </m:r>
              <m:r>
                <w:rPr>
                  <w:sz w:val="16"/>
                  <w:color w:val="173E34"/>
                </w:rPr>
                <m:t>t</m:t>
              </m:r>
            </m:oMath>
          </w:p>
        </w:tc>
        <w:tc>
          <w:tcPr>
            <w:tcW w:type="dxa" w:w="3250"/>
            <w:tcMar>
              <w:top w:w="90" w:type="dxa"/>
              <w:bottom w:w="90" w:type="dxa"/>
              <w:left w:w="100" w:type="dxa"/>
              <w:right w:w="100" w:type="dxa"/>
            </w:tcMar>
            <w:vAlign w:val="center"/>
            <w:shd w:fill="E6F0EB"/>
          </w:tcPr>
          <w:p>
            <w:r>
              <w:rPr>
                <w:rFonts w:ascii="Lato" w:hAnsi="Lato"/>
                <w:b/>
                <w:color w:val="173E34"/>
                <w:sz w:val="17"/>
              </w:rPr>
              <w:t>Status / reviewer / unresolved restriction</w:t>
            </w:r>
          </w:p>
          <w:p>
            <w:pPr>
              <w:spacing w:before="40" w:after="40"/>
            </w:pPr>
            <m:oMath>
              <m:r>
                <w:rPr>
                  <w:sz w:val="16"/>
                  <w:color w:val="173E34"/>
                </w:rPr>
                <m:rPr>
                  <m:nor/>
                  <m:sty m:val="p"/>
                </m:rPr>
                <m:t>source</m:t>
              </m:r>
              <m:d>
                <m:dPr>
                  <m:begChr m:val="("/>
                  <m:endChr m:val=")"/>
                  <m:sepChr m:val=""/>
                  <m:grow/>
                </m:dPr>
                <m:e>
                  <m:sSub>
                    <m:e>
                      <m:r>
                        <w:rPr>
                          <w:sz w:val="16"/>
                          <w:color w:val="173E34"/>
                        </w:rPr>
                        <m:t>x</m:t>
                      </m:r>
                    </m:e>
                    <m:sub>
                      <m:r>
                        <w:rPr>
                          <w:sz w:val="16"/>
                          <w:color w:val="173E34"/>
                        </w:rPr>
                        <m:rPr>
                          <m:sty m:val="p"/>
                        </m:rPr>
                        <m:t>ℓ</m:t>
                      </m:r>
                    </m:sub>
                  </m:sSub>
                </m:e>
              </m:d>
            </m:oMath>
          </w:p>
        </w:tc>
      </w:tr>
      <w:tr>
        <w:trPr>
          <w:trHeight w:val="510"/>
        </w:trPr>
        <w:tc>
          <w:tcPr>
            <w:tcW w:type="dxa" w:w="3250"/>
            <w:tcMar>
              <w:top w:w="90" w:type="dxa"/>
              <w:bottom w:w="90" w:type="dxa"/>
              <w:left w:w="100" w:type="dxa"/>
              <w:right w:w="100" w:type="dxa"/>
            </w:tcMar>
            <w:shd w:fill="F1F5F2"/>
          </w:tcPr>
          <w:p>
            <w:pPr>
              <w:spacing w:after="20"/>
            </w:pPr>
            <w:sdt>
              <w:sdtPr>
                <w:alias w:val="account_annex-1-EN-1-1"/>
                <w:tag w:val="account_annex-1-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2"/>
                <w:tag w:val="account_annex-1-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1-3"/>
                <w:tag w:val="account_annex-1-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spacing w:after="20"/>
            </w:pPr>
            <w:sdt>
              <w:sdtPr>
                <w:alias w:val="account_annex-1-EN-2-1"/>
                <w:tag w:val="account_annex-1-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2"/>
                <w:tag w:val="account_annex-1-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spacing w:after="20"/>
            </w:pPr>
            <w:sdt>
              <w:sdtPr>
                <w:alias w:val="account_annex-1-EN-2-3"/>
                <w:tag w:val="account_annex-1-EN-2-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1F5F2"/>
          </w:tcPr>
          <w:p>
            <w:pPr>
              <w:spacing w:after="20"/>
            </w:pPr>
            <w:sdt>
              <w:sdtPr>
                <w:alias w:val="account_annex-1-EN-3-1"/>
                <w:tag w:val="account_annex-1-EN-3-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2"/>
                <w:tag w:val="account_annex-1-EN-3-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spacing w:after="20"/>
            </w:pPr>
            <w:sdt>
              <w:sdtPr>
                <w:alias w:val="account_annex-1-EN-3-3"/>
                <w:tag w:val="account_annex-1-EN-3-3"/>
                <w:text/>
              </w:sdtPr>
              <w:sdtContent>
                <w:r>
                  <w:rPr>
                    <w:rFonts w:ascii="Lato" w:hAnsi="Lato"/>
                    <w:sz w:val="18"/>
                    <w:color w:val="62716E"/>
                  </w:rPr>
                  <w:t>[Complete]</w:t>
                </w:r>
              </w:sdtContent>
            </w:sdt>
          </w:p>
        </w:tc>
      </w:tr>
    </w:tbl>
    <w:p>
      <w:pPr>
        <w:spacing w:after="0"/>
      </w:pPr>
    </w:p>
    <w:p>
      <w:pPr>
        <w:pStyle w:val="Heading2"/>
        <w:keepNext/>
      </w:pPr>
      <w:r>
        <w:t>Common account contract</w:t>
      </w:r>
    </w:p>
    <w:p>
      <w:pPr>
        <w:spacing w:after="80"/>
      </w:pPr>
      <w:r>
        <w:rPr>
          <w:rFonts w:ascii="Lato" w:hAnsi="Lato"/>
          <w:b w:val="0"/>
          <w:color w:val="62716E"/>
          <w:sz w:val="18"/>
        </w:rPr>
        <w:t>Use the bilingual Ex-Ante Estimate, Ex-Post Outcome Report and Migration Reconciliation formats with the calculation workbook as applicable. Identify periods, bands, units, missing data and exact source cells. Keep forecasts, monitored inputs, the counterfactual, verified results and authorized NVEUs distinct. No template rate or blank field establishes policy, zero emissions or issuance.</w:t>
      </w:r>
    </w:p>
    <w:tbl>
      <w:tblPr>
        <w:tblW w:type="auto" w:w="0"/>
        <w:tblLayout w:type="fixed"/>
        <w:tblLook w:firstColumn="1" w:firstRow="1" w:lastColumn="0" w:lastRow="0" w:noHBand="0" w:noVBand="1" w:val="04A0"/>
      </w:tblPr>
      <w:tblGrid>
        <w:gridCol w:w="9751"/>
      </w:tblGrid>
      <w:tr>
        <w:trPr>
          <w:trHeight w:val="964"/>
        </w:trPr>
        <w:tc>
          <w:tcPr>
            <w:tcW w:type="dxa" w:w="9746"/>
            <w:shd w:fill="F1F5F2"/>
            <w:tcMar>
              <w:top w:w="90" w:type="dxa"/>
              <w:bottom w:w="90" w:type="dxa"/>
              <w:left w:w="100" w:type="dxa"/>
              <w:right w:w="100" w:type="dxa"/>
            </w:tcMar>
          </w:tcPr>
          <w:p>
            <w:pPr>
              <w:spacing w:after="20"/>
            </w:pPr>
            <w:sdt>
              <w:sdtPr>
                <w:alias w:val="account_annex-2-EN"/>
                <w:tag w:val="account_annex-2-EN"/>
                <w:text/>
              </w:sdtPr>
              <w:sdtContent>
                <w:r>
                  <w:rPr>
                    <w:rFonts w:ascii="Lato" w:hAnsi="Lato"/>
                    <w:sz w:val="18"/>
                    <w:color w:val="62716E"/>
                  </w:rPr>
                  <w:t>[Enter response and exact evidence references.]</w:t>
                </w:r>
              </w:sdtContent>
            </w:sdt>
          </w:p>
        </w:tc>
      </w:tr>
    </w:tbl>
    <w:p>
      <w:pPr>
        <w:spacing w:after="20" w:before="0" w:line="96" w:lineRule="auto"/>
      </w:pPr>
    </w:p>
    <w:p>
      <w:pPr>
        <w:pStyle w:val="Heading2"/>
        <w:keepNext/>
      </w:pPr>
      <w:r>
        <w:t>Required reconciliation</w:t>
      </w:r>
    </w:p>
    <w:p>
      <w:pPr>
        <w:keepNext/>
        <w:spacing w:before="40" w:after="60"/>
      </w:pPr>
      <w:r>
        <w:rPr>
          <w:rFonts w:ascii="Lato" w:hAnsi="Lato"/>
          <w:color w:val="315B50"/>
          <w:sz w:val="18"/>
        </w:rPr>
        <w:t>PD-T33 / Calculation notation</w:t>
      </w:r>
    </w:p>
    <w:p>
      <w:pPr>
        <w:keepNext/>
        <w:spacing w:before="40" w:after="60"/>
      </w:pPr>
      <m:oMath>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 </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r>
          <w:rPr>
            <w:sz w:val="18"/>
          </w:rPr>
          <m:rPr>
            <m:sty m:val="p"/>
          </m:rPr>
          <m:t>=</m:t>
        </m:r>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h</m:t>
            </m:r>
            <m:r>
              <w:rPr>
                <w:sz w:val="18"/>
              </w:rPr>
              <m:rPr>
                <m:sty m:val="p"/>
              </m:rPr>
              <m:t>a</m:t>
            </m:r>
            <m:r>
              <w:rPr>
                <w:sz w:val="18"/>
              </w:rPr>
              <m:rPr>
                <m:sty m:val="p"/>
              </m:rPr>
              <m:t>r</m:t>
            </m:r>
            <m:r>
              <w:rPr>
                <w:sz w:val="18"/>
              </w:rPr>
              <m:rPr>
                <m:sty m:val="p"/>
              </m:rPr>
              <m:t>m</m:t>
            </m:r>
          </m:sup>
        </m:sSup>
      </m:oMath>
    </w:p>
    <w:p>
      <w:pPr>
        <w:keepNext/>
        <w:spacing w:before="40" w:after="60"/>
      </w:pPr>
      <m:oMath>
        <m:sSup>
          <m:e>
            <m:r>
              <w:rPr>
                <w:sz w:val="18"/>
              </w:rPr>
              <m:t>q</m:t>
            </m:r>
          </m:e>
          <m:sup>
            <m:r>
              <w:rPr>
                <w:sz w:val="18"/>
              </w:rPr>
              <m:rPr>
                <m:sty m:val="p"/>
              </m:rPr>
              <m:t>N</m:t>
            </m:r>
            <m:r>
              <w:rPr>
                <w:sz w:val="18"/>
              </w:rPr>
              <m:rPr>
                <m:sty m:val="p"/>
              </m:rPr>
              <m:t>E</m:t>
            </m:r>
            <m:r>
              <w:rPr>
                <w:sz w:val="18"/>
              </w:rPr>
              <m:rPr>
                <m:sty m:val="p"/>
              </m:rPr>
              <m:t>B</m:t>
            </m:r>
          </m:sup>
        </m:sSup>
        <m:r>
          <w:rPr>
            <w:sz w:val="18"/>
          </w:rPr>
          <m:rPr>
            <m:sty m:val="p"/>
          </m:rPr>
          <m:t>−</m:t>
        </m:r>
        <m:sSup>
          <m:e>
            <m:r>
              <w:rPr>
                <w:sz w:val="18"/>
              </w:rPr>
              <m:t>q</m:t>
            </m:r>
          </m:e>
          <m:sup>
            <m:r>
              <w:rPr>
                <w:sz w:val="18"/>
              </w:rPr>
              <m:rPr>
                <m:sty m:val="p"/>
              </m:rPr>
              <m:t>s</m:t>
            </m:r>
            <m:r>
              <w:rPr>
                <w:sz w:val="18"/>
              </w:rPr>
              <m:rPr>
                <m:sty m:val="p"/>
              </m:rPr>
              <m:t>r</m:t>
            </m:r>
            <m:r>
              <w:rPr>
                <w:sz w:val="18"/>
              </w:rPr>
              <m:rPr>
                <m:sty m:val="p"/>
              </m:rPr>
              <m:t>c</m:t>
            </m:r>
          </m:sup>
        </m:sSup>
        <m:r>
          <w:rPr>
            <w:sz w:val="18"/>
          </w:rPr>
          <m:rPr>
            <m:sty m:val="p"/>
          </m:rPr>
          <m:t>=</m:t>
        </m:r>
        <m:r>
          <w:rPr>
            <w:sz w:val="18"/>
          </w:rPr>
          <m:t>Δ</m:t>
        </m:r>
        <m:sSub>
          <m:e>
            <m:r>
              <w:rPr>
                <w:sz w:val="18"/>
              </w:rPr>
              <m:t>q</m:t>
            </m:r>
          </m:e>
          <m:sub>
            <m:r>
              <w:rPr>
                <w:sz w:val="18"/>
              </w:rPr>
              <m:rPr>
                <m:sty m:val="p"/>
              </m:rPr>
              <m:t>b</m:t>
            </m:r>
            <m:r>
              <w:rPr>
                <w:sz w:val="18"/>
              </w:rPr>
              <m:rPr>
                <m:sty m:val="p"/>
              </m:rPr>
              <m:t>a</m:t>
            </m:r>
            <m:r>
              <w:rPr>
                <w:sz w:val="18"/>
              </w:rPr>
              <m:rPr>
                <m:sty m:val="p"/>
              </m:rPr>
              <m:t>s</m:t>
            </m:r>
            <m:r>
              <w:rPr>
                <w:sz w:val="18"/>
              </w:rPr>
              <m:rPr>
                <m:sty m:val="p"/>
              </m:rPr>
              <m:t>i</m:t>
            </m:r>
            <m:r>
              <w:rPr>
                <w:sz w:val="18"/>
              </w:rPr>
              <m:rPr>
                <m:sty m:val="p"/>
              </m:rPr>
              <m:t>s</m:t>
            </m:r>
          </m:sub>
        </m:sSub>
        <m:r>
          <w:rPr>
            <w:sz w:val="18"/>
          </w:rPr>
          <m:rPr>
            <m:sty m:val="p"/>
          </m:rPr>
          <m:t>+</m:t>
        </m:r>
        <m:r>
          <w:rPr>
            <w:sz w:val="18"/>
          </w:rPr>
          <m:t>Δ</m:t>
        </m:r>
        <m:sSub>
          <m:e>
            <m:r>
              <w:rPr>
                <w:sz w:val="18"/>
              </w:rPr>
              <m:t>q</m:t>
            </m:r>
          </m:e>
          <m:sub>
            <m:r>
              <w:rPr>
                <w:sz w:val="18"/>
              </w:rPr>
              <m:rPr>
                <m:sty m:val="p"/>
              </m:rPr>
              <m:t>m</m:t>
            </m:r>
            <m:r>
              <w:rPr>
                <w:sz w:val="18"/>
              </w:rPr>
              <m:rPr>
                <m:sty m:val="p"/>
              </m:rPr>
              <m:t>e</m:t>
            </m:r>
            <m:r>
              <w:rPr>
                <w:sz w:val="18"/>
              </w:rPr>
              <m:rPr>
                <m:sty m:val="p"/>
              </m:rPr>
              <m:t>t</m:t>
            </m:r>
            <m:r>
              <w:rPr>
                <w:sz w:val="18"/>
              </w:rPr>
              <m:rPr>
                <m:sty m:val="p"/>
              </m:rPr>
              <m:t>h</m:t>
            </m:r>
            <m:r>
              <w:rPr>
                <w:sz w:val="18"/>
              </w:rPr>
              <m:rPr>
                <m:sty m:val="p"/>
              </m:rPr>
              <m:t>o</m:t>
            </m:r>
            <m:r>
              <w:rPr>
                <w:sz w:val="18"/>
              </w:rPr>
              <m:rPr>
                <m:sty m:val="p"/>
              </m:rPr>
              <m:t>d</m:t>
            </m:r>
          </m:sub>
        </m:sSub>
      </m:oMath>
    </w:p>
    <w:p>
      <w:pPr>
        <w:keepNext/>
        <w:spacing w:before="40" w:after="60"/>
      </w:pPr>
      <w:r>
        <w:rPr>
          <w:rFonts w:ascii="Lato" w:hAnsi="Lato"/>
          <w:color w:val="315B50"/>
          <w:sz w:val="16"/>
        </w:rPr>
        <w:t>src retains the original result; harm is the original method on the agreed comparable basis; NEB is the receiving-method result on that basis. This telescoping identity explains differences, not eligibility. Do not force the methodological difference to zero.</w:t>
      </w:r>
    </w:p>
    <w:p>
      <w:pPr>
        <w:keepNext/>
        <w:spacing w:before="40" w:after="60"/>
      </w:pPr>
      <w:r>
        <w:rPr>
          <w:rFonts w:ascii="Lato" w:hAnsi="Lato"/>
          <w:color w:val="315B50"/>
          <w:sz w:val="14"/>
        </w:rPr>
        <w:t>Basis: MIG-05; P-13; reconciliation identity | Workbook: Migration!E:K</w:t>
      </w:r>
    </w:p>
    <w:tbl>
      <w:tblPr>
        <w:tblW w:type="auto" w:w="0"/>
        <w:jc w:val="center"/>
        <w:tblLayout w:type="fixed"/>
        <w:tblLook w:firstColumn="1" w:firstRow="1" w:lastColumn="0" w:lastRow="0" w:noHBand="0" w:noVBand="1" w:val="04A0"/>
      </w:tblPr>
      <w:tblGrid>
        <w:gridCol w:w="3250"/>
        <w:gridCol w:w="3250"/>
        <w:gridCol w:w="3250"/>
      </w:tblGrid>
      <w:tr>
        <w:trPr>
          <w:tblHeader/>
        </w:trPr>
        <w:tc>
          <w:tcPr>
            <w:tcW w:type="dxa" w:w="3250"/>
            <w:tcMar>
              <w:top w:w="90" w:type="dxa"/>
              <w:bottom w:w="90" w:type="dxa"/>
              <w:left w:w="100" w:type="dxa"/>
              <w:right w:w="100" w:type="dxa"/>
            </w:tcMar>
            <w:vAlign w:val="center"/>
            <w:shd w:fill="E6F0EB"/>
          </w:tcPr>
          <w:p>
            <w:pPr>
              <w:keepNext/>
            </w:pPr>
            <w:r>
              <w:rPr>
                <w:rFonts w:ascii="Lato" w:hAnsi="Lato"/>
                <w:b/>
                <w:color w:val="173E34"/>
                <w:sz w:val="17"/>
              </w:rPr>
              <w:t>Dimension / original record</w:t>
            </w:r>
          </w:p>
          <w:p>
            <w:pPr>
              <w:keepNext/>
              <w:spacing w:before="40" w:after="40"/>
            </w:pPr>
            <m:oMath>
              <m:r>
                <w:rPr>
                  <w:sz w:val="16"/>
                  <w:color w:val="173E34"/>
                </w:rPr>
                <m:t>t</m:t>
              </m:r>
              <m:r>
                <w:rPr>
                  <w:sz w:val="16"/>
                  <w:color w:val="173E34"/>
                </w:rPr>
                <m:rPr>
                  <m:sty m:val="p"/>
                </m:rPr>
                <m:t>,</m:t>
              </m:r>
              <m:r>
                <w:rPr>
                  <w:sz w:val="16"/>
                  <w:color w:val="173E34"/>
                </w:rPr>
                <m:t> </m:t>
              </m:r>
              <m:r>
                <w:rPr>
                  <w:sz w:val="16"/>
                  <w:color w:val="173E34"/>
                </w:rPr>
                <m:t>u</m:t>
              </m:r>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Receiving or monitored treatment</w:t>
            </w:r>
          </w:p>
          <w:p>
            <w:pPr>
              <w:keepNext/>
              <w:spacing w:before="40" w:after="40"/>
            </w:pPr>
            <m:oMath>
              <m:sSup>
                <m:e>
                  <m:r>
                    <w:rPr>
                      <w:sz w:val="16"/>
                      <w:color w:val="173E34"/>
                    </w:rPr>
                    <m:t>q</m:t>
                  </m:r>
                </m:e>
                <m:sup>
                  <m:r>
                    <w:rPr>
                      <w:sz w:val="16"/>
                      <w:color w:val="173E34"/>
                    </w:rPr>
                    <m:rPr>
                      <m:sty m:val="p"/>
                    </m:rPr>
                    <m:t>s</m:t>
                  </m:r>
                  <m:r>
                    <w:rPr>
                      <w:sz w:val="16"/>
                      <w:color w:val="173E34"/>
                    </w:rPr>
                    <m:rPr>
                      <m:sty m:val="p"/>
                    </m:rPr>
                    <m:t>r</m:t>
                  </m:r>
                  <m:r>
                    <w:rPr>
                      <w:sz w:val="16"/>
                      <w:color w:val="173E34"/>
                    </w:rPr>
                    <m:rPr>
                      <m:sty m:val="p"/>
                    </m:rPr>
                    <m:t>c</m:t>
                  </m:r>
                </m:sup>
              </m:sSup>
              <m:r>
                <w:rPr>
                  <w:sz w:val="16"/>
                  <w:color w:val="173E34"/>
                </w:rPr>
                <m:rPr>
                  <m:sty m:val="p"/>
                </m:rPr>
                <m:t>,</m:t>
              </m:r>
              <m:r>
                <w:rPr>
                  <w:sz w:val="16"/>
                  <w:color w:val="173E34"/>
                </w:rPr>
                <m:t> </m:t>
              </m:r>
              <m:sSup>
                <m:e>
                  <m:r>
                    <w:rPr>
                      <w:sz w:val="16"/>
                      <w:color w:val="173E34"/>
                    </w:rPr>
                    <m:t>q</m:t>
                  </m:r>
                </m:e>
                <m:sup>
                  <m:r>
                    <w:rPr>
                      <w:sz w:val="16"/>
                      <w:color w:val="173E34"/>
                    </w:rPr>
                    <m:rPr>
                      <m:sty m:val="p"/>
                    </m:rPr>
                    <m:t>h</m:t>
                  </m:r>
                  <m:r>
                    <w:rPr>
                      <w:sz w:val="16"/>
                      <w:color w:val="173E34"/>
                    </w:rPr>
                    <m:rPr>
                      <m:sty m:val="p"/>
                    </m:rPr>
                    <m:t>a</m:t>
                  </m:r>
                  <m:r>
                    <w:rPr>
                      <w:sz w:val="16"/>
                      <w:color w:val="173E34"/>
                    </w:rPr>
                    <m:rPr>
                      <m:sty m:val="p"/>
                    </m:rPr>
                    <m:t>r</m:t>
                  </m:r>
                  <m:r>
                    <w:rPr>
                      <w:sz w:val="16"/>
                      <w:color w:val="173E34"/>
                    </w:rPr>
                    <m:rPr>
                      <m:sty m:val="p"/>
                    </m:rPr>
                    <m:t>m</m:t>
                  </m:r>
                </m:sup>
              </m:sSup>
              <m:r>
                <w:rPr>
                  <w:sz w:val="16"/>
                  <w:color w:val="173E34"/>
                </w:rPr>
                <m:rPr>
                  <m:sty m:val="p"/>
                </m:rPr>
                <m:t>,</m:t>
              </m:r>
              <m:r>
                <w:rPr>
                  <w:sz w:val="16"/>
                  <w:color w:val="173E34"/>
                </w:rPr>
                <m:t> </m:t>
              </m:r>
              <m:sSup>
                <m:e>
                  <m:r>
                    <w:rPr>
                      <w:sz w:val="16"/>
                      <w:color w:val="173E34"/>
                    </w:rPr>
                    <m:t>q</m:t>
                  </m:r>
                </m:e>
                <m:sup>
                  <m:r>
                    <w:rPr>
                      <w:sz w:val="16"/>
                      <w:color w:val="173E34"/>
                    </w:rPr>
                    <m:rPr>
                      <m:sty m:val="p"/>
                    </m:rPr>
                    <m:t>N</m:t>
                  </m:r>
                  <m:r>
                    <w:rPr>
                      <w:sz w:val="16"/>
                      <w:color w:val="173E34"/>
                    </w:rPr>
                    <m:rPr>
                      <m:sty m:val="p"/>
                    </m:rPr>
                    <m:t>E</m:t>
                  </m:r>
                  <m:r>
                    <w:rPr>
                      <w:sz w:val="16"/>
                      <w:color w:val="173E34"/>
                    </w:rPr>
                    <m:rPr>
                      <m:sty m:val="p"/>
                    </m:rPr>
                    <m:t>B</m:t>
                  </m:r>
                </m:sup>
              </m:sSup>
            </m:oMath>
          </w:p>
        </w:tc>
        <w:tc>
          <w:tcPr>
            <w:tcW w:type="dxa" w:w="3250"/>
            <w:tcMar>
              <w:top w:w="90" w:type="dxa"/>
              <w:bottom w:w="90" w:type="dxa"/>
              <w:left w:w="100" w:type="dxa"/>
              <w:right w:w="100" w:type="dxa"/>
            </w:tcMar>
            <w:vAlign w:val="center"/>
            <w:shd w:fill="E6F0EB"/>
          </w:tcPr>
          <w:p>
            <w:pPr>
              <w:keepNext/>
            </w:pPr>
            <w:r>
              <w:rPr>
                <w:rFonts w:ascii="Lato" w:hAnsi="Lato"/>
                <w:b/>
                <w:color w:val="173E34"/>
                <w:sz w:val="17"/>
              </w:rPr>
              <w:t>Evidence and decision reference</w:t>
            </w:r>
          </w:p>
          <w:p>
            <w:pPr>
              <w:keepNext/>
              <w:spacing w:before="40" w:after="40"/>
            </w:pPr>
            <m:oMath>
              <m:r>
                <w:rPr>
                  <w:sz w:val="16"/>
                  <w:color w:val="173E34"/>
                </w:rPr>
                <m:t>Δ</m:t>
              </m:r>
              <m:sSub>
                <m:e>
                  <m:r>
                    <w:rPr>
                      <w:sz w:val="16"/>
                      <w:color w:val="173E34"/>
                    </w:rPr>
                    <m:t>q</m:t>
                  </m:r>
                </m:e>
                <m:sub>
                  <m:r>
                    <w:rPr>
                      <w:sz w:val="16"/>
                      <w:color w:val="173E34"/>
                    </w:rPr>
                    <m:rPr>
                      <m:sty m:val="p"/>
                    </m:rPr>
                    <m:t>b</m:t>
                  </m:r>
                  <m:r>
                    <w:rPr>
                      <w:sz w:val="16"/>
                      <w:color w:val="173E34"/>
                    </w:rPr>
                    <m:rPr>
                      <m:sty m:val="p"/>
                    </m:rPr>
                    <m:t>a</m:t>
                  </m:r>
                  <m:r>
                    <w:rPr>
                      <w:sz w:val="16"/>
                      <w:color w:val="173E34"/>
                    </w:rPr>
                    <m:rPr>
                      <m:sty m:val="p"/>
                    </m:rPr>
                    <m:t>s</m:t>
                  </m:r>
                  <m:r>
                    <w:rPr>
                      <w:sz w:val="16"/>
                      <w:color w:val="173E34"/>
                    </w:rPr>
                    <m:rPr>
                      <m:sty m:val="p"/>
                    </m:rPr>
                    <m:t>i</m:t>
                  </m:r>
                  <m:r>
                    <w:rPr>
                      <w:sz w:val="16"/>
                      <w:color w:val="173E34"/>
                    </w:rPr>
                    <m:rPr>
                      <m:sty m:val="p"/>
                    </m:rPr>
                    <m:t>s</m:t>
                  </m:r>
                </m:sub>
              </m:sSub>
              <m:r>
                <w:rPr>
                  <w:sz w:val="16"/>
                  <w:color w:val="173E34"/>
                </w:rPr>
                <m:rPr>
                  <m:sty m:val="p"/>
                </m:rPr>
                <m:t>,</m:t>
              </m:r>
              <m:r>
                <w:rPr>
                  <w:sz w:val="16"/>
                  <w:color w:val="173E34"/>
                </w:rPr>
                <m:t> </m:t>
              </m:r>
              <m:r>
                <w:rPr>
                  <w:sz w:val="16"/>
                  <w:color w:val="173E34"/>
                </w:rPr>
                <m:t>Δ</m:t>
              </m:r>
              <m:sSub>
                <m:e>
                  <m:r>
                    <w:rPr>
                      <w:sz w:val="16"/>
                      <w:color w:val="173E34"/>
                    </w:rPr>
                    <m:t>q</m:t>
                  </m:r>
                </m:e>
                <m:sub>
                  <m:r>
                    <w:rPr>
                      <w:sz w:val="16"/>
                      <w:color w:val="173E34"/>
                    </w:rPr>
                    <m:rPr>
                      <m:sty m:val="p"/>
                    </m:rPr>
                    <m:t>m</m:t>
                  </m:r>
                  <m:r>
                    <w:rPr>
                      <w:sz w:val="16"/>
                      <w:color w:val="173E34"/>
                    </w:rPr>
                    <m:rPr>
                      <m:sty m:val="p"/>
                    </m:rPr>
                    <m:t>e</m:t>
                  </m:r>
                  <m:r>
                    <w:rPr>
                      <w:sz w:val="16"/>
                      <w:color w:val="173E34"/>
                    </w:rPr>
                    <m:rPr>
                      <m:sty m:val="p"/>
                    </m:rPr>
                    <m:t>t</m:t>
                  </m:r>
                  <m:r>
                    <w:rPr>
                      <w:sz w:val="16"/>
                      <w:color w:val="173E34"/>
                    </w:rPr>
                    <m:rPr>
                      <m:sty m:val="p"/>
                    </m:rPr>
                    <m:t>h</m:t>
                  </m:r>
                  <m:r>
                    <w:rPr>
                      <w:sz w:val="16"/>
                      <w:color w:val="173E34"/>
                    </w:rPr>
                    <m:rPr>
                      <m:sty m:val="p"/>
                    </m:rPr>
                    <m:t>o</m:t>
                  </m:r>
                  <m:r>
                    <w:rPr>
                      <w:sz w:val="16"/>
                      <w:color w:val="173E34"/>
                    </w:rPr>
                    <m:rPr>
                      <m:sty m:val="p"/>
                    </m:rPr>
                    <m:t>d</m:t>
                  </m:r>
                </m:sub>
              </m:sSub>
            </m:oMath>
          </w:p>
        </w:tc>
      </w:tr>
      <w:tr>
        <w:trPr>
          <w:trHeight w:val="510"/>
        </w:trPr>
        <w:tc>
          <w:tcPr>
            <w:tcW w:type="dxa" w:w="3250"/>
            <w:tcMar>
              <w:top w:w="90" w:type="dxa"/>
              <w:bottom w:w="90" w:type="dxa"/>
              <w:left w:w="100" w:type="dxa"/>
              <w:right w:w="100" w:type="dxa"/>
            </w:tcMar>
            <w:shd w:fill="F1F5F2"/>
          </w:tcPr>
          <w:p>
            <w:pPr>
              <w:keepNext/>
              <w:spacing w:after="20"/>
            </w:pPr>
            <w:sdt>
              <w:sdtPr>
                <w:alias w:val="account_annex-3-EN-1-1"/>
                <w:tag w:val="account_annex-3-EN-1-1"/>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2"/>
                <w:tag w:val="account_annex-3-EN-1-2"/>
                <w:text/>
              </w:sdtPr>
              <w:sdtContent>
                <w:r>
                  <w:rPr>
                    <w:rFonts w:ascii="Lato" w:hAnsi="Lato"/>
                    <w:sz w:val="18"/>
                    <w:color w:val="62716E"/>
                  </w:rPr>
                  <w:t>[Complete]</w:t>
                </w:r>
              </w:sdtContent>
            </w:sdt>
          </w:p>
        </w:tc>
        <w:tc>
          <w:tcPr>
            <w:tcW w:type="dxa" w:w="3250"/>
            <w:tcMar>
              <w:top w:w="90" w:type="dxa"/>
              <w:bottom w:w="90" w:type="dxa"/>
              <w:left w:w="100" w:type="dxa"/>
              <w:right w:w="100" w:type="dxa"/>
            </w:tcMar>
            <w:shd w:fill="F1F5F2"/>
          </w:tcPr>
          <w:p>
            <w:pPr>
              <w:keepNext/>
              <w:spacing w:after="20"/>
            </w:pPr>
            <w:sdt>
              <w:sdtPr>
                <w:alias w:val="account_annex-3-EN-1-3"/>
                <w:tag w:val="account_annex-3-EN-1-3"/>
                <w:text/>
              </w:sdtPr>
              <w:sdtContent>
                <w:r>
                  <w:rPr>
                    <w:rFonts w:ascii="Lato" w:hAnsi="Lato"/>
                    <w:sz w:val="18"/>
                    <w:color w:val="62716E"/>
                  </w:rPr>
                  <w:t>[Complete]</w:t>
                </w:r>
              </w:sdtContent>
            </w:sdt>
          </w:p>
        </w:tc>
      </w:tr>
      <w:tr>
        <w:trPr>
          <w:trHeight w:val="510"/>
        </w:trPr>
        <w:tc>
          <w:tcPr>
            <w:tcW w:type="dxa" w:w="3250"/>
            <w:tcMar>
              <w:top w:w="90" w:type="dxa"/>
              <w:bottom w:w="90" w:type="dxa"/>
              <w:left w:w="100" w:type="dxa"/>
              <w:right w:w="100" w:type="dxa"/>
            </w:tcMar>
            <w:shd w:fill="FFFFFF"/>
          </w:tcPr>
          <w:p>
            <w:pPr>
              <w:keepNext w:val="0"/>
              <w:spacing w:after="20"/>
            </w:pPr>
            <w:sdt>
              <w:sdtPr>
                <w:alias w:val="account_annex-3-EN-2-1"/>
                <w:tag w:val="account_annex-3-EN-2-1"/>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2"/>
                <w:tag w:val="account_annex-3-EN-2-2"/>
                <w:text/>
              </w:sdtPr>
              <w:sdtContent>
                <w:r>
                  <w:rPr>
                    <w:rFonts w:ascii="Lato" w:hAnsi="Lato"/>
                    <w:sz w:val="18"/>
                    <w:color w:val="62716E"/>
                  </w:rPr>
                  <w:t>[Complete]</w:t>
                </w:r>
              </w:sdtContent>
            </w:sdt>
          </w:p>
        </w:tc>
        <w:tc>
          <w:tcPr>
            <w:tcW w:type="dxa" w:w="3250"/>
            <w:tcMar>
              <w:top w:w="90" w:type="dxa"/>
              <w:bottom w:w="90" w:type="dxa"/>
              <w:left w:w="100" w:type="dxa"/>
              <w:right w:w="100" w:type="dxa"/>
            </w:tcMar>
            <w:shd w:fill="FFFFFF"/>
          </w:tcPr>
          <w:p>
            <w:pPr>
              <w:keepNext w:val="0"/>
              <w:spacing w:after="20"/>
            </w:pPr>
            <w:sdt>
              <w:sdtPr>
                <w:alias w:val="account_annex-3-EN-2-3"/>
                <w:tag w:val="account_annex-3-EN-2-3"/>
                <w:text/>
              </w:sdtPr>
              <w:sdtContent>
                <w:r>
                  <w:rPr>
                    <w:rFonts w:ascii="Lato" w:hAnsi="Lato"/>
                    <w:sz w:val="18"/>
                    <w:color w:val="62716E"/>
                  </w:rPr>
                  <w:t>[Complete]</w:t>
                </w:r>
              </w:sdtContent>
            </w:sdt>
          </w:p>
        </w:tc>
      </w:tr>
    </w:tbl>
    <w:p>
      <w:bookmarkStart w:id="99001" w:name="calc_register"/>
      <w:pPr>
        <w:pStyle w:val="Heading1"/>
        <w:keepNext/>
        <w:pageBreakBefore/>
      </w:pPr>
      <w:r>
        <w:t>CALC — Calculation traceability and notation</w:t>
      </w:r>
      <w:bookmarkEnd w:id="99001"/>
    </w:p>
    <w:p>
      <w:pPr>
        <w:spacing w:after="100"/>
      </w:pPr>
      <w:r>
        <w:t>Record each calculated quantity as a uniquely identified row. Retain the exact source expression and a separate expression for any NEBIOT adaptation. A translated label does not change a formula. Units, included pools, sign convention, observation period, input status, and mathematical domain are part of the calculation record. An administrative table does not need an invented equation. Source-defined variables that remain ambiguous require clarification rather than an assumed meaning.</w:t>
      </w:r>
    </w:p>
    <w:p>
      <w:pPr>
        <w:pStyle w:val="Heading2"/>
        <w:keepNext/>
        <w:spacing w:after="100"/>
      </w:pPr>
      <w:r>
        <w:t>Indices and status</w:t>
      </w:r>
    </w:p>
    <w:p>
      <w:pPr>
        <w:spacing w:after="100"/>
      </w:pPr>
      <w:r>
        <w:t>EA = dated forecast; EP = reporting-period account; t = interval; i,j = declared strata or classes; o = disjoint organ or pool; g = gas; tau = disturbance cohort; l = calculation/component row.</w:t>
      </w:r>
    </w:p>
    <w:p>
      <w:pPr>
        <w:pStyle w:val="Heading2"/>
        <w:keepNext/>
        <w:spacing w:after="100"/>
      </w:pPr>
      <w:r>
        <w:t>One calculation record — repeat for each result</w:t>
      </w:r>
    </w:p>
    <w:tbl>
      <w:tblPr>
        <w:tblW w:type="auto" w:w="0"/>
        <w:tblLayout w:type="fixed"/>
        <w:tblLook w:firstColumn="1" w:firstRow="1" w:lastColumn="0" w:lastRow="0" w:noHBand="0" w:noVBand="1" w:val="04A0"/>
      </w:tblPr>
      <w:tblGrid>
        <w:gridCol w:w="3240"/>
        <w:gridCol w:w="6120"/>
      </w:tblGrid>
      <w:tr>
        <w:trPr/>
        <w:tc>
          <w:tcPr>
            <w:tcW w:type="dxa" w:w="4873"/>
            <w:shd w:fill="215F52"/>
          </w:tcPr>
          <w:p>
            <w:pPr>
              <w:spacing w:after="80"/>
            </w:pPr>
            <w:r>
              <w:rPr>
                <w:rFonts w:ascii="Lato" w:hAnsi="Lato"/>
                <w:b/>
                <w:color w:val="FFFFFF"/>
                <w:sz w:val="18"/>
              </w:rPr>
              <w:t>Field</w:t>
            </w:r>
          </w:p>
        </w:tc>
        <w:tc>
          <w:tcPr>
            <w:tcW w:type="dxa" w:w="4873"/>
            <w:shd w:fill="215F52"/>
          </w:tcPr>
          <w:p>
            <w:pPr>
              <w:spacing w:after="80"/>
            </w:pPr>
            <w:r>
              <w:rPr>
                <w:rFonts w:ascii="Lato" w:hAnsi="Lato"/>
                <w:b/>
                <w:color w:val="FFFFFF"/>
                <w:sz w:val="18"/>
              </w:rPr>
              <w:t>Record</w:t>
            </w:r>
          </w:p>
        </w:tc>
      </w:tr>
      <w:tr>
        <w:trPr/>
        <w:tc>
          <w:tcPr>
            <w:tcW w:type="dxa" w:w="3240"/>
          </w:tcPr>
          <w:p>
            <w:pPr>
              <w:spacing w:after="80"/>
            </w:pPr>
            <w:r>
              <w:rPr>
                <w:rFonts w:ascii="Lato" w:hAnsi="Lato"/>
                <w:sz w:val="18"/>
              </w:rPr>
              <w:t>Calculation row / symbol</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Definition and intended use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Exact source file / version / fingerprint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Worksheet / cell or raw record ID</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Original expression and original unit</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Inputs: symbols, values, units and periods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Receiving equation / standard identifier</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Transformation, conversion and rationale</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Unrounded intermediate and final values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Report table / row / output location</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Recalculation difference / tolerance basis</w:t>
            </w:r>
          </w:p>
        </w:tc>
        <w:tc>
          <w:tcPr>
            <w:tcW w:type="dxa" w:w="6120"/>
          </w:tcPr>
          <w:p>
            <w:pPr>
              <w:spacing w:after="80"/>
            </w:pPr>
            <w:r>
              <w:rPr>
                <w:rFonts w:ascii="Lato" w:hAnsi="Lato"/>
                <w:sz w:val="18"/>
              </w:rPr>
              <w:t>[Complete]</w:t>
            </w:r>
          </w:p>
        </w:tc>
      </w:tr>
      <w:tr>
        <w:trPr/>
        <w:tc>
          <w:tcPr>
            <w:tcW w:type="dxa" w:w="3240"/>
          </w:tcPr>
          <w:p>
            <w:pPr>
              <w:spacing w:after="80"/>
            </w:pPr>
            <w:r>
              <w:rPr>
                <w:rFonts w:ascii="Lato" w:hAnsi="Lato"/>
                <w:sz w:val="18"/>
              </w:rPr>
              <w:t>Independent reviewer / finding / disposition</w:t>
            </w:r>
          </w:p>
        </w:tc>
        <w:tc>
          <w:tcPr>
            <w:tcW w:type="dxa" w:w="6120"/>
          </w:tcPr>
          <w:p>
            <w:pPr>
              <w:spacing w:after="80"/>
            </w:pPr>
            <w:r>
              <w:rPr>
                <w:rFonts w:ascii="Lato" w:hAnsi="Lato"/>
                <w:sz w:val="18"/>
              </w:rPr>
              <w:t>[Complete]</w:t>
            </w:r>
          </w:p>
        </w:tc>
      </w:tr>
    </w:tbl>
    <w:p>
      <w:pPr>
        <w:pStyle w:val="Heading2"/>
        <w:keepNext/>
        <w:spacing w:after="100"/>
      </w:pPr>
      <w:r>
        <w:t>Arithmetic comparison, not materiality</w:t>
      </w:r>
    </w:p>
    <w:p>
      <w:pPr>
        <w:spacing w:after="100"/>
      </w:pPr>
      <m:oMath>
        <m:sSub>
          <m:e>
            <m:r>
              <w:rPr>
                <w:sz w:val="20"/>
              </w:rPr>
              <m:t>δ</m:t>
            </m:r>
          </m:e>
          <m:sub>
            <m:r>
              <w:rPr>
                <w:sz w:val="20"/>
              </w:rPr>
              <m:rPr>
                <m:sty m:val="p"/>
              </m:rPr>
              <m:t>ℓ</m:t>
            </m:r>
          </m:sub>
        </m:sSub>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c</m:t>
            </m:r>
            <m:r>
              <w:rPr>
                <w:sz w:val="20"/>
              </w:rPr>
              <m:rPr>
                <m:sty m:val="p"/>
              </m:rPr>
              <m:t>a</m:t>
            </m:r>
            <m:r>
              <w:rPr>
                <w:sz w:val="20"/>
              </w:rPr>
              <m:rPr>
                <m:sty m:val="p"/>
              </m:rPr>
              <m:t>l</m:t>
            </m:r>
            <m:r>
              <w:rPr>
                <w:sz w:val="20"/>
              </w:rPr>
              <m:rPr>
                <m:sty m:val="p"/>
              </m:rPr>
              <m:t>c</m:t>
            </m:r>
          </m:sup>
        </m:sSubSup>
        <m:r>
          <w:rPr>
            <w:sz w:val="20"/>
          </w:rPr>
          <m:rPr>
            <m:sty m:val="p"/>
          </m:rPr>
          <m:t>−</m:t>
        </m:r>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oMath>
    </w:p>
    <w:p>
      <w:pPr>
        <w:spacing w:after="100"/>
      </w:pPr>
      <m:oMath>
        <m:d>
          <m:dPr>
            <m:begChr m:val="|"/>
            <m:endChr m:val="|"/>
            <m:sepChr m:val=""/>
            <m:grow/>
          </m:dPr>
          <m:e>
            <m:sSub>
              <m:e>
                <m:r>
                  <w:rPr>
                    <w:sz w:val="20"/>
                  </w:rPr>
                  <m:t>δ</m:t>
                </m:r>
              </m:e>
              <m:sub>
                <m:r>
                  <w:rPr>
                    <w:sz w:val="20"/>
                  </w:rPr>
                  <m:rPr>
                    <m:sty m:val="p"/>
                  </m:rPr>
                  <m:t>ℓ</m:t>
                </m:r>
              </m:sub>
            </m:sSub>
          </m:e>
        </m:d>
        <m:r>
          <w:rPr>
            <w:sz w:val="20"/>
          </w:rPr>
          <m:rPr>
            <m:sty m:val="p"/>
          </m:rPr>
          <m:t>≤</m:t>
        </m:r>
        <m:sSub>
          <m:e>
            <m:r>
              <w:rPr>
                <w:sz w:val="20"/>
              </w:rPr>
              <m:t>ε</m:t>
            </m:r>
          </m:e>
          <m:sub>
            <m:r>
              <w:rPr>
                <w:sz w:val="20"/>
              </w:rPr>
              <m:t>a</m:t>
            </m:r>
          </m:sub>
        </m:sSub>
        <m:r>
          <w:rPr>
            <w:sz w:val="20"/>
          </w:rPr>
          <m:rPr>
            <m:sty m:val="p"/>
          </m:rPr>
          <m:t>+</m:t>
        </m:r>
        <m:sSub>
          <m:e>
            <m:r>
              <w:rPr>
                <w:sz w:val="20"/>
              </w:rPr>
              <m:t>ε</m:t>
            </m:r>
          </m:e>
          <m:sub>
            <m:r>
              <w:rPr>
                <w:sz w:val="20"/>
              </w:rPr>
              <m:t>r</m:t>
            </m:r>
          </m:sub>
        </m:sSub>
        <m:d>
          <m:dPr>
            <m:begChr m:val="|"/>
            <m:endChr m:val="|"/>
            <m:sepChr m:val=""/>
            <m:grow/>
          </m:dPr>
          <m:e>
            <m:sSubSup>
              <m:e>
                <m:r>
                  <w:rPr>
                    <w:sz w:val="20"/>
                  </w:rPr>
                  <m:t>v</m:t>
                </m:r>
              </m:e>
              <m:sub>
                <m:r>
                  <w:rPr>
                    <w:sz w:val="20"/>
                  </w:rPr>
                  <m:rPr>
                    <m:sty m:val="p"/>
                  </m:rPr>
                  <m:t>ℓ</m:t>
                </m:r>
              </m:sub>
              <m:sup>
                <m:r>
                  <w:rPr>
                    <w:sz w:val="20"/>
                  </w:rPr>
                  <m:rPr>
                    <m:sty m:val="p"/>
                  </m:rPr>
                  <m:t>r</m:t>
                </m:r>
                <m:r>
                  <w:rPr>
                    <w:sz w:val="20"/>
                  </w:rPr>
                  <m:rPr>
                    <m:sty m:val="p"/>
                  </m:rPr>
                  <m:t>e</m:t>
                </m:r>
                <m:r>
                  <w:rPr>
                    <w:sz w:val="20"/>
                  </w:rPr>
                  <m:rPr>
                    <m:sty m:val="p"/>
                  </m:rPr>
                  <m:t>f</m:t>
                </m:r>
                <m:r>
                  <w:rPr>
                    <w:sz w:val="20"/>
                  </w:rPr>
                  <m:rPr>
                    <m:sty m:val="p"/>
                  </m:rPr>
                  <m:t>e</m:t>
                </m:r>
                <m:r>
                  <w:rPr>
                    <w:sz w:val="20"/>
                  </w:rPr>
                  <m:rPr>
                    <m:sty m:val="p"/>
                  </m:rPr>
                  <m:t>r</m:t>
                </m:r>
                <m:r>
                  <w:rPr>
                    <w:sz w:val="20"/>
                  </w:rPr>
                  <m:rPr>
                    <m:sty m:val="p"/>
                  </m:rPr>
                  <m:t>e</m:t>
                </m:r>
                <m:r>
                  <w:rPr>
                    <w:sz w:val="20"/>
                  </w:rPr>
                  <m:rPr>
                    <m:sty m:val="p"/>
                  </m:rPr>
                  <m:t>n</m:t>
                </m:r>
                <m:r>
                  <w:rPr>
                    <w:sz w:val="20"/>
                  </w:rPr>
                  <m:rPr>
                    <m:sty m:val="p"/>
                  </m:rPr>
                  <m:t>c</m:t>
                </m:r>
                <m:r>
                  <w:rPr>
                    <w:sz w:val="20"/>
                  </w:rPr>
                  <m:rPr>
                    <m:sty m:val="p"/>
                  </m:rPr>
                  <m:t>e</m:t>
                </m:r>
              </m:sup>
            </m:sSubSup>
          </m:e>
        </m:d>
      </m:oMath>
    </w:p>
    <w:p>
      <w:pPr>
        <w:spacing w:after="100"/>
      </w:pPr>
      <w:r>
        <w:t>The absolute tolerance has the result unit; the relative tolerance is dimensionless. These are software-comparison settings, not materiality thresholds. Compare unrounded values. Reproduce the source method first, and record any harmonization or methodological change separately.</w:t>
      </w:r>
    </w:p>
    <w:sectPr w:rsidR="00FC693F" w:rsidRPr="0006063C" w:rsidSect="00034616">
      <w:headerReference w:type="default" r:id="rId9"/>
      <w:footerReference w:type="default" r:id="rId10"/>
      <w:pgSz w:w="11906" w:h="16838"/>
      <w:pgMar w:top="936" w:right="1080" w:bottom="950" w:left="1080" w:header="403"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49" w:val="right"/>
      </w:tabs>
      <w:spacing w:before="60"/>
      <w:pBdr>
        <w:top w:val="single" w:sz="4" w:color="C9D5CE" w:space="5"/>
      </w:pBdr>
    </w:pPr>
    <w:r>
      <w:rPr>
        <w:rFonts w:ascii="Arial" w:hAnsi="Arial"/>
        <w:b w:val="0"/>
        <w:i w:val="0"/>
        <w:color w:val="62716E"/>
        <w:sz w:val="14"/>
      </w:rPr>
      <w:t>TEMPLATE 1.2  /  PD  /  NEBIOT 0.8.2</w:t>
    </w:r>
    <w:r>
      <w:tab/>
    </w:r>
    <w:r>
      <w:rPr>
        <w:rFonts w:ascii="Arial" w:hAnsi="Arial"/>
        <w:b w:val="0"/>
        <w:i w:val="0"/>
        <w:color w:val="62716E"/>
        <w:sz w:val="14"/>
      </w:rPr>
      <w:t xml:space="preserve">Page </w:t>
    </w:r>
    <w:fldSimple w:instr="PAGE">
      <w:r>
        <w:t>1</w:t>
      </w:r>
    </w:fldSimple>
    <w:r>
      <w:t xml:space="preserve"> / </w:t>
    </w:r>
    <w:fldSimple w:instr="NUMPAGES">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749" w:val="right"/>
      </w:tabs>
      <w:spacing w:after="60"/>
      <w:pBdr>
        <w:bottom w:val="single" w:sz="4" w:color="C9D5CE" w:space="5"/>
      </w:pBdr>
    </w:pPr>
    <w:r>
      <w:rPr>
        <w:rFonts w:ascii="Arial" w:hAnsi="Arial"/>
        <w:b/>
        <w:i w:val="0"/>
        <w:color w:val="215F52"/>
        <w:sz w:val="16"/>
      </w:rPr>
      <w:t>NEBIOT   /   PROJECT DESCRIPTION</w:t>
    </w:r>
    <w:r>
      <w:tab/>
    </w:r>
    <w:r>
      <w:rPr>
        <w:rFonts w:ascii="Arial" w:hAnsi="Arial"/>
        <w:b w:val="0"/>
        <w:i w:val="0"/>
        <w:color w:val="62716E"/>
        <w:sz w:val="16"/>
      </w:rPr>
      <w:t>EN   |   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heme="majorHAnsi" w:eastAsiaTheme="majorEastAsia" w:hAnsiTheme="majorHAnsi" w:cstheme="majorBidi" w:ascii="Georgia" w:hAnsi="Georgia"/>
      <w:b/>
      <w:bCs/>
      <w:color w:val="215F52"/>
      <w:sz w:val="38"/>
      <w:szCs w:val="28"/>
    </w:rPr>
  </w:style>
  <w:style w:type="paragraph" w:styleId="Heading2">
    <w:name w:val="heading 2"/>
    <w:basedOn w:val="Normal"/>
    <w:next w:val="Normal"/>
    <w:link w:val="Heading2Char"/>
    <w:uiPriority w:val="9"/>
    <w:unhideWhenUsed/>
    <w:qFormat/>
    <w:rsid w:val="00FC693F"/>
    <w:pPr>
      <w:keepNext/>
      <w:keepLines/>
      <w:spacing w:before="140" w:after="140"/>
      <w:outlineLvl w:val="1"/>
    </w:pPr>
    <w:rPr>
      <w:rFonts w:asciiTheme="majorHAnsi" w:eastAsiaTheme="majorEastAsia" w:hAnsiTheme="majorHAnsi" w:cstheme="majorBidi" w:ascii="Arial" w:hAnsi="Arial"/>
      <w:b/>
      <w:bCs/>
      <w:color w:val="215F52"/>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140"/>
      <w:contextualSpacing/>
    </w:pPr>
    <w:rPr>
      <w:rFonts w:asciiTheme="majorHAnsi" w:eastAsiaTheme="majorEastAsia" w:hAnsiTheme="majorHAnsi" w:cstheme="majorBidi" w:ascii="Georgia" w:hAnsi="Georgia"/>
      <w:color w:val="215F52"/>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Description — NEBIOT template 1.0</dc:title>
  <dc:subject>NEBIOT Standard 0.8.2 — PD — EN</dc:subject>
  <dc:creator>Henry Arellano-Peña</dc:creator>
  <cp:keywords>NEBIOT, PD, template</cp:keywords>
  <dc:description/>
  <cp:lastModifiedBy>NEBIOT</cp:lastModifiedBy>
  <cp:revision>1</cp:revision>
  <dcterms:created xsi:type="dcterms:W3CDTF">2026-09-25T00:00:00Z</dcterms:created>
  <dcterms:modified xsi:type="dcterms:W3CDTF">2026-09-25T00:00:00Z</dcterms:modified>
  <cp:category>Project documentation template</cp:category>
  <cp:version>1.2</cp:version>
</cp:coreProperties>
</file>