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259" w:lineRule="auto"/>
      </w:pPr>
      <w:r>
        <w:rPr>
          <w:rFonts w:ascii="Arial" w:hAnsi="Arial"/>
          <w:b w:val="0"/>
          <w:i w:val="0"/>
          <w:color w:val="A6813D"/>
          <w:sz w:val="17"/>
        </w:rPr>
        <w:t>NEBIOT  /  DOCUMENTACIÓN DEL PROYECTO</w:t>
      </w:r>
    </w:p>
    <w:p>
      <w:pPr>
        <w:jc w:val="center"/>
      </w:pPr>
      <w:r>
        <w:drawing>
          <wp:inline xmlns:a="http://schemas.openxmlformats.org/drawingml/2006/main" xmlns:pic="http://schemas.openxmlformats.org/drawingml/2006/picture">
            <wp:extent cx="5760720" cy="1918365"/>
            <wp:docPr id="1" name="Picture 1" descr="NEBIOT — Español"/>
            <wp:cNvGraphicFramePr>
              <a:graphicFrameLocks noChangeAspect="1"/>
            </wp:cNvGraphicFramePr>
            <a:graphic>
              <a:graphicData uri="http://schemas.openxmlformats.org/drawingml/2006/picture">
                <pic:pic>
                  <pic:nvPicPr>
                    <pic:cNvPr id="0" name="NEBIOT-Spanish-6000px.png"/>
                    <pic:cNvPicPr/>
                  </pic:nvPicPr>
                  <pic:blipFill>
                    <a:blip r:embed="rId11"/>
                    <a:stretch>
                      <a:fillRect/>
                    </a:stretch>
                  </pic:blipFill>
                  <pic:spPr>
                    <a:xfrm>
                      <a:off x="0" y="0"/>
                      <a:ext cx="5760720" cy="1918365"/>
                    </a:xfrm>
                    <a:prstGeom prst="rect"/>
                  </pic:spPr>
                </pic:pic>
              </a:graphicData>
            </a:graphic>
          </wp:inline>
        </w:drawing>
      </w:r>
    </w:p>
    <w:p>
      <w:pPr>
        <w:keepNext w:val="0"/>
        <w:spacing w:after="180" w:line="259" w:lineRule="auto"/>
      </w:pPr>
      <w:r>
        <w:rPr>
          <w:rFonts w:ascii="Arial" w:hAnsi="Arial"/>
          <w:b w:val="0"/>
          <w:i w:val="0"/>
          <w:color w:val="62716E"/>
          <w:sz w:val="16"/>
        </w:rPr>
        <w:t>Autoridad del programa: Nuevo Estándar Biotropical — NEBIOT S.A.S.</w:t>
      </w:r>
    </w:p>
    <w:p>
      <w:pPr>
        <w:pStyle w:val="Title"/>
        <w:spacing w:after="160"/>
        <w:pBdr>
          <w:bottom w:val="single" w:sz="8" w:color="A6813D" w:space="5"/>
        </w:pBdr>
      </w:pPr>
      <w:r>
        <w:t>Descripción del Proyecto</w:t>
      </w:r>
    </w:p>
    <w:p>
      <w:pPr>
        <w:keepNext w:val="0"/>
        <w:spacing w:after="180" w:line="259" w:lineRule="auto"/>
      </w:pPr>
      <w:r>
        <w:rPr>
          <w:rFonts w:ascii="Arial" w:hAnsi="Arial"/>
          <w:b w:val="0"/>
          <w:i/>
          <w:color w:val="215F52"/>
          <w:sz w:val="21"/>
        </w:rPr>
        <w:t>PD • Expediente de validación del diseño</w:t>
      </w:r>
    </w:p>
    <w:p>
      <w:pPr>
        <w:keepNext w:val="0"/>
        <w:spacing w:after="260" w:line="259" w:lineRule="auto"/>
      </w:pPr>
      <w:r>
        <w:rPr>
          <w:rFonts w:ascii="Arial" w:hAnsi="Arial"/>
          <w:b w:val="0"/>
          <w:i w:val="0"/>
          <w:color w:val="62716E"/>
          <w:sz w:val="17"/>
        </w:rPr>
        <w:t>Estándar de referencia: NEBIOT 0.8.2   |   Edición de plantilla 1.2</w:t>
      </w:r>
    </w:p>
    <w:p>
      <w:pPr>
        <w:keepNext w:val="0"/>
        <w:spacing w:after="200" w:line="259" w:lineRule="auto"/>
      </w:pPr>
      <w:r>
        <w:rPr>
          <w:rFonts w:ascii="Arial" w:hAnsi="Arial"/>
          <w:b w:val="0"/>
          <w:i/>
          <w:color w:val="215F52"/>
          <w:sz w:val="32"/>
        </w:rPr>
        <w:t>[NOMBRE DEL PROYECTO]</w:t>
      </w:r>
    </w:p>
    <w:p>
      <w:pPr>
        <w:spacing w:after="80"/>
      </w:pPr>
      <w:r>
        <w:rPr>
          <w:rFonts w:ascii="Arial" w:hAnsi="Arial"/>
          <w:b/>
          <w:i w:val="0"/>
          <w:color w:val="243A36"/>
          <w:sz w:val="18"/>
        </w:rPr>
        <w:t xml:space="preserve">ID del proyecto: </w:t>
      </w:r>
      <w:r>
        <w:rPr>
          <w:rFonts w:ascii="Arial" w:hAnsi="Arial"/>
          <w:b w:val="0"/>
          <w:i/>
          <w:color w:val="62716E"/>
          <w:sz w:val="18"/>
        </w:rPr>
        <w:t>[Completar]</w:t>
      </w:r>
    </w:p>
    <w:p>
      <w:pPr>
        <w:spacing w:after="80"/>
      </w:pPr>
      <w:r>
        <w:rPr>
          <w:rFonts w:ascii="Arial" w:hAnsi="Arial"/>
          <w:b/>
          <w:i w:val="0"/>
          <w:color w:val="243A36"/>
          <w:sz w:val="18"/>
        </w:rPr>
        <w:t xml:space="preserve">País / jurisdicción: </w:t>
      </w:r>
      <w:r>
        <w:rPr>
          <w:rFonts w:ascii="Arial" w:hAnsi="Arial"/>
          <w:b w:val="0"/>
          <w:i/>
          <w:color w:val="62716E"/>
          <w:sz w:val="18"/>
        </w:rPr>
        <w:t>[Completar]</w:t>
      </w:r>
    </w:p>
    <w:p>
      <w:pPr>
        <w:spacing w:after="80"/>
      </w:pPr>
      <w:r>
        <w:rPr>
          <w:rFonts w:ascii="Arial" w:hAnsi="Arial"/>
          <w:b/>
          <w:i w:val="0"/>
          <w:color w:val="243A36"/>
          <w:sz w:val="18"/>
        </w:rPr>
        <w:t xml:space="preserve">Versión del documento del proyecto: </w:t>
      </w:r>
      <w:r>
        <w:rPr>
          <w:rFonts w:ascii="Arial" w:hAnsi="Arial"/>
          <w:b w:val="0"/>
          <w:i/>
          <w:color w:val="62716E"/>
          <w:sz w:val="18"/>
        </w:rPr>
        <w:t>[Completar]</w:t>
      </w:r>
    </w:p>
    <w:p>
      <w:pPr>
        <w:spacing w:after="80"/>
      </w:pPr>
      <w:r>
        <w:rPr>
          <w:rFonts w:ascii="Arial" w:hAnsi="Arial"/>
          <w:b/>
          <w:i w:val="0"/>
          <w:color w:val="243A36"/>
          <w:sz w:val="18"/>
        </w:rPr>
        <w:t xml:space="preserve">Fecha de emisión (AAAA-MM-DD): </w:t>
      </w:r>
      <w:r>
        <w:rPr>
          <w:rFonts w:ascii="Arial" w:hAnsi="Arial"/>
          <w:b w:val="0"/>
          <w:i/>
          <w:color w:val="62716E"/>
          <w:sz w:val="18"/>
        </w:rPr>
        <w:t>[Completar]</w:t>
      </w:r>
    </w:p>
    <w:p>
      <w:pPr>
        <w:keepNext w:val="0"/>
        <w:spacing w:after="100" w:line="259" w:lineRule="auto"/>
      </w:pPr>
      <w:r>
        <w:rPr>
          <w:rFonts w:ascii="Arial" w:hAnsi="Arial"/>
          <w:b w:val="0"/>
          <w:i w:val="0"/>
          <w:color w:val="215F52"/>
          <w:sz w:val="21"/>
        </w:rPr>
        <w:t>Organizaciones ejecutoras y partes interesadas</w:t>
      </w:r>
    </w:p>
    <w:tbl>
      <w:tblPr>
        <w:tblW w:type="auto" w:w="0"/>
        <w:jc w:val="center"/>
        <w:tblLayout w:type="fixed"/>
        <w:tblLook w:firstColumn="1" w:firstRow="1" w:lastColumn="0" w:lastRow="0" w:noHBand="0" w:noVBand="1" w:val="04A0"/>
      </w:tblPr>
      <w:tblGrid>
        <w:gridCol w:w="3249"/>
        <w:gridCol w:w="3249"/>
        <w:gridCol w:w="3249"/>
      </w:tblGrid>
      <w:tr>
        <w:trPr>
          <w:trHeight w:val="1296" w:hRule="atLeast"/>
        </w:trPr>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ENTIDAD EJECUTORA</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PROPONENTE DEL PROYECTO</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TITULARES / PARTES INTERESADAS</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r>
    </w:tbl>
    <w:p>
      <w:pPr>
        <w:keepNext w:val="0"/>
        <w:spacing w:after="160" w:line="259" w:lineRule="auto"/>
      </w:pPr>
      <w:r>
        <w:rPr>
          <w:rFonts w:ascii="Arial" w:hAnsi="Arial"/>
          <w:b w:val="0"/>
          <w:i w:val="0"/>
          <w:color w:val="62716E"/>
          <w:sz w:val="16"/>
        </w:rPr>
        <w:t>Use logotipos autorizados e identifique la función real de cada organización. Exhibir un logotipo no establece consentimiento, propiedad, respaldo, validación ni admisión. Retire espacios sin usar de la presentación final.</w:t>
      </w:r>
    </w:p>
    <w:p>
      <w:pPr>
        <w:keepNext w:val="0"/>
        <w:spacing w:after="100" w:line="259" w:lineRule="auto"/>
      </w:pPr>
      <w:r>
        <w:rPr>
          <w:rFonts w:ascii="Arial" w:hAnsi="Arial"/>
          <w:b w:val="0"/>
          <w:i w:val="0"/>
          <w:color w:val="62716E"/>
          <w:sz w:val="15"/>
        </w:rPr>
        <w:t>Se conserva la grafía SAS del logotipo; S.A.S. es la convención de puntuación utilizada en el texto.</w:t>
      </w:r>
    </w:p>
    <w:p>
      <w:r>
        <w:br w:type="page"/>
      </w:r>
    </w:p>
    <w:p>
      <w:pPr>
        <w:pStyle w:val="Heading1"/>
        <w:keepNext/>
      </w:pPr>
      <w:r>
        <w:t>Licencia y uso de esta plantilla</w:t>
      </w:r>
    </w:p>
    <w:p>
      <w:pPr>
        <w:keepNext w:val="0"/>
        <w:spacing w:after="220" w:line="259" w:lineRule="auto"/>
      </w:pPr>
      <w:r>
        <w:rPr>
          <w:rFonts w:ascii="Arial" w:hAnsi="Arial"/>
          <w:b w:val="0"/>
          <w:i w:val="0"/>
          <w:color w:val="243A36"/>
          <w:sz w:val="19"/>
        </w:rPr>
        <w:t>Este documento es publicado por Nuevo Estándar Biotropical—NEBIOT S.A.S. Henry Arellano-Peña es el autor metodológico de NEB001 y NEB002. Los derechos sobre los materiales protegidos de NEBIOT permanecen en sus respectivos titulares. El uso comercial, la reproducción, la adaptación, la redistribución y el sublicenciamiento de material protegido están sujetos a la licencia aplicable o al permiso escrito específico del titular facultado para autorizarlo; los permisos de uso dentro del programa NEBIOT deberán registrarse en FRM-07 conforme a S-21. El acceso a este documento no otorga por sí mismo una licencia comercial, no transfiere titularidad, no autoriza el sublicenciamiento, no confiere admisión al programa ni autoriza la certificación o emisión de unidades ambientales. Las publicaciones de respaldo y los datos, programas informáticos e imágenes de terceros conservan sus respectivas licencias y obligaciones de atribución; no se afectan los permisos lícitos existentes ni los usos permitidos por la legislación aplicable. Los revisores independientes autorizados deberán disponer del acceso necesario para inspección, recálculo e informe conforme a S-22, sujeto a los permisos aplicables y las salvaguardas de confidencialidad.</w:t>
      </w:r>
    </w:p>
    <w:p>
      <w:pPr>
        <w:pStyle w:val="Heading2"/>
        <w:keepNext/>
      </w:pPr>
      <w:r>
        <w:t>Instrucciones de diligenciamiento</w:t>
      </w:r>
    </w:p>
    <w:p>
      <w:pPr>
        <w:keepNext w:val="0"/>
        <w:spacing w:after="180" w:line="259" w:lineRule="auto"/>
      </w:pPr>
      <w:r>
        <w:rPr>
          <w:rFonts w:ascii="Arial" w:hAnsi="Arial"/>
          <w:b w:val="0"/>
          <w:i w:val="0"/>
          <w:color w:val="243A36"/>
          <w:sz w:val="19"/>
        </w:rPr>
        <w:t>Esta plantilla organiza la evidencia exigida para su etapa según el Estándar NEBIOT versión 0.8.2. No sustituye el estándar, sus métodos aplicables, el perfil aprobado ni los formularios controlados. Complete campos entre corchetes y amplíe tablas o áreas de texto. Para conceptos no aplicables, registre motivo y decisión del revisor; no los suprima silenciosamente. Identifique información desconocida como faltante, no cero. Distinga observaciones, supuestos, proyecciones, resultados verificados y NVEU autorizadas. Los requisitos se evalúan en la etapa correspondiente; campos de etapas futuras no implican cumplimiento previo.</w:t>
      </w:r>
    </w:p>
    <w:p>
      <w:pPr>
        <w:pStyle w:val="Heading2"/>
        <w:keepNext/>
      </w:pPr>
      <w:r>
        <w:t>Referencia y alcance</w:t>
      </w:r>
    </w:p>
    <w:p>
      <w:pPr>
        <w:keepNext w:val="0"/>
        <w:spacing w:after="200" w:line="259" w:lineRule="auto"/>
      </w:pPr>
      <w:r>
        <w:rPr>
          <w:rFonts w:ascii="Arial" w:hAnsi="Arial"/>
          <w:b w:val="0"/>
          <w:i w:val="0"/>
          <w:color w:val="243A36"/>
          <w:sz w:val="17"/>
        </w:rPr>
        <w:t>[1] NEBIOT. Estándar NEBIOT, versión controlada 0.8.2. NEB-DOC-000, edición integrada. Dependencias principales: NEB-CYC-001; NEB-STD-001 y Anexo A; NEB-MTH-001/002; NEB-UNT-001; NEB-PRO-001; NEB-MIG-001; NEB-AUD-001 y NEB-FRM-001. Las referencias a cláusulas, ecuaciones, AP y FRM remiten a esa versión. Son dependencias normativas externas, no secciones faltantes de esta plantilla.</w:t>
      </w:r>
    </w:p>
    <w:p>
      <w:pPr>
        <w:keepNext w:val="0"/>
        <w:spacing w:after="140" w:line="259" w:lineRule="auto"/>
      </w:pPr>
      <w:r>
        <w:rPr>
          <w:rFonts w:ascii="Arial" w:hAnsi="Arial"/>
          <w:b w:val="0"/>
          <w:i w:val="0"/>
          <w:color w:val="243A36"/>
          <w:sz w:val="18"/>
        </w:rPr>
        <w:t>NIP conserva el nombre Nota de Idea de proyecto. PD identifica la Descripción del Proyecto.</w:t>
      </w:r>
    </w:p>
    <w:p>
      <w:pPr>
        <w:keepNext w:val="0"/>
        <w:spacing w:after="0" w:line="259" w:lineRule="auto"/>
      </w:pPr>
      <w:r>
        <w:rPr>
          <w:rFonts w:ascii="Arial" w:hAnsi="Arial"/>
          <w:b w:val="0"/>
          <w:i w:val="0"/>
          <w:color w:val="243A36"/>
          <w:sz w:val="18"/>
        </w:rPr>
        <w:t>NEBIOT presta la evaluación técnica, diseño y monitoreo contratados. El proponente y ejecutor identificados conservan responsabilidades de ejecución según S-25; los intereses excepcionales NEBIOT siguen S-26.</w:t>
      </w:r>
    </w:p>
    <w:p>
      <w:r>
        <w:br w:type="page"/>
      </w:r>
    </w:p>
    <w:p>
      <w:pPr>
        <w:pStyle w:val="Heading1"/>
        <w:keepNext/>
      </w:pPr>
      <w:r>
        <w:t>Control documental y contenido</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6824"/>
      </w:tblGrid>
      <w:tr>
        <w:trPr>
          <w:trHeight w:val="374"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Control</w:t>
            </w:r>
          </w:p>
        </w:tc>
        <w:tc>
          <w:tcPr>
            <w:tcW w:type="dxa" w:w="682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Registro</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Plantilla</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PD / 1.2 / ES</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Estándar de referencia</w:t>
            </w:r>
          </w:p>
        </w:tc>
        <w:tc>
          <w:tcPr>
            <w:tcW w:type="dxa" w:w="6824"/>
            <w:vAlign w:val="center"/>
            <w:tcMar>
              <w:top w:w="70" w:type="dxa"/>
              <w:start w:w="85" w:type="dxa"/>
              <w:bottom w:w="70" w:type="dxa"/>
              <w:end w:w="85" w:type="dxa"/>
            </w:tcMar>
          </w:tcPr>
          <w:p>
            <w:pPr>
              <w:spacing w:after="0" w:line="250" w:lineRule="auto"/>
            </w:pPr>
            <w:r>
              <w:rPr>
                <w:rFonts w:ascii="Arial" w:hAnsi="Arial"/>
                <w:b w:val="0"/>
                <w:i w:val="0"/>
                <w:color w:val="243A36"/>
                <w:sz w:val="16"/>
              </w:rPr>
              <w:t>NEBIOT 0.8.2 / CYC-05</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Preparador / revisor</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Distribución / restricciones</w:t>
            </w:r>
          </w:p>
        </w:tc>
        <w:tc>
          <w:tcPr>
            <w:tcW w:type="dxa" w:w="682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852"/>
        <w:gridCol w:w="2242"/>
        <w:gridCol w:w="5654"/>
      </w:tblGrid>
      <w:tr>
        <w:trPr>
          <w:trHeight w:val="360" w:hRule="atLeast"/>
          <w:tblHeader/>
        </w:trPr>
        <w:tc>
          <w:tcPr>
            <w:tcW w:type="dxa" w:w="185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Versión</w:t>
            </w:r>
          </w:p>
        </w:tc>
        <w:tc>
          <w:tcPr>
            <w:tcW w:type="dxa" w:w="224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Fecha</w:t>
            </w:r>
          </w:p>
        </w:tc>
        <w:tc>
          <w:tcPr>
            <w:tcW w:type="dxa" w:w="565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Cambio y autoridad</w:t>
            </w:r>
          </w:p>
        </w:tc>
      </w:tr>
      <w:tr>
        <w:trPr>
          <w:trHeight w:val="360" w:hRule="atLeast"/>
        </w:trPr>
        <w:tc>
          <w:tcPr>
            <w:tcW w:type="dxa" w:w="185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224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565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r>
    </w:tbl>
    <w:p>
      <w:pPr>
        <w:keepNext w:val="0"/>
        <w:spacing w:after="60" w:line="259" w:lineRule="auto"/>
      </w:pPr>
      <w:r>
        <w:rPr>
          <w:rFonts w:ascii="Arial" w:hAnsi="Arial"/>
          <w:b w:val="0"/>
          <w:i w:val="0"/>
          <w:color w:val="243A36"/>
          <w:sz w:val="2"/>
        </w:rPr>
      </w:r>
    </w:p>
    <w:p>
      <w:pPr>
        <w:keepNext w:val="0"/>
        <w:spacing w:after="100" w:line="259" w:lineRule="auto"/>
      </w:pPr>
      <w:r>
        <w:rPr>
          <w:rFonts w:ascii="Arial" w:hAnsi="Arial"/>
          <w:b/>
          <w:i w:val="0"/>
          <w:color w:val="215F52"/>
          <w:sz w:val="22"/>
        </w:rPr>
        <w:t>Contenido</w:t>
      </w:r>
    </w:p>
    <w:p>
      <w:pPr>
        <w:spacing w:after="60" w:line="252" w:lineRule="auto"/>
      </w:pPr>
      <w:hyperlink w:anchor="Section_1">
        <w:r>
          <w:rPr>
            <w:rFonts w:ascii="Arial" w:hAnsi="Arial"/>
            <w:sz w:val="19"/>
            <w:color w:val="215F52"/>
          </w:rPr>
          <w:t>01  Identidad, cronología y alcance autorizado</w:t>
        </w:r>
      </w:hyperlink>
    </w:p>
    <w:p>
      <w:pPr>
        <w:spacing w:after="60" w:line="252" w:lineRule="auto"/>
      </w:pPr>
      <w:hyperlink w:anchor="Section_2">
        <w:r>
          <w:rPr>
            <w:rFonts w:ascii="Arial" w:hAnsi="Arial"/>
            <w:sz w:val="19"/>
            <w:color w:val="215F52"/>
          </w:rPr>
          <w:t>02  Funciones, derechos y facultad para ejecutar y declarar</w:t>
        </w:r>
      </w:hyperlink>
    </w:p>
    <w:p>
      <w:pPr>
        <w:spacing w:after="60" w:line="252" w:lineRule="auto"/>
      </w:pPr>
      <w:hyperlink w:anchor="Section_3">
        <w:r>
          <w:rPr>
            <w:rFonts w:ascii="Arial" w:hAnsi="Arial"/>
            <w:sz w:val="19"/>
            <w:color w:val="215F52"/>
          </w:rPr>
          <w:t>03  Territorio, límites y ámbito espacial</w:t>
        </w:r>
      </w:hyperlink>
    </w:p>
    <w:p>
      <w:pPr>
        <w:spacing w:after="60" w:line="252" w:lineRule="auto"/>
      </w:pPr>
      <w:hyperlink w:anchor="Section_4">
        <w:r>
          <w:rPr>
            <w:rFonts w:ascii="Arial" w:hAnsi="Arial"/>
            <w:sz w:val="19"/>
            <w:color w:val="215F52"/>
          </w:rPr>
          <w:t>04  Intervenciones, objetivos y diseño causal</w:t>
        </w:r>
      </w:hyperlink>
    </w:p>
    <w:p>
      <w:pPr>
        <w:spacing w:after="60" w:line="252" w:lineRule="auto"/>
      </w:pPr>
      <w:hyperlink w:anchor="Section_5">
        <w:r>
          <w:rPr>
            <w:rFonts w:ascii="Arial" w:hAnsi="Arial"/>
            <w:sz w:val="19"/>
            <w:color w:val="215F52"/>
          </w:rPr>
          <w:t>05  Métodos, rutas de evidencia y modelos calibrados</w:t>
        </w:r>
      </w:hyperlink>
    </w:p>
    <w:p>
      <w:pPr>
        <w:spacing w:after="60" w:line="252" w:lineRule="auto"/>
      </w:pPr>
      <w:hyperlink w:anchor="Section_6">
        <w:r>
          <w:rPr>
            <w:rFonts w:ascii="Arial" w:hAnsi="Arial"/>
            <w:sz w:val="19"/>
            <w:color w:val="215F52"/>
          </w:rPr>
          <w:t>06  Línea base, causas y relaciones de referencia aplicables</w:t>
        </w:r>
      </w:hyperlink>
    </w:p>
    <w:p>
      <w:pPr>
        <w:spacing w:after="60" w:line="252" w:lineRule="auto"/>
      </w:pPr>
      <w:hyperlink w:anchor="Section_7">
        <w:r>
          <w:rPr>
            <w:rFonts w:ascii="Arial" w:hAnsi="Arial"/>
            <w:sz w:val="19"/>
            <w:color w:val="215F52"/>
          </w:rPr>
          <w:t>07  Adicionalidad y continuidad adaptativa</w:t>
        </w:r>
      </w:hyperlink>
    </w:p>
    <w:p>
      <w:pPr>
        <w:spacing w:after="60" w:line="252" w:lineRule="auto"/>
      </w:pPr>
      <w:hyperlink w:anchor="Section_8">
        <w:r>
          <w:rPr>
            <w:rFonts w:ascii="Arial" w:hAnsi="Arial"/>
            <w:sz w:val="19"/>
            <w:color w:val="215F52"/>
          </w:rPr>
          <w:t>08  Traslapes, iniciativas concurrentes y migración</w:t>
        </w:r>
      </w:hyperlink>
    </w:p>
    <w:p>
      <w:pPr>
        <w:spacing w:after="60" w:line="252" w:lineRule="auto"/>
      </w:pPr>
      <w:hyperlink w:anchor="Section_9">
        <w:r>
          <w:rPr>
            <w:rFonts w:ascii="Arial" w:hAnsi="Arial"/>
            <w:sz w:val="19"/>
            <w:color w:val="215F52"/>
          </w:rPr>
          <w:t>09  Cuantificación y cuenta ambiental reproducible</w:t>
        </w:r>
      </w:hyperlink>
    </w:p>
    <w:p>
      <w:pPr>
        <w:spacing w:after="60" w:line="252" w:lineRule="auto"/>
      </w:pPr>
      <w:hyperlink w:anchor="Section_10">
        <w:r>
          <w:rPr>
            <w:rFonts w:ascii="Arial" w:hAnsi="Arial"/>
            <w:sz w:val="19"/>
            <w:color w:val="215F52"/>
          </w:rPr>
          <w:t>10  Incertidumbre, materialidad, riesgo y pasivos</w:t>
        </w:r>
      </w:hyperlink>
    </w:p>
    <w:p>
      <w:pPr>
        <w:spacing w:after="60" w:line="252" w:lineRule="auto"/>
      </w:pPr>
      <w:hyperlink w:anchor="Section_11">
        <w:r>
          <w:rPr>
            <w:rFonts w:ascii="Arial" w:hAnsi="Arial"/>
            <w:sz w:val="19"/>
            <w:color w:val="215F52"/>
          </w:rPr>
          <w:t>11  Participación, consentimiento, salvaguardas y beneficios</w:t>
        </w:r>
      </w:hyperlink>
    </w:p>
    <w:p>
      <w:pPr>
        <w:spacing w:after="60" w:line="252" w:lineRule="auto"/>
      </w:pPr>
      <w:hyperlink w:anchor="Section_12">
        <w:r>
          <w:rPr>
            <w:rFonts w:ascii="Arial" w:hAnsi="Arial"/>
            <w:sz w:val="19"/>
            <w:color w:val="215F52"/>
          </w:rPr>
          <w:t>12  Atributos ambientales y límites de afirmaciones NVEU</w:t>
        </w:r>
      </w:hyperlink>
    </w:p>
    <w:p>
      <w:pPr>
        <w:spacing w:after="60" w:line="252" w:lineRule="auto"/>
      </w:pPr>
      <w:hyperlink w:anchor="Section_13">
        <w:r>
          <w:rPr>
            <w:rFonts w:ascii="Arial" w:hAnsi="Arial"/>
            <w:sz w:val="19"/>
            <w:color w:val="215F52"/>
          </w:rPr>
          <w:t>13  Plan de implementación, recursos y contingencias</w:t>
        </w:r>
      </w:hyperlink>
    </w:p>
    <w:p>
      <w:pPr>
        <w:spacing w:after="60" w:line="252" w:lineRule="auto"/>
      </w:pPr>
      <w:hyperlink w:anchor="Section_14">
        <w:r>
          <w:rPr>
            <w:rFonts w:ascii="Arial" w:hAnsi="Arial"/>
            <w:sz w:val="19"/>
            <w:color w:val="215F52"/>
          </w:rPr>
          <w:t>14  Diseño de monitoreo y control de cambios</w:t>
        </w:r>
      </w:hyperlink>
    </w:p>
    <w:p>
      <w:pPr>
        <w:spacing w:after="60" w:line="252" w:lineRule="auto"/>
      </w:pPr>
      <w:hyperlink w:anchor="Section_15">
        <w:r>
          <w:rPr>
            <w:rFonts w:ascii="Arial" w:hAnsi="Arial"/>
            <w:sz w:val="19"/>
            <w:color w:val="215F52"/>
          </w:rPr>
          <w:t>15  Perfil de aplicación y aprobación de parámetros</w:t>
        </w:r>
      </w:hyperlink>
    </w:p>
    <w:p>
      <w:pPr>
        <w:spacing w:after="60" w:line="252" w:lineRule="auto"/>
      </w:pPr>
      <w:hyperlink w:anchor="Section_16">
        <w:r>
          <w:rPr>
            <w:rFonts w:ascii="Arial" w:hAnsi="Arial"/>
            <w:sz w:val="19"/>
            <w:color w:val="215F52"/>
          </w:rPr>
          <w:t>16  Paquete de validación y matriz de requisitos</w:t>
        </w:r>
      </w:hyperlink>
    </w:p>
    <w:p>
      <w:pPr>
        <w:spacing w:after="60" w:line="252" w:lineRule="auto"/>
      </w:pPr>
      <w:hyperlink w:anchor="Section_17">
        <w:r>
          <w:rPr>
            <w:rFonts w:ascii="Arial" w:hAnsi="Arial"/>
            <w:sz w:val="19"/>
            <w:color w:val="215F52"/>
          </w:rPr>
          <w:t>17  Evidencia, anexos y referencias</w:t>
        </w:r>
      </w:hyperlink>
    </w:p>
    <w:p>
      <w:pPr>
        <w:spacing w:after="60" w:line="252" w:lineRule="auto"/>
      </w:pPr>
      <w:hyperlink w:anchor="Section_18">
        <w:r>
          <w:rPr>
            <w:rFonts w:ascii="Arial" w:hAnsi="Arial"/>
            <w:sz w:val="19"/>
            <w:color w:val="215F52"/>
          </w:rPr>
          <w:t>18  Presentación, revisión y decisión de etapa</w:t>
        </w:r>
      </w:hyperlink>
    </w:p>
    <w:p>
      <w:pPr>
        <w:spacing w:after="60"/>
      </w:pPr>
      <w:hyperlink w:anchor="account_annex">
        <w:r>
          <w:rPr>
            <w:color w:val="215F52"/>
          </w:rPr>
          <w:t>A. Anexos de cuentas ex ante, ex post y migración</w:t>
        </w:r>
      </w:hyperlink>
    </w:p>
    <w:p>
      <w:pPr>
        <w:spacing w:after="80"/>
      </w:pPr>
      <w:hyperlink w:anchor="calc_register" w:history="1">
        <w:r>
          <w:rPr>
            <w:color w:val="215F52"/>
          </w:rPr>
          <w:t>CALC  Trazabilidad y notación del cálculo</w:t>
        </w:r>
      </w:hyperlink>
    </w:p>
    <w:p>
      <w:r>
        <w:br w:type="page"/>
      </w:r>
    </w:p>
    <w:p>
      <w:bookmarkStart w:id="101" w:name="Section_1"/>
      <w:pPr>
        <w:pStyle w:val="Heading1"/>
        <w:keepNext/>
      </w:pPr>
      <w:r>
        <w:t>01  Identidad, cronología y alcance autorizado</w:t>
      </w:r>
      <w:bookmarkEnd w:id="101"/>
    </w:p>
    <w:p>
      <w:pPr>
        <w:keepNext/>
        <w:spacing w:after="180" w:line="259" w:lineRule="auto"/>
      </w:pPr>
      <w:r>
        <w:rPr>
          <w:rFonts w:ascii="Arial" w:hAnsi="Arial"/>
          <w:b w:val="0"/>
          <w:i w:val="0"/>
          <w:color w:val="62716E"/>
          <w:sz w:val="15"/>
        </w:rPr>
        <w:t>[1] Referencia: CYC-05; S-01; S-03; S-07; S-18; FRM-01</w:t>
      </w:r>
    </w:p>
    <w:p>
      <w:pPr>
        <w:pStyle w:val="Heading2"/>
        <w:keepNext/>
      </w:pPr>
      <w:r>
        <w:t>Descripción ejecutiva y objetivos ambientales</w:t>
      </w:r>
    </w:p>
    <w:p>
      <w:pPr>
        <w:keepNext/>
        <w:spacing w:after="100" w:line="259" w:lineRule="auto"/>
      </w:pPr>
      <w:r>
        <w:rPr>
          <w:rFonts w:ascii="Arial" w:hAnsi="Arial"/>
          <w:b w:val="0"/>
          <w:i w:val="0"/>
          <w:color w:val="62716E"/>
          <w:sz w:val="18"/>
        </w:rPr>
        <w:t>Identifique proyecto, ecosistemas, actividades, resultados previstos y ubicación. Indique alcance presentado a validación y distinga proyecciones de información observada o verificada anteriormente.</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pPr>
        <w:pStyle w:val="Heading2"/>
        <w:keepNext/>
      </w:pPr>
      <w:r>
        <w:t>Cronología del proyecto</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607"/>
        <w:gridCol w:w="3217"/>
        <w:gridCol w:w="2925"/>
      </w:tblGrid>
      <w:tr>
        <w:trPr>
          <w:trHeight w:val="446" w:hRule="atLeast"/>
          <w:tblHeader/>
        </w:trPr>
        <w:tc>
          <w:tcPr>
            <w:tcW w:type="dxa" w:w="360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Evento / actividad / intervalo contable</w:t>
            </w:r>
          </w:p>
        </w:tc>
        <w:tc>
          <w:tcPr>
            <w:tcW w:type="dxa" w:w="321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Fecha o período y evidencia</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Estado / aprobación aplicable</w:t>
            </w:r>
          </w:p>
        </w:tc>
      </w:tr>
      <w:tr>
        <w:trPr>
          <w:trHeight w:val="446" w:hRule="atLeast"/>
        </w:trPr>
        <w:tc>
          <w:tcPr>
            <w:tcW w:type="dxa" w:w="360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60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60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60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Versiones aplicables y entrega previa</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2730"/>
        <w:gridCol w:w="3705"/>
      </w:tblGrid>
      <w:tr>
        <w:trPr>
          <w:trHeight w:val="446" w:hRule="atLeast"/>
          <w:tblHeader/>
        </w:trPr>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Documento / método / decisión</w:t>
            </w:r>
          </w:p>
        </w:tc>
        <w:tc>
          <w:tcPr>
            <w:tcW w:type="dxa" w:w="273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Versión / alcance de vigencia</w:t>
            </w:r>
          </w:p>
        </w:tc>
        <w:tc>
          <w:tcPr>
            <w:tcW w:type="dxa" w:w="370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Evidencia y cambio desde factibilidad</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70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r>
        <w:br w:type="page"/>
      </w:r>
    </w:p>
    <w:p>
      <w:bookmarkStart w:id="102" w:name="Section_2"/>
      <w:pPr>
        <w:pStyle w:val="Heading1"/>
        <w:keepNext/>
      </w:pPr>
      <w:r>
        <w:t>02  Funciones, derechos y facultad para ejecutar y declarar</w:t>
      </w:r>
      <w:bookmarkEnd w:id="102"/>
    </w:p>
    <w:p>
      <w:pPr>
        <w:keepNext/>
        <w:spacing w:after="180" w:line="259" w:lineRule="auto"/>
      </w:pPr>
      <w:r>
        <w:rPr>
          <w:rFonts w:ascii="Arial" w:hAnsi="Arial"/>
          <w:b w:val="0"/>
          <w:i w:val="0"/>
          <w:color w:val="62716E"/>
          <w:sz w:val="15"/>
        </w:rPr>
        <w:t>[1] Referencia: S-04; S-05; S-21; S-22; S-25; S-26; AO-02; FRM-07</w:t>
      </w:r>
    </w:p>
    <w:p>
      <w:pPr>
        <w:pStyle w:val="Heading2"/>
        <w:keepNext/>
      </w:pPr>
      <w:r>
        <w:t>Registro de responsabilidades y autorizaciones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437"/>
        <w:gridCol w:w="2730"/>
        <w:gridCol w:w="4582"/>
      </w:tblGrid>
      <w:tr>
        <w:trPr>
          <w:trHeight w:val="446" w:hRule="atLeast"/>
          <w:tblHeader/>
        </w:trPr>
        <w:tc>
          <w:tcPr>
            <w:tcW w:type="dxa" w:w="243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Función</w:t>
            </w:r>
          </w:p>
        </w:tc>
        <w:tc>
          <w:tcPr>
            <w:tcW w:type="dxa" w:w="273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Entidad / responsable</w:t>
            </w:r>
          </w:p>
        </w:tc>
        <w:tc>
          <w:tcPr>
            <w:tcW w:type="dxa" w:w="458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Mandato, alcance y evidencia</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Proponente del proyecto</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58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val="0"/>
                <w:color w:val="243A36"/>
                <w:sz w:val="16"/>
              </w:rPr>
              <w:t>Titulares de derechos</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58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Entidad ejecutora</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58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val="0"/>
                <w:color w:val="243A36"/>
                <w:sz w:val="16"/>
              </w:rPr>
              <w:t>Responsable técnico NEBIOT</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58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Derechos y permisos diferenciados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315"/>
        <w:gridCol w:w="3315"/>
      </w:tblGrid>
      <w:tr>
        <w:trPr>
          <w:trHeight w:val="446" w:hRule="atLeast"/>
          <w:tblHeader/>
        </w:trPr>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Derecho / permiso / obligación</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Titular, mandato y período</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Evidencia, restricción o disputa</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Conflictos y controles de servicios</w:t>
      </w:r>
    </w:p>
    <w:p>
      <w:pPr>
        <w:keepNext/>
        <w:spacing w:after="100" w:line="259" w:lineRule="auto"/>
      </w:pPr>
      <w:r>
        <w:rPr>
          <w:rFonts w:ascii="Arial" w:hAnsi="Arial"/>
          <w:b w:val="0"/>
          <w:i w:val="0"/>
          <w:color w:val="62716E"/>
          <w:sz w:val="18"/>
        </w:rPr>
        <w:t>Identifique OVV independiente, separación interna de preparación y decisión, revisión del programa y participación excepcional S-26. Registre responsables de ejecución, corrección, incidentes y reparación.</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3" w:name="Section_3"/>
      <w:pPr>
        <w:pStyle w:val="Heading1"/>
        <w:keepNext/>
      </w:pPr>
      <w:r>
        <w:t>03  Territorio, límites y ámbito espacial</w:t>
      </w:r>
      <w:bookmarkEnd w:id="103"/>
    </w:p>
    <w:p>
      <w:pPr>
        <w:keepNext/>
        <w:spacing w:after="180" w:line="259" w:lineRule="auto"/>
      </w:pPr>
      <w:r>
        <w:rPr>
          <w:rFonts w:ascii="Arial" w:hAnsi="Arial"/>
          <w:b w:val="0"/>
          <w:i w:val="0"/>
          <w:color w:val="62716E"/>
          <w:sz w:val="15"/>
        </w:rPr>
        <w:t>[1] Referencia: S-03; S-06; T-03; AO-09; MIG-13; MIG-14; FRM-04/M</w:t>
      </w:r>
    </w:p>
    <w:p>
      <w:pPr>
        <w:pStyle w:val="Heading2"/>
        <w:keepNext/>
      </w:pPr>
      <w:r>
        <w:t>Mapa del proyecto / evidencia espacial</w:t>
      </w:r>
    </w:p>
    <w:p>
      <w:pPr>
        <w:keepNext/>
        <w:spacing w:after="100" w:line="259" w:lineRule="auto"/>
      </w:pPr>
      <w:r>
        <w:rPr>
          <w:rFonts w:ascii="Arial" w:hAnsi="Arial"/>
          <w:b w:val="0"/>
          <w:i w:val="0"/>
          <w:color w:val="62716E"/>
          <w:sz w:val="17"/>
        </w:rPr>
        <w:t>Inserte un mapa legible. Identifique versión del límite, sistema de coordenadas, escala, fecha de observación, fuente, leyenda y restricciones de divulgación. Un mapa inicial no establece derechos ni el límite de un resultado.</w:t>
      </w:r>
    </w:p>
    <w:tbl>
      <w:tblPr>
        <w:tblW w:type="auto" w:w="0"/>
        <w:tblLook w:firstColumn="1" w:firstRow="1" w:lastColumn="0" w:lastRow="0" w:noHBand="0" w:noVBand="1" w:val="04A0"/>
      </w:tblPr>
      <w:tblGrid>
        <w:gridCol w:w="9746"/>
      </w:tblGrid>
      <w:tr>
        <w:trPr>
          <w:trHeight w:val="2088" w:hRule="atLeast"/>
        </w:trPr>
        <w:tc>
          <w:tcPr>
            <w:tcW w:type="dxa" w:w="9746"/>
            <w:shd w:fill="F1F5F2"/>
            <w:vAlign w:val="center"/>
          </w:tcPr>
          <w:p>
            <w:pPr>
              <w:jc w:val="center"/>
            </w:pPr>
            <w:r>
              <w:rPr>
                <w:rFonts w:ascii="Arial" w:hAnsi="Arial"/>
                <w:b/>
                <w:i w:val="0"/>
                <w:color w:val="62716E"/>
                <w:sz w:val="20"/>
              </w:rPr>
              <w:t>[INSERTAR MAPA DEL PROYECTO]</w:t>
            </w:r>
          </w:p>
        </w:tc>
      </w:tr>
    </w:tbl>
    <w:p>
      <w:pPr>
        <w:keepNext w:val="0"/>
        <w:spacing w:after="80" w:line="259" w:lineRule="auto"/>
      </w:pPr>
      <w:r>
        <w:rPr>
          <w:rFonts w:ascii="Arial" w:hAnsi="Arial"/>
          <w:b w:val="0"/>
          <w:i w:val="0"/>
          <w:color w:val="243A36"/>
          <w:sz w:val="2"/>
        </w:rPr>
      </w:r>
    </w:p>
    <w:p>
      <w:pPr>
        <w:pStyle w:val="Heading2"/>
        <w:keepNext/>
      </w:pPr>
      <w:r>
        <w:t>Límites y dominios contables</w:t>
      </w:r>
    </w:p>
    <w:p>
      <w:pPr>
        <w:keepNext/>
        <w:spacing w:before="40" w:after="60"/>
      </w:pPr>
      <w:r>
        <w:rPr>
          <w:rFonts w:ascii="Lato" w:hAnsi="Lato"/>
          <w:color w:val="315B50"/>
          <w:sz w:val="18"/>
        </w:rPr>
        <w:t>PD-T07 / Notación del cálculo</w:t>
      </w:r>
    </w:p>
    <w:p>
      <w:pPr>
        <w:keepNext/>
        <w:spacing w:before="40" w:after="60"/>
      </w:pPr>
      <m:oMath>
        <m:sSub>
          <m:e>
            <m:r>
              <w:rPr>
                <w:sz w:val="18"/>
              </w:rPr>
              <m:t>A</m:t>
            </m:r>
          </m:e>
          <m:sub>
            <m:r>
              <w:rPr>
                <w:sz w:val="18"/>
              </w:rPr>
              <m:t>i</m:t>
            </m:r>
            <m:r>
              <w:rPr>
                <w:sz w:val="18"/>
              </w:rPr>
              <m:rPr>
                <m:sty m:val="p"/>
              </m:rPr>
              <m:t>,</m:t>
            </m:r>
            <m:r>
              <w:rPr>
                <w:sz w:val="18"/>
              </w:rPr>
              <m:t>t</m:t>
            </m:r>
          </m:sub>
        </m:sSub>
        <m:r>
          <w:rPr>
            <w:sz w:val="18"/>
          </w:rPr>
          <m:rPr>
            <m:sty m:val="p"/>
          </m:rPr>
          <m:t>=</m:t>
        </m:r>
        <m:f>
          <m:fPr>
            <m:type m:val="bar"/>
          </m:fPr>
          <m:num>
            <m:sSub>
              <m:e>
                <m:r>
                  <w:rPr>
                    <w:sz w:val="18"/>
                  </w:rPr>
                  <m:t>n</m:t>
                </m:r>
              </m:e>
              <m:sub>
                <m:r>
                  <w:rPr>
                    <w:sz w:val="18"/>
                  </w:rPr>
                  <m:t>i</m:t>
                </m:r>
                <m:r>
                  <w:rPr>
                    <w:sz w:val="18"/>
                  </w:rPr>
                  <m:rPr>
                    <m:sty m:val="p"/>
                  </m:rPr>
                  <m:t>,</m:t>
                </m:r>
                <m:r>
                  <w:rPr>
                    <w:sz w:val="18"/>
                  </w:rPr>
                  <m:t>t</m:t>
                </m:r>
              </m:sub>
            </m:sSub>
            <m:sSub>
              <m:e>
                <m:r>
                  <w:rPr>
                    <w:sz w:val="18"/>
                  </w:rPr>
                  <m:t>a</m:t>
                </m:r>
              </m:e>
              <m:sub>
                <m:r>
                  <w:rPr>
                    <w:sz w:val="18"/>
                  </w:rPr>
                  <m:rPr>
                    <m:sty m:val="p"/>
                  </m:rPr>
                  <m:t>c</m:t>
                </m:r>
                <m:r>
                  <w:rPr>
                    <w:sz w:val="18"/>
                  </w:rPr>
                  <m:rPr>
                    <m:sty m:val="p"/>
                  </m:rPr>
                  <m:t>e</m:t>
                </m:r>
                <m:r>
                  <w:rPr>
                    <w:sz w:val="18"/>
                  </w:rPr>
                  <m:rPr>
                    <m:sty m:val="p"/>
                  </m:rPr>
                  <m:t>l</m:t>
                </m:r>
                <m:r>
                  <w:rPr>
                    <w:sz w:val="18"/>
                  </w:rPr>
                  <m:rPr>
                    <m:sty m:val="p"/>
                  </m:rPr>
                  <m:t>l</m:t>
                </m:r>
              </m:sub>
            </m:sSub>
          </m:num>
          <m:den>
            <m:sSub>
              <m:e>
                <m:r>
                  <w:rPr>
                    <w:sz w:val="18"/>
                  </w:rPr>
                  <m:t>k</m:t>
                </m:r>
              </m:e>
              <m:sub>
                <m:r>
                  <w:rPr>
                    <w:sz w:val="18"/>
                  </w:rPr>
                  <m:t>A</m:t>
                </m:r>
              </m:sub>
            </m:sSub>
          </m:den>
        </m:f>
        <m:r>
          <w:rPr>
            <w:sz w:val="18"/>
          </w:rPr>
          <m:rPr>
            <m:sty m:val="p"/>
          </m:rPr>
          <m:t>,</m:t>
        </m:r>
        <m:r>
          <w:rPr>
            <w:sz w:val="18"/>
          </w:rPr>
          <m:t>  </m:t>
        </m:r>
        <m:sSub>
          <m:e>
            <m:r>
              <w:rPr>
                <w:sz w:val="18"/>
              </w:rPr>
              <m:t>k</m:t>
            </m:r>
          </m:e>
          <m:sub>
            <m:r>
              <w:rPr>
                <w:sz w:val="18"/>
              </w:rPr>
              <m:t>A</m:t>
            </m:r>
          </m:sub>
        </m:sSub>
        <m:r>
          <w:rPr>
            <w:sz w:val="18"/>
          </w:rPr>
          <m:rPr>
            <m:sty m:val="p"/>
          </m:rPr>
          <m:t>=</m:t>
        </m:r>
        <m:sSup>
          <m:e>
            <m:r>
              <w:rPr>
                <w:sz w:val="18"/>
              </w:rPr>
              <m:t>10</m:t>
            </m:r>
          </m:e>
          <m:sup>
            <m:r>
              <w:rPr>
                <w:sz w:val="18"/>
              </w:rPr>
              <m:t>4</m:t>
            </m:r>
          </m:sup>
        </m:sSup>
        <m:r>
          <w:rPr>
            <w:sz w:val="18"/>
          </w:rPr>
          <m:t> </m:t>
        </m:r>
        <m:sSup>
          <m:e>
            <m:r>
              <w:rPr>
                <w:sz w:val="18"/>
              </w:rPr>
              <m:rPr>
                <m:sty m:val="p"/>
              </m:rPr>
              <m:t>m</m:t>
            </m:r>
          </m:e>
          <m:sup>
            <m:r>
              <w:rPr>
                <w:sz w:val="18"/>
              </w:rPr>
              <m:rPr>
                <m:sty m:val="p"/>
              </m:rPr>
              <m:t>2</m:t>
            </m:r>
          </m:sup>
        </m:sSup>
        <m:r>
          <w:rPr>
            <w:sz w:val="18"/>
          </w:rPr>
          <m:rPr>
            <m:sty m:val="p"/>
          </m:rPr>
          <m:t> </m:t>
        </m:r>
        <m:r>
          <w:rPr>
            <w:sz w:val="18"/>
          </w:rPr>
          <m:rPr>
            <m:sty m:val="p"/>
          </m:rPr>
          <m:t>h</m:t>
        </m:r>
        <m:sSup>
          <m:e>
            <m:r>
              <w:rPr>
                <w:sz w:val="18"/>
              </w:rPr>
              <m:rPr>
                <m:sty m:val="p"/>
              </m:rPr>
              <m:t>a</m:t>
            </m:r>
          </m:e>
          <m:sup>
            <m:r>
              <w:rPr>
                <w:sz w:val="18"/>
              </w:rPr>
              <m:rPr>
                <m:sty m:val="p"/>
              </m:rPr>
              <m:t>−</m:t>
            </m:r>
            <m:r>
              <w:rPr>
                <w:sz w:val="18"/>
              </w:rPr>
              <m:rPr>
                <m:sty m:val="p"/>
              </m:rPr>
              <m:t>1</m:t>
            </m:r>
          </m:sup>
        </m:sSup>
      </m:oMath>
    </w:p>
    <w:p>
      <w:pPr>
        <w:keepNext/>
        <w:spacing w:before="40" w:after="60"/>
      </w:pPr>
      <w:r>
        <w:rPr>
          <w:rFonts w:ascii="Lato" w:hAnsi="Lato"/>
          <w:color w:val="315B50"/>
          <w:sz w:val="16"/>
        </w:rPr>
        <w:t>n es conteo de píxeles; a_cell es su área en m2; A es área en ha. La ruta PIXELS usa la conversión geométrica mostrada. El área directa es una entrada documentada. El cambio neto de clase no es deforestación bruta.</w:t>
      </w:r>
    </w:p>
    <w:p>
      <w:pPr>
        <w:keepNext/>
        <w:spacing w:before="40" w:after="60"/>
      </w:pPr>
      <w:r>
        <w:rPr>
          <w:rFonts w:ascii="Lato" w:hAnsi="Lato"/>
          <w:color w:val="315B50"/>
          <w:sz w:val="14"/>
        </w:rPr>
        <w:t>Base: M01; MIG-13; MIG-14 | Libro: Spatial!F:I; Profile!B15</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217"/>
        <w:gridCol w:w="3120"/>
        <w:gridCol w:w="3412"/>
      </w:tblGrid>
      <w:tr>
        <w:trPr>
          <w:trHeight w:val="446" w:hRule="atLeast"/>
          <w:tblHeader/>
        </w:trPr>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Dominio / estrato / máscara elegible</w:t>
            </w:r>
          </w:p>
          <w:p>
            <w:pPr>
              <w:spacing w:before="40" w:after="40"/>
            </w:pPr>
            <m:oMath>
              <m:r>
                <w:rPr>
                  <w:sz w:val="16"/>
                  <w:color w:val="173E34"/>
                </w:rPr>
                <m:t>i</m:t>
              </m:r>
              <m:r>
                <w:rPr>
                  <w:sz w:val="16"/>
                  <w:color w:val="173E34"/>
                </w:rPr>
                <m:rPr>
                  <m:sty m:val="p"/>
                </m:rPr>
                <m:t>,</m:t>
              </m:r>
              <m:r>
                <w:rPr>
                  <w:sz w:val="16"/>
                  <w:color w:val="173E34"/>
                </w:rPr>
                <m:t> </m:t>
              </m:r>
              <m:r>
                <w:rPr>
                  <w:sz w:val="16"/>
                  <w:color w:val="173E34"/>
                </w:rPr>
                <m:t>t</m:t>
              </m:r>
            </m:oMath>
          </w:p>
        </w:tc>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Área, unidad, versión y fecha</w:t>
            </w:r>
          </w:p>
          <w:p>
            <w:pPr>
              <w:spacing w:before="40" w:after="40"/>
            </w:pPr>
            <m:oMath>
              <m:sSub>
                <m:e>
                  <m:r>
                    <w:rPr>
                      <w:sz w:val="16"/>
                      <w:color w:val="173E34"/>
                    </w:rPr>
                    <m:t>A</m:t>
                  </m:r>
                </m:e>
                <m:sub>
                  <m:r>
                    <w:rPr>
                      <w:sz w:val="16"/>
                      <w:color w:val="173E34"/>
                    </w:rPr>
                    <m:t>i</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t>i</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a</m:t>
                  </m:r>
                </m:e>
                <m:sub>
                  <m:r>
                    <w:rPr>
                      <w:sz w:val="16"/>
                      <w:color w:val="173E34"/>
                    </w:rPr>
                    <m:rPr>
                      <m:sty m:val="p"/>
                    </m:rPr>
                    <m:t>c</m:t>
                  </m:r>
                  <m:r>
                    <w:rPr>
                      <w:sz w:val="16"/>
                      <w:color w:val="173E34"/>
                    </w:rPr>
                    <m:rPr>
                      <m:sty m:val="p"/>
                    </m:rPr>
                    <m:t>e</m:t>
                  </m:r>
                  <m:r>
                    <w:rPr>
                      <w:sz w:val="16"/>
                      <w:color w:val="173E34"/>
                    </w:rPr>
                    <m:rPr>
                      <m:sty m:val="p"/>
                    </m:rPr>
                    <m:t>l</m:t>
                  </m:r>
                  <m:r>
                    <w:rPr>
                      <w:sz w:val="16"/>
                      <w:color w:val="173E34"/>
                    </w:rPr>
                    <m:rPr>
                      <m:sty m:val="p"/>
                    </m:rPr>
                    <m:t>l</m:t>
                  </m:r>
                </m:sub>
              </m:sSub>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Relación, exclusiones y evidencia</w:t>
            </w:r>
          </w:p>
          <w:p>
            <w:pPr>
              <w:spacing w:before="40" w:after="40"/>
            </w:pPr>
            <m:oMath>
              <m:r>
                <w:rPr>
                  <w:sz w:val="16"/>
                  <w:color w:val="173E34"/>
                </w:rPr>
                <m:rPr>
                  <m:nor/>
                  <m:sty m:val="p"/>
                </m:rPr>
                <m:t>mask</m:t>
              </m:r>
              <m:r>
                <w:rPr>
                  <w:sz w:val="16"/>
                  <w:color w:val="173E34"/>
                </w:rPr>
                <m:rPr>
                  <m:sty m:val="p"/>
                </m:rPr>
                <m:t>,</m:t>
              </m:r>
              <m:r>
                <w:rPr>
                  <w:sz w:val="16"/>
                  <w:color w:val="173E34"/>
                </w:rPr>
                <m:t> </m:t>
              </m:r>
              <m:r>
                <w:rPr>
                  <w:sz w:val="16"/>
                  <w:color w:val="173E34"/>
                </w:rPr>
                <m:rPr>
                  <m:nor/>
                  <m:sty m:val="p"/>
                </m:rPr>
                <m:t>scope</m:t>
              </m:r>
            </m:oMath>
          </w:p>
        </w:tc>
      </w:tr>
      <w:tr>
        <w:trPr>
          <w:trHeight w:val="446" w:hRule="atLeast"/>
        </w:trPr>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Ficha de entradas espaciales e historia de cambios</w:t>
      </w:r>
    </w:p>
    <w:p>
      <w:pPr>
        <w:keepNext/>
        <w:spacing w:after="100" w:line="259" w:lineRule="auto"/>
      </w:pPr>
      <w:r>
        <w:rPr>
          <w:rFonts w:ascii="Arial" w:hAnsi="Arial"/>
          <w:b w:val="0"/>
          <w:i w:val="0"/>
          <w:color w:val="62716E"/>
          <w:sz w:val="18"/>
        </w:rPr>
        <w:t>Adjunte productos, bandas, unidades, ámbitos, fechas, definición de bosque/eventos, procesamiento, derechos de datos y pruebas independientes. Explique cambios de límites y concilie superposiciones.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4" w:name="Section_4"/>
      <w:pPr>
        <w:pStyle w:val="Heading1"/>
        <w:keepNext/>
      </w:pPr>
      <w:r>
        <w:t>04  Intervenciones, objetivos y diseño causal</w:t>
      </w:r>
      <w:bookmarkEnd w:id="104"/>
    </w:p>
    <w:p>
      <w:pPr>
        <w:keepNext/>
        <w:spacing w:after="180" w:line="259" w:lineRule="auto"/>
      </w:pPr>
      <w:r>
        <w:rPr>
          <w:rFonts w:ascii="Arial" w:hAnsi="Arial"/>
          <w:b w:val="0"/>
          <w:i w:val="0"/>
          <w:color w:val="62716E"/>
          <w:sz w:val="15"/>
        </w:rPr>
        <w:t>[1] Referencia: CYC-05; S-08; S-25; AO-05; AO-06; AO-07; FRM-01/AO</w:t>
      </w:r>
    </w:p>
    <w:p>
      <w:pPr>
        <w:pStyle w:val="Heading2"/>
        <w:keepNext/>
      </w:pPr>
      <w:r>
        <w:t>Registro de intervenciones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217"/>
        <w:gridCol w:w="2632"/>
        <w:gridCol w:w="3900"/>
      </w:tblGrid>
      <w:tr>
        <w:trPr>
          <w:trHeight w:val="446" w:hRule="atLeast"/>
          <w:tblHeader/>
        </w:trPr>
        <w:tc>
          <w:tcPr>
            <w:tcW w:type="dxa" w:w="321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Actividad / ubicación / ejecutor</w:t>
            </w:r>
          </w:p>
        </w:tc>
        <w:tc>
          <w:tcPr>
            <w:tcW w:type="dxa" w:w="263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Causa o barrera abordada</w:t>
            </w:r>
          </w:p>
        </w:tc>
        <w:tc>
          <w:tcPr>
            <w:tcW w:type="dxa" w:w="390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Mecanismo, cambio previsto y evidencia</w:t>
            </w:r>
          </w:p>
        </w:tc>
      </w:tr>
      <w:tr>
        <w:trPr>
          <w:trHeight w:val="446" w:hRule="atLeast"/>
        </w:trPr>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63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63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63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63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Teoría de cambio y límites de evidencia</w:t>
      </w:r>
    </w:p>
    <w:p>
      <w:pPr>
        <w:keepNext/>
        <w:spacing w:after="100" w:line="259" w:lineRule="auto"/>
      </w:pPr>
      <w:r>
        <w:rPr>
          <w:rFonts w:ascii="Arial" w:hAnsi="Arial"/>
          <w:b w:val="0"/>
          <w:i w:val="0"/>
          <w:color w:val="62716E"/>
          <w:sz w:val="18"/>
        </w:rPr>
        <w:t>Explique ruta causal de actividades a respuestas intermedias y resultados ambientales. Incluya mecanismos de gobernanza o medios de vida con sustento y distinga supuestos, explicaciones alternativas y efectos externos.</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pPr>
        <w:pStyle w:val="Heading2"/>
        <w:keepNext/>
      </w:pPr>
      <w:r>
        <w:t>Indicadores de desempeño y decisión</w:t>
      </w:r>
    </w:p>
    <w:p>
      <w:pPr>
        <w:keepNext/>
        <w:spacing w:before="40" w:after="60"/>
      </w:pPr>
      <w:r>
        <w:rPr>
          <w:rFonts w:ascii="Lato" w:hAnsi="Lato"/>
          <w:color w:val="315B50"/>
          <w:sz w:val="18"/>
        </w:rPr>
        <w:t>PD-T09 / Notación del cálculo</w:t>
      </w:r>
    </w:p>
    <w:p>
      <w:pPr>
        <w:keepNext/>
        <w:spacing w:before="40" w:after="60"/>
      </w:pPr>
      <m:oMath>
        <m:r>
          <w:rPr>
            <w:sz w:val="18"/>
          </w:rPr>
          <m:t>Δ</m:t>
        </m:r>
        <m:sSubSup>
          <m:e>
            <m:r>
              <w:rPr>
                <w:sz w:val="18"/>
              </w:rPr>
              <m:t>x</m:t>
            </m:r>
          </m:e>
          <m:sub>
            <m:r>
              <w:rPr>
                <w:sz w:val="18"/>
              </w:rPr>
              <m:t>r</m:t>
            </m:r>
            <m:r>
              <w:rPr>
                <w:sz w:val="18"/>
              </w:rPr>
              <m:rPr>
                <m:sty m:val="p"/>
              </m:rPr>
              <m:t>,</m:t>
            </m:r>
            <m:r>
              <w:rPr>
                <w:sz w:val="18"/>
              </w:rPr>
              <m:t>t</m:t>
            </m:r>
          </m:sub>
          <m:sup>
            <m:r>
              <w:rPr>
                <w:sz w:val="18"/>
              </w:rPr>
              <m:rPr>
                <m:sty m:val="p"/>
              </m:rPr>
              <m:t>a</m:t>
            </m:r>
            <m:r>
              <w:rPr>
                <w:sz w:val="18"/>
              </w:rPr>
              <m:rPr>
                <m:sty m:val="p"/>
              </m:rPr>
              <m:t>d</m:t>
            </m:r>
            <m:r>
              <w:rPr>
                <w:sz w:val="18"/>
              </w:rPr>
              <m:rPr>
                <m:sty m:val="p"/>
              </m:rPr>
              <m:t>d</m:t>
            </m:r>
          </m:sup>
        </m:sSubSup>
        <m:r>
          <w:rPr>
            <w:sz w:val="18"/>
          </w:rPr>
          <m:rPr>
            <m:sty m:val="p"/>
          </m:rPr>
          <m:t>=</m:t>
        </m:r>
        <m:d>
          <m:dPr>
            <m:begChr m:val="("/>
            <m:endChr m:val=")"/>
            <m:sepChr m:val=""/>
            <m:grow/>
          </m:dPr>
          <m:e>
            <m:sSub>
              <m:e>
                <m:r>
                  <w:rPr>
                    <w:sz w:val="18"/>
                  </w:rPr>
                  <m:t>x</m:t>
                </m:r>
              </m:e>
              <m:sub>
                <m:r>
                  <w:rPr>
                    <w:sz w:val="18"/>
                  </w:rPr>
                  <m:t>r</m:t>
                </m:r>
                <m:r>
                  <w:rPr>
                    <w:sz w:val="18"/>
                  </w:rPr>
                  <m:rPr>
                    <m:sty m:val="p"/>
                  </m:rPr>
                  <m:t>,</m:t>
                </m:r>
                <m:r>
                  <w:rPr>
                    <w:sz w:val="18"/>
                  </w:rPr>
                  <m:rPr>
                    <m:sty m:val="p"/>
                  </m:rPr>
                  <m:t>P</m:t>
                </m:r>
                <m:r>
                  <w:rPr>
                    <w:sz w:val="18"/>
                  </w:rPr>
                  <m:rPr>
                    <m:sty m:val="p"/>
                  </m:rPr>
                  <m:t>J</m:t>
                </m:r>
                <m:r>
                  <w:rPr>
                    <w:sz w:val="18"/>
                  </w:rPr>
                  <m:rPr>
                    <m:sty m:val="p"/>
                  </m:rPr>
                  <m:t>,</m:t>
                </m:r>
                <m:sSub>
                  <m:e>
                    <m:r>
                      <w:rPr>
                        <w:sz w:val="18"/>
                      </w:rPr>
                      <m:t>t</m:t>
                    </m:r>
                  </m:e>
                  <m:sub>
                    <m:r>
                      <w:rPr>
                        <w:sz w:val="18"/>
                      </w:rPr>
                      <m:t>1</m:t>
                    </m:r>
                  </m:sub>
                </m:sSub>
              </m:sub>
            </m:sSub>
            <m:r>
              <w:rPr>
                <w:sz w:val="18"/>
              </w:rPr>
              <m:rPr>
                <m:sty m:val="p"/>
              </m:rPr>
              <m:t>−</m:t>
            </m:r>
            <m:sSub>
              <m:e>
                <m:r>
                  <w:rPr>
                    <w:sz w:val="18"/>
                  </w:rPr>
                  <m:t>x</m:t>
                </m:r>
              </m:e>
              <m:sub>
                <m:r>
                  <w:rPr>
                    <w:sz w:val="18"/>
                  </w:rPr>
                  <m:t>r</m:t>
                </m:r>
                <m:r>
                  <w:rPr>
                    <w:sz w:val="18"/>
                  </w:rPr>
                  <m:rPr>
                    <m:sty m:val="p"/>
                  </m:rPr>
                  <m:t>,</m:t>
                </m:r>
                <m:r>
                  <w:rPr>
                    <w:sz w:val="18"/>
                  </w:rPr>
                  <m:rPr>
                    <m:sty m:val="p"/>
                  </m:rPr>
                  <m:t>P</m:t>
                </m:r>
                <m:r>
                  <w:rPr>
                    <w:sz w:val="18"/>
                  </w:rPr>
                  <m:rPr>
                    <m:sty m:val="p"/>
                  </m:rPr>
                  <m:t>J</m:t>
                </m:r>
                <m:r>
                  <w:rPr>
                    <w:sz w:val="18"/>
                  </w:rPr>
                  <m:rPr>
                    <m:sty m:val="p"/>
                  </m:rPr>
                  <m:t>,</m:t>
                </m:r>
                <m:sSub>
                  <m:e>
                    <m:r>
                      <w:rPr>
                        <w:sz w:val="18"/>
                      </w:rPr>
                      <m:t>t</m:t>
                    </m:r>
                  </m:e>
                  <m:sub>
                    <m:r>
                      <w:rPr>
                        <w:sz w:val="18"/>
                      </w:rPr>
                      <m:t>0</m:t>
                    </m:r>
                  </m:sub>
                </m:sSub>
              </m:sub>
            </m:sSub>
          </m:e>
        </m:d>
        <m:r>
          <w:rPr>
            <w:sz w:val="18"/>
          </w:rPr>
          <m:rPr>
            <m:sty m:val="p"/>
          </m:rPr>
          <m:t>−</m:t>
        </m:r>
        <m:d>
          <m:dPr>
            <m:begChr m:val="("/>
            <m:endChr m:val=")"/>
            <m:sepChr m:val=""/>
            <m:grow/>
          </m:dPr>
          <m:e>
            <m:sSub>
              <m:e>
                <m:r>
                  <w:rPr>
                    <w:sz w:val="18"/>
                  </w:rPr>
                  <m:t>x</m:t>
                </m:r>
              </m:e>
              <m:sub>
                <m:r>
                  <w:rPr>
                    <w:sz w:val="18"/>
                  </w:rPr>
                  <m:t>r</m:t>
                </m:r>
                <m:r>
                  <w:rPr>
                    <w:sz w:val="18"/>
                  </w:rPr>
                  <m:rPr>
                    <m:sty m:val="p"/>
                  </m:rPr>
                  <m:t>,</m:t>
                </m:r>
                <m:r>
                  <w:rPr>
                    <w:sz w:val="18"/>
                  </w:rPr>
                  <m:rPr>
                    <m:sty m:val="p"/>
                  </m:rPr>
                  <m:t>B</m:t>
                </m:r>
                <m:r>
                  <w:rPr>
                    <w:sz w:val="18"/>
                  </w:rPr>
                  <m:rPr>
                    <m:sty m:val="p"/>
                  </m:rPr>
                  <m:t>L</m:t>
                </m:r>
                <m:r>
                  <w:rPr>
                    <w:sz w:val="18"/>
                  </w:rPr>
                  <m:rPr>
                    <m:sty m:val="p"/>
                  </m:rPr>
                  <m:t>,</m:t>
                </m:r>
                <m:sSub>
                  <m:e>
                    <m:r>
                      <w:rPr>
                        <w:sz w:val="18"/>
                      </w:rPr>
                      <m:t>t</m:t>
                    </m:r>
                  </m:e>
                  <m:sub>
                    <m:r>
                      <w:rPr>
                        <w:sz w:val="18"/>
                      </w:rPr>
                      <m:t>1</m:t>
                    </m:r>
                  </m:sub>
                </m:sSub>
              </m:sub>
            </m:sSub>
            <m:r>
              <w:rPr>
                <w:sz w:val="18"/>
              </w:rPr>
              <m:rPr>
                <m:sty m:val="p"/>
              </m:rPr>
              <m:t>−</m:t>
            </m:r>
            <m:sSub>
              <m:e>
                <m:r>
                  <w:rPr>
                    <w:sz w:val="18"/>
                  </w:rPr>
                  <m:t>x</m:t>
                </m:r>
              </m:e>
              <m:sub>
                <m:r>
                  <w:rPr>
                    <w:sz w:val="18"/>
                  </w:rPr>
                  <m:t>r</m:t>
                </m:r>
                <m:r>
                  <w:rPr>
                    <w:sz w:val="18"/>
                  </w:rPr>
                  <m:rPr>
                    <m:sty m:val="p"/>
                  </m:rPr>
                  <m:t>,</m:t>
                </m:r>
                <m:r>
                  <w:rPr>
                    <w:sz w:val="18"/>
                  </w:rPr>
                  <m:rPr>
                    <m:sty m:val="p"/>
                  </m:rPr>
                  <m:t>B</m:t>
                </m:r>
                <m:r>
                  <w:rPr>
                    <w:sz w:val="18"/>
                  </w:rPr>
                  <m:rPr>
                    <m:sty m:val="p"/>
                  </m:rPr>
                  <m:t>L</m:t>
                </m:r>
                <m:r>
                  <w:rPr>
                    <w:sz w:val="18"/>
                  </w:rPr>
                  <m:rPr>
                    <m:sty m:val="p"/>
                  </m:rPr>
                  <m:t>,</m:t>
                </m:r>
                <m:sSub>
                  <m:e>
                    <m:r>
                      <w:rPr>
                        <w:sz w:val="18"/>
                      </w:rPr>
                      <m:t>t</m:t>
                    </m:r>
                  </m:e>
                  <m:sub>
                    <m:r>
                      <w:rPr>
                        <w:sz w:val="18"/>
                      </w:rPr>
                      <m:t>0</m:t>
                    </m:r>
                  </m:sub>
                </m:sSub>
              </m:sub>
            </m:sSub>
          </m:e>
        </m:d>
      </m:oMath>
    </w:p>
    <w:p>
      <w:pPr>
        <w:keepNext/>
        <w:spacing w:before="40" w:after="60"/>
      </w:pPr>
      <w:r>
        <w:rPr>
          <w:rFonts w:ascii="Lato" w:hAnsi="Lato"/>
          <w:color w:val="315B50"/>
          <w:sz w:val="16"/>
        </w:rPr>
        <w:t>r identifica un indicador ambiental o social con unidad u_r propia. Es magnitud candidata de M06.1, no conversión aprobada a carbono o NVEU. Reportar atributos por separado y especificar protocolo y soporte observado.</w:t>
      </w:r>
    </w:p>
    <w:p>
      <w:pPr>
        <w:keepNext/>
        <w:spacing w:before="40" w:after="60"/>
      </w:pPr>
      <w:r>
        <w:rPr>
          <w:rFonts w:ascii="Lato" w:hAnsi="Lato"/>
          <w:color w:val="315B50"/>
          <w:sz w:val="14"/>
        </w:rPr>
        <w:t>Base: M06.1; T-10 | Libro: Cuadro separado de indicadores; Evidence!G</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3412"/>
        <w:gridCol w:w="3022"/>
      </w:tblGrid>
      <w:tr>
        <w:trPr>
          <w:trHeight w:val="446" w:hRule="atLeast"/>
          <w:tblHeader/>
        </w:trPr>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Indicador / atributo</w:t>
            </w:r>
          </w:p>
          <w:p>
            <w:pPr>
              <w:spacing w:before="40" w:after="40"/>
            </w:pPr>
            <m:oMath>
              <m:r>
                <w:rPr>
                  <w:sz w:val="16"/>
                  <w:color w:val="173E34"/>
                </w:rPr>
                <m:t>r</m:t>
              </m:r>
              <m:r>
                <w:rPr>
                  <w:sz w:val="16"/>
                  <w:color w:val="173E34"/>
                </w:rPr>
                <m:rPr>
                  <m:sty m:val="p"/>
                </m:rPr>
                <m:t>,</m:t>
              </m:r>
              <m:r>
                <w:rPr>
                  <w:sz w:val="16"/>
                  <w:color w:val="173E34"/>
                </w:rPr>
                <m:t> </m:t>
              </m:r>
              <m:sSub>
                <m:e>
                  <m:r>
                    <w:rPr>
                      <w:sz w:val="16"/>
                      <w:color w:val="173E34"/>
                    </w:rPr>
                    <m:t>t</m:t>
                  </m:r>
                </m:e>
                <m:sub>
                  <m:r>
                    <w:rPr>
                      <w:sz w:val="16"/>
                      <w:color w:val="173E34"/>
                    </w:rPr>
                    <m:t>0</m:t>
                  </m:r>
                </m:sub>
              </m:sSub>
              <m:r>
                <w:rPr>
                  <w:sz w:val="16"/>
                  <w:color w:val="173E34"/>
                </w:rPr>
                <m:rPr>
                  <m:sty m:val="p"/>
                </m:rPr>
                <m:t>,</m:t>
              </m:r>
              <m:r>
                <w:rPr>
                  <w:sz w:val="16"/>
                  <w:color w:val="173E34"/>
                </w:rPr>
                <m:t> </m:t>
              </m:r>
              <m:sSub>
                <m:e>
                  <m:r>
                    <w:rPr>
                      <w:sz w:val="16"/>
                      <w:color w:val="173E34"/>
                    </w:rPr>
                    <m:t>t</m:t>
                  </m:r>
                </m:e>
                <m:sub>
                  <m:r>
                    <w:rPr>
                      <w:sz w:val="16"/>
                      <w:color w:val="173E34"/>
                    </w:rPr>
                    <m:t>1</m:t>
                  </m:r>
                </m:sub>
              </m:sSub>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Evidencia, unidad y frecuencia</w:t>
            </w:r>
          </w:p>
          <w:p>
            <w:pPr>
              <w:spacing w:before="40" w:after="40"/>
            </w:pPr>
            <m:oMath>
              <m:sSub>
                <m:e>
                  <m:r>
                    <w:rPr>
                      <w:sz w:val="16"/>
                      <w:color w:val="173E34"/>
                    </w:rPr>
                    <m:t>x</m:t>
                  </m:r>
                </m:e>
                <m:sub>
                  <m:r>
                    <w:rPr>
                      <w:sz w:val="16"/>
                      <w:color w:val="173E34"/>
                    </w:rPr>
                    <m:t>r</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t> </m:t>
              </m:r>
              <m:d>
                <m:dPr>
                  <m:begChr m:val="["/>
                  <m:endChr m:val="]"/>
                  <m:sepChr m:val=""/>
                  <m:grow/>
                </m:dPr>
                <m:e>
                  <m:sSub>
                    <m:e>
                      <m:r>
                        <w:rPr>
                          <w:sz w:val="16"/>
                          <w:color w:val="173E34"/>
                        </w:rPr>
                        <m:t>u</m:t>
                      </m:r>
                    </m:e>
                    <m:sub>
                      <m:r>
                        <w:rPr>
                          <w:sz w:val="16"/>
                          <w:color w:val="173E34"/>
                        </w:rPr>
                        <m:t>r</m:t>
                      </m:r>
                    </m:sub>
                  </m:sSub>
                </m:e>
              </m:d>
            </m:oMath>
          </w:p>
        </w:tc>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Responsable / desencadenante</w:t>
            </w:r>
          </w:p>
          <w:p>
            <w:pPr>
              <w:spacing w:before="40" w:after="40"/>
            </w:pPr>
            <m:oMath>
              <m:r>
                <w:rPr>
                  <w:sz w:val="16"/>
                  <w:color w:val="173E34"/>
                </w:rPr>
                <m:t>Δ</m:t>
              </m:r>
              <m:sSubSup>
                <m:e>
                  <m:r>
                    <w:rPr>
                      <w:sz w:val="16"/>
                      <w:color w:val="173E34"/>
                    </w:rPr>
                    <m:t>x</m:t>
                  </m:r>
                </m:e>
                <m:sub>
                  <m:r>
                    <w:rPr>
                      <w:sz w:val="16"/>
                      <w:color w:val="173E34"/>
                    </w:rPr>
                    <m:t>r</m:t>
                  </m:r>
                  <m:r>
                    <w:rPr>
                      <w:sz w:val="16"/>
                      <w:color w:val="173E34"/>
                    </w:rPr>
                    <m:rPr>
                      <m:sty m:val="p"/>
                    </m:rPr>
                    <m:t>,</m:t>
                  </m:r>
                  <m:r>
                    <w:rPr>
                      <w:sz w:val="16"/>
                      <w:color w:val="173E34"/>
                    </w:rPr>
                    <m:t>t</m:t>
                  </m:r>
                </m:sub>
                <m:sup>
                  <m:r>
                    <w:rPr>
                      <w:sz w:val="16"/>
                      <w:color w:val="173E34"/>
                    </w:rPr>
                    <m:rPr>
                      <m:sty m:val="p"/>
                    </m:rPr>
                    <m:t>a</m:t>
                  </m:r>
                  <m:r>
                    <w:rPr>
                      <w:sz w:val="16"/>
                      <w:color w:val="173E34"/>
                    </w:rPr>
                    <m:rPr>
                      <m:sty m:val="p"/>
                    </m:rPr>
                    <m:t>d</m:t>
                  </m:r>
                  <m:r>
                    <w:rPr>
                      <w:sz w:val="16"/>
                      <w:color w:val="173E34"/>
                    </w:rPr>
                    <m:rPr>
                      <m:sty m:val="p"/>
                    </m:rPr>
                    <m:t>d</m:t>
                  </m:r>
                </m:sup>
              </m:sSubSup>
            </m:oMath>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r>
        <w:br w:type="page"/>
      </w:r>
    </w:p>
    <w:p>
      <w:bookmarkStart w:id="105" w:name="Section_5"/>
      <w:pPr>
        <w:pStyle w:val="Heading1"/>
        <w:keepNext/>
      </w:pPr>
      <w:r>
        <w:t>05  Métodos, rutas de evidencia y modelos calibrados</w:t>
      </w:r>
      <w:bookmarkEnd w:id="105"/>
    </w:p>
    <w:p>
      <w:pPr>
        <w:keepNext/>
        <w:spacing w:after="180" w:line="259" w:lineRule="auto"/>
      </w:pPr>
      <w:r>
        <w:rPr>
          <w:rFonts w:ascii="Arial" w:hAnsi="Arial"/>
          <w:b w:val="0"/>
          <w:i w:val="0"/>
          <w:color w:val="62716E"/>
          <w:sz w:val="15"/>
        </w:rPr>
        <w:t>[1] Referencia: S-01; S-02; T-01; T-04; T-06; T-07; T-11; T-12; T-13; T-15; FRM-08</w:t>
      </w:r>
    </w:p>
    <w:p>
      <w:pPr>
        <w:pStyle w:val="Heading2"/>
        <w:keepNext/>
      </w:pPr>
      <w:r>
        <w:t>Registro de aplicabilidad y rutas</w:t>
      </w:r>
    </w:p>
    <w:p>
      <w:pPr>
        <w:keepNext/>
        <w:spacing w:before="40" w:after="60"/>
      </w:pPr>
      <w:r>
        <w:rPr>
          <w:rFonts w:ascii="Lato" w:hAnsi="Lato"/>
          <w:color w:val="315B50"/>
          <w:sz w:val="18"/>
        </w:rPr>
        <w:t>PD-T10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3217"/>
        <w:gridCol w:w="3217"/>
      </w:tblGrid>
      <w:tr>
        <w:trPr>
          <w:trHeight w:val="446" w:hRule="atLeast"/>
          <w:tblHeader/>
        </w:trPr>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Módulo / estrato / ruta A, B o C</w:t>
            </w:r>
          </w:p>
          <w:p>
            <w:pPr>
              <w:spacing w:before="40" w:after="40"/>
            </w:pPr>
            <m:oMath>
              <m:sSub>
                <m:e>
                  <m:r>
                    <w:rPr>
                      <w:sz w:val="16"/>
                      <w:color w:val="173E34"/>
                    </w:rPr>
                    <m:t>x</m:t>
                  </m:r>
                </m:e>
                <m:sub>
                  <m:r>
                    <w:rPr>
                      <w:sz w:val="16"/>
                      <w:color w:val="173E34"/>
                    </w:rPr>
                    <m:rPr>
                      <m:sty m:val="p"/>
                    </m:rPr>
                    <m:t>ℓ</m:t>
                  </m:r>
                </m:sub>
              </m:sSub>
            </m:oMath>
          </w:p>
        </w:tc>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Entradas, dominios y exclusiones</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Versión, calificación y evidencia</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Implementación NEB001 y pruebas independientes</w:t>
      </w:r>
    </w:p>
    <w:p>
      <w:pPr>
        <w:keepNext/>
        <w:spacing w:after="100" w:line="259" w:lineRule="auto"/>
      </w:pPr>
      <w:r>
        <w:rPr>
          <w:rFonts w:ascii="Arial" w:hAnsi="Arial"/>
          <w:b w:val="0"/>
          <w:i w:val="0"/>
          <w:color w:val="62716E"/>
          <w:sz w:val="18"/>
        </w:rPr>
        <w:t>Referencie evidencia de campo y florística, CCA y gradientes, pertenencia, inferencia, MOM, reglas y parámetros, coherencia temporal, error de clasificación y diseño de referencia independiente.</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pPr>
        <w:pStyle w:val="Heading2"/>
        <w:keepNext/>
      </w:pPr>
      <w:r>
        <w:t>Referencia, estimación y transferencia NEB002</w:t>
      </w:r>
    </w:p>
    <w:p>
      <w:pPr>
        <w:keepNext/>
        <w:spacing w:after="100" w:line="259" w:lineRule="auto"/>
      </w:pPr>
      <w:r>
        <w:rPr>
          <w:rFonts w:ascii="Arial" w:hAnsi="Arial"/>
          <w:b w:val="0"/>
          <w:i w:val="0"/>
          <w:color w:val="62716E"/>
          <w:sz w:val="18"/>
        </w:rPr>
        <w:t>Referencie órganos disjuntos, volumen, densidad, fracciones tisulares, controles y agregación de parcelas; o biblioteca / evidencia secundaria calificada seleccionada. Documente registros reales, pruebas independientes, límites de transferencia y pruebas fallidas cuando correspondan.</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6" w:name="Section_6"/>
      <w:pPr>
        <w:pStyle w:val="Heading1"/>
        <w:keepNext/>
      </w:pPr>
      <w:r>
        <w:t>06  Línea base, causas y relaciones de referencia aplicables</w:t>
      </w:r>
      <w:bookmarkEnd w:id="106"/>
    </w:p>
    <w:p>
      <w:pPr>
        <w:keepNext/>
        <w:spacing w:after="180" w:line="259" w:lineRule="auto"/>
      </w:pPr>
      <w:r>
        <w:rPr>
          <w:rFonts w:ascii="Arial" w:hAnsi="Arial"/>
          <w:b w:val="0"/>
          <w:i w:val="0"/>
          <w:color w:val="62716E"/>
          <w:sz w:val="15"/>
        </w:rPr>
        <w:t>[1] Referencia: S-05; S-09; AO-05; MIG-03; MIG-05; FRM-05</w:t>
      </w:r>
    </w:p>
    <w:p>
      <w:pPr>
        <w:pStyle w:val="Heading2"/>
        <w:keepNext/>
      </w:pPr>
      <w:r>
        <w:t>Comparación de escenarios de línea base</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412"/>
        <w:gridCol w:w="3217"/>
      </w:tblGrid>
      <w:tr>
        <w:trPr>
          <w:trHeight w:val="446" w:hRule="atLeast"/>
          <w:tblHeader/>
        </w:trPr>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Alternativa / causa / dominio</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Evidencia histórica y actual</w:t>
            </w:r>
          </w:p>
        </w:tc>
        <w:tc>
          <w:tcPr>
            <w:tcW w:type="dxa" w:w="321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Credibilidad, selección y rechazo</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Línea base elegida y distribución espacial / temporal</w:t>
      </w:r>
    </w:p>
    <w:p>
      <w:pPr>
        <w:keepNext/>
        <w:spacing w:after="100" w:line="259" w:lineRule="auto"/>
      </w:pPr>
      <w:r>
        <w:rPr>
          <w:rFonts w:ascii="Arial" w:hAnsi="Arial"/>
          <w:b w:val="0"/>
          <w:i w:val="0"/>
          <w:color w:val="62716E"/>
          <w:sz w:val="18"/>
        </w:rPr>
        <w:t>Indique ruta, dominio de referencia, serie histórica, períodos y método de distribución. Distinga uso real, preparación y conversión anticipada. Identifique referencias nacionales, anidación o relaciones contables exigibles mediante registro fechado.</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pPr>
        <w:pStyle w:val="Heading2"/>
        <w:keepNext/>
      </w:pPr>
      <w:r>
        <w:t>Vigencia, sensibilidad y reevaluación controlada</w:t>
      </w:r>
    </w:p>
    <w:p>
      <w:pPr>
        <w:keepNext/>
        <w:spacing w:after="100" w:line="259" w:lineRule="auto"/>
      </w:pPr>
      <w:r>
        <w:rPr>
          <w:rFonts w:ascii="Arial" w:hAnsi="Arial"/>
          <w:b w:val="0"/>
          <w:i w:val="0"/>
          <w:color w:val="62716E"/>
          <w:sz w:val="18"/>
        </w:rPr>
        <w:t>Documente sensibilidad, transferencia de evidencia, cambios de causas, condiciones de reevaluación y conciliación con versiones previas. Los cambios no reinician silenciosamente edad, línea base ni obligaciones.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7" w:name="Section_7"/>
      <w:pPr>
        <w:pStyle w:val="Heading1"/>
        <w:keepNext/>
      </w:pPr>
      <w:r>
        <w:t>07  Adicionalidad y continuidad adaptativa</w:t>
      </w:r>
      <w:bookmarkEnd w:id="107"/>
    </w:p>
    <w:p>
      <w:pPr>
        <w:keepNext/>
        <w:spacing w:after="180" w:line="259" w:lineRule="auto"/>
      </w:pPr>
      <w:r>
        <w:rPr>
          <w:rFonts w:ascii="Arial" w:hAnsi="Arial"/>
          <w:b w:val="0"/>
          <w:i w:val="0"/>
          <w:color w:val="62716E"/>
          <w:sz w:val="15"/>
        </w:rPr>
        <w:t>[1] Referencia: S-08; AO-06; AO-07; AO-08; AO-10; AO-11; FRM-01/AO; FRM-02/AO</w:t>
      </w:r>
    </w:p>
    <w:p>
      <w:pPr>
        <w:pStyle w:val="Heading2"/>
        <w:keepNext/>
      </w:pPr>
      <w:r>
        <w:t>Pruebas de adicionalidad aplicables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510"/>
        <w:gridCol w:w="3120"/>
      </w:tblGrid>
      <w:tr>
        <w:trPr>
          <w:trHeight w:val="446" w:hRule="atLeast"/>
          <w:tblHeader/>
        </w:trPr>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Prueba / intervención / período</w:t>
            </w:r>
          </w:p>
        </w:tc>
        <w:tc>
          <w:tcPr>
            <w:tcW w:type="dxa" w:w="351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Evidencia y contrafáctico</w:t>
            </w:r>
          </w:p>
        </w:tc>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Conclusión, límites y desencadenante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Deberes, práctica común y financiación cuando aplique</w:t>
      </w:r>
    </w:p>
    <w:p>
      <w:pPr>
        <w:keepNext/>
        <w:spacing w:after="100" w:line="259" w:lineRule="auto"/>
      </w:pPr>
      <w:r>
        <w:rPr>
          <w:rFonts w:ascii="Arial" w:hAnsi="Arial"/>
          <w:b w:val="0"/>
          <w:i w:val="0"/>
          <w:color w:val="62716E"/>
          <w:sz w:val="18"/>
        </w:rPr>
        <w:t>Explique cumplimiento de cada prueba adoptada con evidencia fechada. Distinga cumplimiento de deberes de evidencia de efecto adicional. Aborde intervenciones previas y concurrentes sin suponer territorio no intervenido.</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pPr>
        <w:pStyle w:val="Heading2"/>
        <w:keepNext/>
      </w:pPr>
      <w:r>
        <w:t>Plan de revisión de adicionalidad continuada</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412"/>
        <w:gridCol w:w="3217"/>
      </w:tblGrid>
      <w:tr>
        <w:trPr>
          <w:trHeight w:val="446" w:hRule="atLeast"/>
          <w:tblHeader/>
        </w:trPr>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Indicador / cambio de condición</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Evidencia, frecuencia o evento</w:t>
            </w:r>
          </w:p>
        </w:tc>
        <w:tc>
          <w:tcPr>
            <w:tcW w:type="dxa" w:w="321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Revisor, acción y registro controlado</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r>
        <w:br w:type="page"/>
      </w:r>
    </w:p>
    <w:p>
      <w:bookmarkStart w:id="108" w:name="Section_8"/>
      <w:pPr>
        <w:pStyle w:val="Heading1"/>
        <w:keepNext/>
      </w:pPr>
      <w:r>
        <w:t>08  Traslapes, iniciativas concurrentes y migración</w:t>
      </w:r>
      <w:bookmarkEnd w:id="108"/>
    </w:p>
    <w:p>
      <w:pPr>
        <w:keepNext/>
        <w:spacing w:after="180" w:line="259" w:lineRule="auto"/>
      </w:pPr>
      <w:r>
        <w:rPr>
          <w:rFonts w:ascii="Arial" w:hAnsi="Arial"/>
          <w:b w:val="0"/>
          <w:i w:val="0"/>
          <w:color w:val="62716E"/>
          <w:sz w:val="15"/>
        </w:rPr>
        <w:t>[1] Referencia: AO-01; AO-02; AO-04; AO-09; AO-10; AO-11; AO-12; MIG-02; MIG-06; MIG-07; MIG-12; MIG-17; FRM-04/AO; FRM-04/M</w:t>
      </w:r>
    </w:p>
    <w:p>
      <w:pPr>
        <w:pStyle w:val="Heading2"/>
        <w:keepNext/>
      </w:pPr>
      <w:r>
        <w:t>Evaluación de traslapes por resultado</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3315"/>
        <w:gridCol w:w="3120"/>
      </w:tblGrid>
      <w:tr>
        <w:trPr>
          <w:trHeight w:val="446" w:hRule="atLeast"/>
          <w:tblHeader/>
        </w:trPr>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Iniciativa / geografía / período / atributo</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Facultades, intervenciones e historia de uso</w:t>
            </w:r>
          </w:p>
        </w:tc>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Hallazgo, evidencia de asignación o retención</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Conciliación y unicidad</w:t>
      </w:r>
    </w:p>
    <w:p>
      <w:pPr>
        <w:keepNext/>
        <w:spacing w:after="100" w:line="259" w:lineRule="auto"/>
      </w:pPr>
      <w:r>
        <w:rPr>
          <w:rFonts w:ascii="Arial" w:hAnsi="Arial"/>
          <w:b w:val="0"/>
          <w:i w:val="0"/>
          <w:color w:val="62716E"/>
          <w:sz w:val="18"/>
        </w:rPr>
        <w:t>Separe intersección geográfica, facultad legítima, adicionalidad y duplicidad. Identifique efectos causales comunes; no asigne a cada iniciativa todo el resultado común. Registre ámbito espacial y temporal real, no solo identificador.</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pPr>
        <w:pStyle w:val="Heading2"/>
        <w:keepNext/>
      </w:pPr>
      <w:r>
        <w:t>Migración y obligaciones históricas, cuando aplique</w:t>
      </w:r>
    </w:p>
    <w:p>
      <w:pPr>
        <w:keepNext/>
        <w:spacing w:before="40" w:after="60"/>
      </w:pPr>
      <w:r>
        <w:rPr>
          <w:rFonts w:ascii="Lato" w:hAnsi="Lato"/>
          <w:color w:val="315B50"/>
          <w:sz w:val="18"/>
        </w:rPr>
        <w:t>PD-T15 / Notación del cálculo</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conserva resultado original; harm aplica método original a base comparable acordada; NEB es resultado receptor sobre esa base. La identidad telescópica explica diferencias, no elegibilidad. No forzar diferencia metodológica cero.</w:t>
      </w:r>
    </w:p>
    <w:p>
      <w:pPr>
        <w:keepNext/>
        <w:spacing w:before="40" w:after="60"/>
      </w:pPr>
      <w:r>
        <w:rPr>
          <w:rFonts w:ascii="Lato" w:hAnsi="Lato"/>
          <w:color w:val="315B50"/>
          <w:sz w:val="14"/>
        </w:rPr>
        <w:t>Base: MIG-05; P-13; identidad de conciliación | Libro: Migration!E:K</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022"/>
        <w:gridCol w:w="3607"/>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Origen / método / registro</w:t>
            </w:r>
          </w:p>
          <w:p>
            <w:pPr>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Estado, cantidad y período</w:t>
            </w:r>
          </w:p>
          <w:p>
            <w:pPr>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60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Transición y responsabilidad pendiente</w:t>
            </w:r>
          </w:p>
          <w:p>
            <w:pPr>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60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60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60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Conserve registros de origen, otras unidades de carbono externas e historia de uso, reversiones y obligaciones de reserva. Se permite reutilizar mapas calificados. Cancelar no autoriza emisión de reemplazo ni crea un beneficio ambiental nuevo.</w:t>
      </w:r>
    </w:p>
    <w:p>
      <w:r>
        <w:br w:type="page"/>
      </w:r>
    </w:p>
    <w:p>
      <w:bookmarkStart w:id="109" w:name="Section_9"/>
      <w:pPr>
        <w:pStyle w:val="Heading1"/>
        <w:keepNext/>
      </w:pPr>
      <w:r>
        <w:t>09  Cuantificación y cuenta ambiental reproducible</w:t>
      </w:r>
      <w:bookmarkEnd w:id="109"/>
    </w:p>
    <w:p>
      <w:pPr>
        <w:keepNext/>
        <w:spacing w:after="180" w:line="259" w:lineRule="auto"/>
      </w:pPr>
      <w:r>
        <w:rPr>
          <w:rFonts w:ascii="Arial" w:hAnsi="Arial"/>
          <w:b w:val="0"/>
          <w:i w:val="0"/>
          <w:color w:val="62716E"/>
          <w:sz w:val="15"/>
        </w:rPr>
        <w:t>[1] Referencia: F-01; T-05; T-08; T-09; CYC-05; FRM-02</w:t>
      </w:r>
    </w:p>
    <w:p>
      <w:pPr>
        <w:pStyle w:val="Heading2"/>
        <w:keepNext/>
      </w:pPr>
      <w:r>
        <w:t>Cadena de cálculo y procedencia</w:t>
      </w:r>
    </w:p>
    <w:p>
      <w:pPr>
        <w:keepNext/>
        <w:spacing w:before="40" w:after="60"/>
      </w:pPr>
      <w:r>
        <w:rPr>
          <w:rFonts w:ascii="Lato" w:hAnsi="Lato"/>
          <w:color w:val="315B50"/>
          <w:sz w:val="18"/>
        </w:rPr>
        <w:t>PD-T16 / Notación del cálculo</w:t>
      </w:r>
    </w:p>
    <w:p>
      <w:pPr>
        <w:keepNext/>
        <w:spacing w:before="40" w:after="60"/>
      </w:pPr>
      <m:oMath>
        <m:sSub>
          <m:e>
            <m:r>
              <w:rPr>
                <w:sz w:val="18"/>
              </w:rPr>
              <m:t>q</m:t>
            </m:r>
          </m:e>
          <m:sub>
            <m:r>
              <w:rPr>
                <w:sz w:val="18"/>
              </w:rPr>
              <m:rPr>
                <m:sty m:val="p"/>
              </m:rPr>
              <m:t>ℓ</m:t>
            </m:r>
            <m:r>
              <w:rPr>
                <w:sz w:val="18"/>
              </w:rPr>
              <m:rPr>
                <m:sty m:val="p"/>
              </m:rPr>
              <m:t>,</m:t>
            </m:r>
            <m:r>
              <w:rPr>
                <w:sz w:val="18"/>
              </w:rPr>
              <m:t>s</m:t>
            </m:r>
            <m:r>
              <w:rPr>
                <w:sz w:val="18"/>
              </w:rPr>
              <m:rPr>
                <m:sty m:val="p"/>
              </m:rPr>
              <m:t>,</m:t>
            </m:r>
            <m:r>
              <w:rPr>
                <w:sz w:val="18"/>
              </w:rPr>
              <m:t>t</m:t>
            </m:r>
          </m:sub>
        </m:sSub>
        <m:r>
          <w:rPr>
            <w:sz w:val="18"/>
          </w:rPr>
          <m:rPr>
            <m:sty m:val="p"/>
          </m:rPr>
          <m:t>=</m:t>
        </m:r>
        <m:sSub>
          <m:e>
            <m:r>
              <w:rPr>
                <w:sz w:val="18"/>
              </w:rPr>
              <m:t>x</m:t>
            </m:r>
          </m:e>
          <m:sub>
            <m:r>
              <w:rPr>
                <w:sz w:val="18"/>
              </w:rPr>
              <m:rPr>
                <m:sty m:val="p"/>
              </m:rPr>
              <m:t>ℓ</m:t>
            </m:r>
            <m:r>
              <w:rPr>
                <w:sz w:val="18"/>
              </w:rPr>
              <m:rPr>
                <m:sty m:val="p"/>
              </m:rPr>
              <m:t>,</m:t>
            </m:r>
            <m:r>
              <w:rPr>
                <w:sz w:val="18"/>
              </w:rPr>
              <m:t>s</m:t>
            </m:r>
            <m:r>
              <w:rPr>
                <w:sz w:val="18"/>
              </w:rPr>
              <m:rPr>
                <m:sty m:val="p"/>
              </m:rPr>
              <m:t>,</m:t>
            </m:r>
            <m:r>
              <w:rPr>
                <w:sz w:val="18"/>
              </w:rPr>
              <m:t>t</m:t>
            </m:r>
          </m:sub>
        </m:sSub>
        <m:sSub>
          <m:e>
            <m:r>
              <w:rPr>
                <w:sz w:val="18"/>
              </w:rPr>
              <m:t>f</m:t>
            </m:r>
          </m:e>
          <m:sub>
            <m:r>
              <w:rPr>
                <w:sz w:val="18"/>
              </w:rPr>
              <m:rPr>
                <m:sty m:val="p"/>
              </m:rPr>
              <m:t>ℓ</m:t>
            </m:r>
            <m:r>
              <w:rPr>
                <w:sz w:val="18"/>
              </w:rPr>
              <m:rPr>
                <m:sty m:val="p"/>
              </m:rPr>
              <m:t>,</m:t>
            </m:r>
            <m:r>
              <w:rPr>
                <w:sz w:val="18"/>
              </w:rPr>
              <m:t>s</m:t>
            </m:r>
            <m:r>
              <w:rPr>
                <w:sz w:val="18"/>
              </w:rPr>
              <m:rPr>
                <m:sty m:val="p"/>
              </m:rPr>
              <m:t>,</m:t>
            </m:r>
            <m:r>
              <w:rPr>
                <w:sz w:val="18"/>
              </w:rPr>
              <m:t>t</m:t>
            </m:r>
          </m:sub>
        </m:sSub>
      </m:oMath>
    </w:p>
    <w:p>
      <w:pPr>
        <w:keepNext/>
        <w:spacing w:before="40" w:after="60"/>
      </w:pPr>
      <m:oMath>
        <m:sSub>
          <m:e>
            <m:r>
              <w:rPr>
                <w:sz w:val="18"/>
              </w:rPr>
              <m:t>N</m:t>
            </m:r>
          </m:e>
          <m:sub>
            <m:r>
              <w:rPr>
                <w:sz w:val="18"/>
              </w:rPr>
              <m:t>s</m:t>
            </m:r>
            <m:r>
              <w:rPr>
                <w:sz w:val="18"/>
              </w:rPr>
              <m:rPr>
                <m:sty m:val="p"/>
              </m:rPr>
              <m:t>,</m:t>
            </m:r>
            <m:r>
              <w:rPr>
                <w:sz w:val="18"/>
              </w:rPr>
              <m:t>t</m:t>
            </m:r>
          </m:sub>
        </m:sSub>
        <m:r>
          <w:rPr>
            <w:sz w:val="18"/>
          </w:rPr>
          <m:rPr>
            <m:sty m:val="p"/>
          </m:rPr>
          <m:t>=</m:t>
        </m:r>
        <m:nary>
          <m:naryPr>
            <m:chr m:val="∑"/>
            <m:limLoc m:val="undOvr"/>
            <m:subHide m:val="off"/>
            <m:supHide m:val="on"/>
          </m:naryPr>
          <m:sub>
            <m:r>
              <w:rPr>
                <w:sz w:val="18"/>
              </w:rPr>
              <m:rPr>
                <m:sty m:val="p"/>
              </m:rPr>
              <m:t>ℓ</m:t>
            </m:r>
            <m:r>
              <w:rPr>
                <w:sz w:val="18"/>
              </w:rPr>
              <m:rPr>
                <m:sty m:val="p"/>
              </m:rPr>
              <m:t>∈</m:t>
            </m:r>
            <m:sSub>
              <m:e>
                <m:r>
                  <w:rPr>
                    <w:sz w:val="18"/>
                  </w:rPr>
                  <m:rPr>
                    <m:sty m:val="p"/>
                    <m:scr m:val="script"/>
                  </m:rPr>
                  <m:t>I</m:t>
                </m:r>
              </m:e>
              <m:sub>
                <m:r>
                  <w:rPr>
                    <w:sz w:val="18"/>
                  </w:rPr>
                  <m:t>s</m:t>
                </m:r>
                <m:r>
                  <w:rPr>
                    <w:sz w:val="18"/>
                  </w:rPr>
                  <m:rPr>
                    <m:sty m:val="p"/>
                  </m:rPr>
                  <m:t>,</m:t>
                </m:r>
                <m:r>
                  <w:rPr>
                    <w:sz w:val="18"/>
                  </w:rPr>
                  <m:t>t</m:t>
                </m:r>
              </m:sub>
            </m:sSub>
          </m:sub>
          <m:sup>
            <m:r>
              <w:rPr>
                <w:sz w:val="18"/>
              </w:rPr>
              <m:t>​</m:t>
            </m:r>
          </m:sup>
          <m:e>
            <m:sSub>
              <m:e>
                <m:r>
                  <w:rPr>
                    <w:sz w:val="18"/>
                  </w:rPr>
                  <m:t>q</m:t>
                </m:r>
              </m:e>
              <m:sub>
                <m:r>
                  <w:rPr>
                    <w:sz w:val="18"/>
                  </w:rPr>
                  <m:rPr>
                    <m:sty m:val="p"/>
                  </m:rPr>
                  <m:t>ℓ</m:t>
                </m:r>
                <m:r>
                  <w:rPr>
                    <w:sz w:val="18"/>
                  </w:rPr>
                  <m:rPr>
                    <m:sty m:val="p"/>
                  </m:rPr>
                  <m:t>,</m:t>
                </m:r>
                <m:r>
                  <w:rPr>
                    <w:sz w:val="18"/>
                  </w:rPr>
                  <m:t>s</m:t>
                </m:r>
                <m:r>
                  <w:rPr>
                    <w:sz w:val="18"/>
                  </w:rPr>
                  <m:rPr>
                    <m:sty m:val="p"/>
                  </m:rPr>
                  <m:t>,</m:t>
                </m:r>
                <m:r>
                  <w:rPr>
                    <w:sz w:val="18"/>
                  </w:rPr>
                  <m:t>t</m:t>
                </m:r>
              </m:sub>
            </m:sSub>
          </m:e>
        </m:nary>
      </m:oMath>
    </w:p>
    <w:p>
      <w:pPr>
        <w:keepNext/>
        <w:spacing w:before="40" w:after="60"/>
      </w:pPr>
      <w:r>
        <w:rPr>
          <w:rFonts w:ascii="Lato" w:hAnsi="Lato"/>
          <w:color w:val="315B50"/>
          <w:sz w:val="16"/>
        </w:rPr>
        <w:t>Las unidades de x y f producen t CO2e por período. I contiene componentes incluidos, sustentados y disjuntos de igual base, período y cuenta. Para masa precalculada, f=1 se ingresa explícitamente con su significado. BL y PJ son emisiones netas; LK es fuga atribuible.</w:t>
      </w:r>
    </w:p>
    <w:p>
      <w:pPr>
        <w:keepNext/>
        <w:spacing w:before="40" w:after="60"/>
      </w:pPr>
      <w:r>
        <w:rPr>
          <w:rFonts w:ascii="Lato" w:hAnsi="Lato"/>
          <w:color w:val="315B50"/>
          <w:sz w:val="14"/>
        </w:rPr>
        <w:t>Base: M04.4; M04.5; T-08; implementación aritmética | Libro: Components!G:I; ExAnte!F:H; ExPost!F:H</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510"/>
        <w:gridCol w:w="3120"/>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Paso / ecuaciones / resultado</w:t>
            </w:r>
          </w:p>
          <w:p>
            <w:pPr>
              <w:spacing w:before="40" w:after="40"/>
            </w:pPr>
            <m:oMath>
              <m:r>
                <w:rPr>
                  <w:sz w:val="16"/>
                  <w:color w:val="173E34"/>
                </w:rPr>
                <m:rPr>
                  <m:sty m:val="p"/>
                </m:rPr>
                <m:t>ℓ</m:t>
              </m:r>
              <m:r>
                <w:rPr>
                  <w:sz w:val="16"/>
                  <w:color w:val="173E34"/>
                </w:rPr>
                <m:rPr>
                  <m:sty m:val="p"/>
                </m:rPr>
                <m:t>,</m:t>
              </m:r>
              <m:r>
                <w:rPr>
                  <w:sz w:val="16"/>
                  <w:color w:val="173E34"/>
                </w:rPr>
                <m:t> </m:t>
              </m:r>
              <m:r>
                <w:rPr>
                  <w:sz w:val="16"/>
                  <w:color w:val="173E34"/>
                </w:rPr>
                <m:t>s</m:t>
              </m:r>
              <m:r>
                <w:rPr>
                  <w:sz w:val="16"/>
                  <w:color w:val="173E34"/>
                </w:rPr>
                <m:rPr>
                  <m:sty m:val="p"/>
                </m:rPr>
                <m:t>,</m:t>
              </m:r>
              <m:r>
                <w:rPr>
                  <w:sz w:val="16"/>
                  <w:color w:val="173E34"/>
                </w:rPr>
                <m:t> </m:t>
              </m:r>
              <m:r>
                <w:rPr>
                  <w:sz w:val="16"/>
                  <w:color w:val="173E34"/>
                </w:rPr>
                <m:t>t</m:t>
              </m:r>
            </m:oMath>
          </w:p>
        </w:tc>
        <w:tc>
          <w:tcPr>
            <w:tcW w:type="dxa" w:w="351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ID, unidades, período y ámbito</w:t>
            </w:r>
          </w:p>
          <w:p>
            <w:pPr>
              <w:spacing w:before="40" w:after="40"/>
            </w:pPr>
            <m:oMath>
              <m:sSub>
                <m:e>
                  <m:r>
                    <w:rPr>
                      <w:sz w:val="16"/>
                      <w:color w:val="173E34"/>
                    </w:rPr>
                    <m:t>x</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f</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oMath>
          </w:p>
        </w:tc>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Resultado, estado y ubicación de cálculo</w:t>
            </w:r>
          </w:p>
          <w:p>
            <w:pPr>
              <w:spacing w:before="40" w:after="40"/>
            </w:pPr>
            <m:oMath>
              <m:sSub>
                <m:e>
                  <m:r>
                    <w:rPr>
                      <w:sz w:val="16"/>
                      <w:color w:val="173E34"/>
                    </w:rPr>
                    <m:t>q</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t>s</m:t>
                  </m:r>
                  <m:r>
                    <w:rPr>
                      <w:sz w:val="16"/>
                      <w:color w:val="173E34"/>
                    </w:rPr>
                    <m:rPr>
                      <m:sty m:val="p"/>
                    </m:rPr>
                    <m:t>,</m:t>
                  </m:r>
                  <m:r>
                    <w:rPr>
                      <w:sz w:val="16"/>
                      <w:color w:val="173E34"/>
                    </w:rPr>
                    <m:t>t</m:t>
                  </m:r>
                </m:sub>
              </m:sSub>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Cuentas comparables de escenarios y fugas</w:t>
      </w:r>
    </w:p>
    <w:p>
      <w:pPr>
        <w:keepNext/>
        <w:spacing w:before="40" w:after="60"/>
      </w:pPr>
      <w:r>
        <w:rPr>
          <w:rFonts w:ascii="Lato" w:hAnsi="Lato"/>
          <w:color w:val="315B50"/>
          <w:sz w:val="18"/>
        </w:rPr>
        <w:t>PD-T17 / Notación del cálculo</w:t>
      </w:r>
    </w:p>
    <w:p>
      <w:pPr>
        <w:keepNext/>
        <w:spacing w:before="40" w:after="60"/>
      </w:pPr>
      <m:oMath>
        <m:sSubSup>
          <m:e>
            <m:acc>
              <m:accPr>
                <m:chr m:val="̂"/>
              </m:accPr>
              <m:e>
                <m:r>
                  <w:rPr>
                    <w:sz w:val="18"/>
                  </w:rPr>
                  <m:t>Q</m:t>
                </m:r>
              </m:e>
            </m:acc>
          </m:e>
          <m:sub>
            <m:r>
              <w:rPr>
                <w:sz w:val="18"/>
              </w:rPr>
              <m:t>t</m:t>
            </m:r>
          </m:sub>
          <m:sup>
            <m:r>
              <w:rPr>
                <w:sz w:val="18"/>
              </w:rPr>
              <m:t>z</m:t>
            </m:r>
          </m:sup>
        </m:sSubSup>
        <m:r>
          <w:rPr>
            <w:sz w:val="18"/>
          </w:rPr>
          <m:rPr>
            <m:sty m:val="p"/>
          </m:rPr>
          <m:t>=</m:t>
        </m:r>
        <m:sSubSup>
          <m:e>
            <m:r>
              <w:rPr>
                <w:sz w:val="18"/>
              </w:rPr>
              <m:t>N</m:t>
            </m:r>
          </m:e>
          <m:sub>
            <m:r>
              <w:rPr>
                <w:sz w:val="18"/>
              </w:rPr>
              <m:rPr>
                <m:sty m:val="p"/>
              </m:rPr>
              <m:t>B</m:t>
            </m:r>
            <m:r>
              <w:rPr>
                <w:sz w:val="18"/>
              </w:rPr>
              <m:rPr>
                <m:sty m:val="p"/>
              </m:rPr>
              <m:t>L</m:t>
            </m:r>
            <m:r>
              <w:rPr>
                <w:sz w:val="18"/>
              </w:rPr>
              <m:rPr>
                <m:sty m:val="p"/>
              </m:rPr>
              <m:t>,</m:t>
            </m:r>
            <m:r>
              <w:rPr>
                <w:sz w:val="18"/>
              </w:rPr>
              <m:t>t</m:t>
            </m:r>
          </m:sub>
          <m:sup>
            <m:r>
              <w:rPr>
                <w:sz w:val="18"/>
              </w:rPr>
              <m:t>z</m:t>
            </m:r>
          </m:sup>
        </m:sSubSup>
        <m:r>
          <w:rPr>
            <w:sz w:val="18"/>
          </w:rPr>
          <m:rPr>
            <m:sty m:val="p"/>
          </m:rPr>
          <m:t>−</m:t>
        </m:r>
        <m:sSubSup>
          <m:e>
            <m:r>
              <w:rPr>
                <w:sz w:val="18"/>
              </w:rPr>
              <m:t>N</m:t>
            </m:r>
          </m:e>
          <m:sub>
            <m:r>
              <w:rPr>
                <w:sz w:val="18"/>
              </w:rPr>
              <m:rPr>
                <m:sty m:val="p"/>
              </m:rPr>
              <m:t>P</m:t>
            </m:r>
            <m:r>
              <w:rPr>
                <w:sz w:val="18"/>
              </w:rPr>
              <m:rPr>
                <m:sty m:val="p"/>
              </m:rPr>
              <m:t>J</m:t>
            </m:r>
            <m:r>
              <w:rPr>
                <w:sz w:val="18"/>
              </w:rPr>
              <m:rPr>
                <m:sty m:val="p"/>
              </m:rPr>
              <m:t>,</m:t>
            </m:r>
            <m:r>
              <w:rPr>
                <w:sz w:val="18"/>
              </w:rPr>
              <m:t>t</m:t>
            </m:r>
          </m:sub>
          <m:sup>
            <m:r>
              <w:rPr>
                <w:sz w:val="18"/>
              </w:rPr>
              <m:t>z</m:t>
            </m:r>
          </m:sup>
        </m:sSubSup>
        <m:r>
          <w:rPr>
            <w:sz w:val="18"/>
          </w:rPr>
          <m:rPr>
            <m:sty m:val="p"/>
          </m:rPr>
          <m:t>−</m:t>
        </m:r>
        <m:sSubSup>
          <m:e>
            <m:r>
              <w:rPr>
                <w:sz w:val="18"/>
              </w:rPr>
              <m:t>L</m:t>
            </m:r>
          </m:e>
          <m:sub>
            <m:r>
              <w:rPr>
                <w:sz w:val="18"/>
              </w:rPr>
              <m:t>t</m:t>
            </m:r>
          </m:sub>
          <m:sup>
            <m:r>
              <w:rPr>
                <w:sz w:val="18"/>
              </w:rPr>
              <m:t>z</m:t>
            </m:r>
          </m:sup>
        </m:sSubSup>
        <m:r>
          <w:rPr>
            <w:sz w:val="18"/>
          </w:rPr>
          <m:rPr>
            <m:sty m:val="p"/>
          </m:rPr>
          <m:t>,</m:t>
        </m:r>
        <m:r>
          <w:rPr>
            <w:sz w:val="18"/>
          </w:rPr>
          <m:t>  </m:t>
        </m:r>
        <m:r>
          <w:rPr>
            <w:sz w:val="18"/>
          </w:rPr>
          <m:t>z</m:t>
        </m:r>
        <m:r>
          <w:rPr>
            <w:sz w:val="18"/>
          </w:rPr>
          <m:rPr>
            <m:sty m:val="p"/>
          </m:rPr>
          <m:t>∈</m:t>
        </m:r>
        <m:r>
          <w:rPr>
            <w:sz w:val="18"/>
          </w:rPr>
          <m:rPr>
            <m:sty m:val="p"/>
          </m:rPr>
          <m:t>{</m:t>
        </m:r>
        <m:r>
          <w:rPr>
            <w:sz w:val="18"/>
          </w:rPr>
          <m:rPr>
            <m:sty m:val="p"/>
          </m:rPr>
          <m:t>E</m:t>
        </m:r>
        <m:r>
          <w:rPr>
            <w:sz w:val="18"/>
          </w:rPr>
          <m:rPr>
            <m:sty m:val="p"/>
          </m:rPr>
          <m:t>A</m:t>
        </m:r>
        <m:r>
          <w:rPr>
            <w:sz w:val="18"/>
          </w:rPr>
          <m:rPr>
            <m:sty m:val="p"/>
          </m:rPr>
          <m:t>,</m:t>
        </m:r>
        <m:r>
          <w:rPr>
            <w:sz w:val="18"/>
          </w:rPr>
          <m:rPr>
            <m:sty m:val="p"/>
          </m:rPr>
          <m:t>E</m:t>
        </m:r>
        <m:r>
          <w:rPr>
            <w:sz w:val="18"/>
          </w:rPr>
          <m:rPr>
            <m:sty m:val="p"/>
          </m:rPr>
          <m:t>P</m:t>
        </m:r>
        <m:r>
          <w:rPr>
            <w:sz w:val="18"/>
          </w:rPr>
          <m:rPr>
            <m:sty m:val="p"/>
          </m:rPr>
          <m:t>}</m:t>
        </m:r>
      </m:oMath>
    </w:p>
    <w:p>
      <w:pPr>
        <w:keepNext/>
        <w:spacing w:before="40" w:after="60"/>
      </w:pPr>
      <w:r>
        <w:rPr>
          <w:rFonts w:ascii="Lato" w:hAnsi="Lato"/>
          <w:color w:val="315B50"/>
          <w:sz w:val="16"/>
        </w:rPr>
        <w:t>EA denota pronóstico fechado; EP denota cuenta del período reportado, no verificación automática. Todos los términos son masas del período con signo y soporte comparable. La cantidad precede incertidumbre, obligaciones previas, reserva y denominación.</w:t>
      </w:r>
    </w:p>
    <w:p>
      <w:pPr>
        <w:keepNext/>
        <w:spacing w:before="40" w:after="60"/>
      </w:pPr>
      <w:r>
        <w:rPr>
          <w:rFonts w:ascii="Lato" w:hAnsi="Lato"/>
          <w:color w:val="315B50"/>
          <w:sz w:val="14"/>
        </w:rPr>
        <w:t>Base: M04.5; F-R01 | Libro: ExAnte!F:I; ExPost!F:I</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2827"/>
        <w:gridCol w:w="3900"/>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Cuenta / gas / reservorio</w:t>
            </w:r>
          </w:p>
          <w:p>
            <w:pPr>
              <w:spacing w:before="40" w:after="40"/>
            </w:pPr>
            <m:oMath>
              <m:r>
                <w:rPr>
                  <w:sz w:val="16"/>
                  <w:color w:val="173E34"/>
                </w:rPr>
                <m:t>t</m:t>
              </m:r>
              <m:r>
                <w:rPr>
                  <w:sz w:val="16"/>
                  <w:color w:val="173E34"/>
                </w:rPr>
                <m:rPr>
                  <m:sty m:val="p"/>
                </m:rPr>
                <m:t>,</m:t>
              </m:r>
              <m:r>
                <w:rPr>
                  <w:sz w:val="16"/>
                  <w:color w:val="173E34"/>
                </w:rPr>
                <m:t> </m:t>
              </m:r>
              <m:r>
                <w:rPr>
                  <w:sz w:val="16"/>
                  <w:color w:val="173E34"/>
                </w:rPr>
                <m:t>z</m:t>
              </m:r>
            </m:oMath>
          </w:p>
        </w:tc>
        <w:tc>
          <w:tcPr>
            <w:tcW w:type="dxa" w:w="282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Cantidad, unidad y período</w:t>
            </w:r>
          </w:p>
          <w:p>
            <w:pPr>
              <w:spacing w:before="40" w:after="40"/>
            </w:pPr>
            <m:oMath>
              <m:sSubSup>
                <m:e>
                  <m:r>
                    <w:rPr>
                      <w:sz w:val="16"/>
                      <w:color w:val="173E34"/>
                    </w:rPr>
                    <m:t>N</m:t>
                  </m:r>
                </m:e>
                <m:sub>
                  <m:r>
                    <w:rPr>
                      <w:sz w:val="16"/>
                      <w:color w:val="173E34"/>
                    </w:rPr>
                    <m:rPr>
                      <m:sty m:val="p"/>
                    </m:rPr>
                    <m:t>B</m:t>
                  </m:r>
                  <m:r>
                    <w:rPr>
                      <w:sz w:val="16"/>
                      <w:color w:val="173E34"/>
                    </w:rPr>
                    <m:rPr>
                      <m:sty m:val="p"/>
                    </m:rPr>
                    <m:t>L</m:t>
                  </m:r>
                  <m:r>
                    <w:rPr>
                      <w:sz w:val="16"/>
                      <w:color w:val="173E34"/>
                    </w:rPr>
                    <m:rPr>
                      <m:sty m:val="p"/>
                    </m:rPr>
                    <m:t>,</m:t>
                  </m:r>
                  <m:r>
                    <w:rPr>
                      <w:sz w:val="16"/>
                      <w:color w:val="173E34"/>
                    </w:rPr>
                    <m:t>t</m:t>
                  </m:r>
                </m:sub>
                <m:sup>
                  <m:r>
                    <w:rPr>
                      <w:sz w:val="16"/>
                      <w:color w:val="173E34"/>
                    </w:rPr>
                    <m:t>z</m:t>
                  </m:r>
                </m:sup>
              </m:sSubSup>
              <m:r>
                <w:rPr>
                  <w:sz w:val="16"/>
                  <w:color w:val="173E34"/>
                </w:rPr>
                <m:rPr>
                  <m:sty m:val="p"/>
                </m:rPr>
                <m:t>,</m:t>
              </m:r>
              <m:r>
                <w:rPr>
                  <w:sz w:val="16"/>
                  <w:color w:val="173E34"/>
                </w:rPr>
                <m:t> </m:t>
              </m:r>
              <m:sSubSup>
                <m:e>
                  <m:r>
                    <w:rPr>
                      <w:sz w:val="16"/>
                      <w:color w:val="173E34"/>
                    </w:rPr>
                    <m:t>N</m:t>
                  </m:r>
                </m:e>
                <m:sub>
                  <m:r>
                    <w:rPr>
                      <w:sz w:val="16"/>
                      <w:color w:val="173E34"/>
                    </w:rPr>
                    <m:rPr>
                      <m:sty m:val="p"/>
                    </m:rPr>
                    <m:t>P</m:t>
                  </m:r>
                  <m:r>
                    <w:rPr>
                      <w:sz w:val="16"/>
                      <w:color w:val="173E34"/>
                    </w:rPr>
                    <m:rPr>
                      <m:sty m:val="p"/>
                    </m:rPr>
                    <m:t>J</m:t>
                  </m:r>
                  <m:r>
                    <w:rPr>
                      <w:sz w:val="16"/>
                      <w:color w:val="173E34"/>
                    </w:rPr>
                    <m:rPr>
                      <m:sty m:val="p"/>
                    </m:rPr>
                    <m:t>,</m:t>
                  </m:r>
                  <m:r>
                    <w:rPr>
                      <w:sz w:val="16"/>
                      <w:color w:val="173E34"/>
                    </w:rPr>
                    <m:t>t</m:t>
                  </m:r>
                </m:sub>
                <m:sup>
                  <m:r>
                    <w:rPr>
                      <w:sz w:val="16"/>
                      <w:color w:val="173E34"/>
                    </w:rPr>
                    <m:t>z</m:t>
                  </m:r>
                </m:sup>
              </m:sSubSup>
              <m:r>
                <w:rPr>
                  <w:sz w:val="16"/>
                  <w:color w:val="173E34"/>
                </w:rPr>
                <m:rPr>
                  <m:sty m:val="p"/>
                </m:rPr>
                <m:t>,</m:t>
              </m:r>
              <m:r>
                <w:rPr>
                  <w:sz w:val="16"/>
                  <w:color w:val="173E34"/>
                </w:rPr>
                <m:t> </m:t>
              </m:r>
              <m:sSubSup>
                <m:e>
                  <m:r>
                    <w:rPr>
                      <w:sz w:val="16"/>
                      <w:color w:val="173E34"/>
                    </w:rPr>
                    <m:t>L</m:t>
                  </m:r>
                </m:e>
                <m:sub>
                  <m:r>
                    <w:rPr>
                      <w:sz w:val="16"/>
                      <w:color w:val="173E34"/>
                    </w:rPr>
                    <m:t>t</m:t>
                  </m:r>
                </m:sub>
                <m:sup>
                  <m:r>
                    <w:rPr>
                      <w:sz w:val="16"/>
                      <w:color w:val="173E34"/>
                    </w:rPr>
                    <m:t>z</m:t>
                  </m:r>
                </m:sup>
              </m:sSubSup>
            </m:oMath>
          </w:p>
        </w:tc>
        <w:tc>
          <w:tcPr>
            <w:tcW w:type="dxa" w:w="390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Inclusiones, exclusiones y control de doble conteo</w:t>
            </w:r>
          </w:p>
          <w:p>
            <w:pPr>
              <w:spacing w:before="40" w:after="40"/>
            </w:pPr>
            <m:oMath>
              <m:sSubSup>
                <m:e>
                  <m:acc>
                    <m:accPr>
                      <m:chr m:val="̂"/>
                    </m:accPr>
                    <m:e>
                      <m:r>
                        <w:rPr>
                          <w:sz w:val="16"/>
                          <w:color w:val="173E34"/>
                        </w:rPr>
                        <m:t>Q</m:t>
                      </m:r>
                    </m:e>
                  </m:acc>
                </m:e>
                <m:sub>
                  <m:r>
                    <w:rPr>
                      <w:sz w:val="16"/>
                      <w:color w:val="173E34"/>
                    </w:rPr>
                    <m:t>t</m:t>
                  </m:r>
                </m:sub>
                <m:sup>
                  <m:r>
                    <w:rPr>
                      <w:sz w:val="16"/>
                      <w:color w:val="173E34"/>
                    </w:rPr>
                    <m:t>z</m:t>
                  </m:r>
                </m:sup>
              </m:sSubSup>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82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82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82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Conciliación de la cuenta</w:t>
      </w:r>
    </w:p>
    <w:p>
      <w:pPr>
        <w:keepNext/>
        <w:spacing w:after="100" w:line="259" w:lineRule="auto"/>
      </w:pPr>
      <w:r>
        <w:rPr>
          <w:rFonts w:ascii="Arial" w:hAnsi="Arial"/>
          <w:b w:val="0"/>
          <w:i w:val="0"/>
          <w:color w:val="62716E"/>
          <w:sz w:val="18"/>
        </w:rPr>
        <w:t>Adjunte cálculo completo, balance de reservorios y gases y comparación de escenarios. Distinga existencias y cambios, anual y acumulado; carbono, CO2 y CO2e; modelos y observaciones. Use convención GWP aprobada y conserve resultados negativos.</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10" w:name="Section_10"/>
      <w:pPr>
        <w:pStyle w:val="Heading1"/>
        <w:keepNext/>
      </w:pPr>
      <w:r>
        <w:t>10  Incertidumbre, materialidad, riesgo y pasivos</w:t>
      </w:r>
      <w:bookmarkEnd w:id="110"/>
    </w:p>
    <w:p>
      <w:pPr>
        <w:keepNext/>
        <w:spacing w:after="180" w:line="259" w:lineRule="auto"/>
      </w:pPr>
      <w:r>
        <w:rPr>
          <w:rFonts w:ascii="Arial" w:hAnsi="Arial"/>
          <w:b w:val="0"/>
          <w:i w:val="0"/>
          <w:color w:val="62716E"/>
          <w:sz w:val="15"/>
        </w:rPr>
        <w:t>[1] Referencia: F-02; F-03; T-14; T-16; T-17; T-18; T-19; T-20; FRM-02/C; FRM-08; FRM-09</w:t>
      </w:r>
    </w:p>
    <w:p>
      <w:pPr>
        <w:pStyle w:val="Heading2"/>
        <w:keepNext/>
      </w:pPr>
      <w:r>
        <w:t>Especificación de incertidumbre y materialidad</w:t>
      </w:r>
    </w:p>
    <w:p>
      <w:pPr>
        <w:keepNext/>
        <w:spacing w:before="40" w:after="60"/>
      </w:pPr>
      <w:r>
        <w:rPr>
          <w:rFonts w:ascii="Lato" w:hAnsi="Lato"/>
          <w:color w:val="315B50"/>
          <w:sz w:val="18"/>
        </w:rPr>
        <w:t>PD-T18 / Notación del cálculo</w:t>
      </w:r>
    </w:p>
    <w:p>
      <w:pPr>
        <w:keepNext/>
        <w:spacing w:before="40" w:after="60"/>
      </w:pPr>
      <m:oMath>
        <m:sSubSup>
          <m:e>
            <m:r>
              <w:rPr>
                <w:sz w:val="18"/>
              </w:rPr>
              <m:t>u</m:t>
            </m:r>
          </m:e>
          <m:sub>
            <m:r>
              <w:rPr>
                <w:sz w:val="18"/>
              </w:rPr>
              <m:t>Q</m:t>
            </m:r>
          </m:sub>
          <m:sup>
            <m:r>
              <w:rPr>
                <w:sz w:val="18"/>
              </w:rPr>
              <m:t>2</m:t>
            </m:r>
          </m:sup>
        </m:sSubSup>
        <m:r>
          <w:rPr>
            <w:sz w:val="18"/>
          </w:rPr>
          <m:rPr>
            <m:sty m:val="p"/>
          </m:rPr>
          <m:t>=</m:t>
        </m:r>
        <m:sSubSup>
          <m:e>
            <m:r>
              <w:rPr>
                <w:sz w:val="18"/>
              </w:rPr>
              <m:t>u</m:t>
            </m:r>
          </m:e>
          <m:sub>
            <m:r>
              <w:rPr>
                <w:sz w:val="18"/>
              </w:rPr>
              <m:t>B</m:t>
            </m:r>
          </m:sub>
          <m:sup>
            <m:r>
              <w:rPr>
                <w:sz w:val="18"/>
              </w:rPr>
              <m:t>2</m:t>
            </m:r>
          </m:sup>
        </m:sSubSup>
        <m:r>
          <w:rPr>
            <w:sz w:val="18"/>
          </w:rPr>
          <m:rPr>
            <m:sty m:val="p"/>
          </m:rPr>
          <m:t>+</m:t>
        </m:r>
        <m:sSubSup>
          <m:e>
            <m:r>
              <w:rPr>
                <w:sz w:val="18"/>
              </w:rPr>
              <m:t>u</m:t>
            </m:r>
          </m:e>
          <m:sub>
            <m:r>
              <w:rPr>
                <w:sz w:val="18"/>
              </w:rPr>
              <m:t>P</m:t>
            </m:r>
          </m:sub>
          <m:sup>
            <m:r>
              <w:rPr>
                <w:sz w:val="18"/>
              </w:rPr>
              <m:t>2</m:t>
            </m:r>
          </m:sup>
        </m:sSubSup>
        <m:r>
          <w:rPr>
            <w:sz w:val="18"/>
          </w:rPr>
          <m:rPr>
            <m:sty m:val="p"/>
          </m:rPr>
          <m:t>+</m:t>
        </m:r>
        <m:sSubSup>
          <m:e>
            <m:r>
              <w:rPr>
                <w:sz w:val="18"/>
              </w:rPr>
              <m:t>u</m:t>
            </m:r>
          </m:e>
          <m:sub>
            <m:r>
              <w:rPr>
                <w:sz w:val="18"/>
              </w:rPr>
              <m:t>L</m:t>
            </m:r>
          </m:sub>
          <m:sup>
            <m:r>
              <w:rPr>
                <w:sz w:val="18"/>
              </w:rPr>
              <m:t>2</m:t>
            </m:r>
          </m:sup>
        </m:sSubSup>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P</m:t>
            </m:r>
          </m:e>
        </m:d>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L</m:t>
            </m:r>
          </m:e>
        </m:d>
        <m:r>
          <w:rPr>
            <w:sz w:val="18"/>
          </w:rPr>
          <m:rPr>
            <m:sty m:val="p"/>
          </m:rPr>
          <m:t>+</m:t>
        </m:r>
        <m:r>
          <w:rPr>
            <w:sz w:val="18"/>
          </w:rPr>
          <m:t>2</m:t>
        </m:r>
        <m:r>
          <w:rPr>
            <w:sz w:val="18"/>
          </w:rPr>
          <m:rPr>
            <m:sty m:val="p"/>
          </m:rPr>
          <m:t>Cov</m:t>
        </m:r>
        <m:d>
          <m:dPr>
            <m:begChr m:val="("/>
            <m:endChr m:val=")"/>
            <m:sepChr m:val=""/>
            <m:grow/>
          </m:dPr>
          <m:e>
            <m:r>
              <w:rPr>
                <w:sz w:val="18"/>
              </w:rPr>
              <m:t>P</m:t>
            </m:r>
            <m:r>
              <w:rPr>
                <w:sz w:val="18"/>
              </w:rPr>
              <m:rPr>
                <m:sty m:val="p"/>
              </m:rPr>
              <m:t>,</m:t>
            </m:r>
            <m:r>
              <w:rPr>
                <w:sz w:val="18"/>
              </w:rPr>
              <m:t>L</m:t>
            </m:r>
          </m:e>
        </m:d>
      </m:oMath>
    </w:p>
    <w:p>
      <w:pPr>
        <w:keepNext/>
        <w:spacing w:before="40" w:after="60"/>
      </w:pPr>
      <w:r>
        <w:rPr>
          <w:rFonts w:ascii="Lato" w:hAnsi="Lato"/>
          <w:color w:val="315B50"/>
          <w:sz w:val="16"/>
        </w:rPr>
        <w:t>B, P y L en esta identidad de varianza denotan estimadores de línea base, proyecto y fugas, no reserva B_t. Incertidumbres estándar en t CO2e; varianzas y covarianzas en unidades al cuadrado. Conservar dependencia compartida y matriz válida.</w:t>
      </w:r>
    </w:p>
    <w:p>
      <w:pPr>
        <w:keepNext/>
        <w:spacing w:before="40" w:after="60"/>
      </w:pPr>
      <w:r>
        <w:rPr>
          <w:rFonts w:ascii="Lato" w:hAnsi="Lato"/>
          <w:color w:val="315B50"/>
          <w:sz w:val="14"/>
        </w:rPr>
        <w:t>Base: F-U01; M05.1; M05.2 | Libro: Cálculo calificado de incertidumbre; ExAnte!J:L; ExPost!J:L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510"/>
        <w:gridCol w:w="3120"/>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Componente / error posible</w:t>
            </w:r>
          </w:p>
          <w:p>
            <w:pPr>
              <w:spacing w:before="40" w:after="40"/>
            </w:pPr>
            <m:oMath>
              <m:r>
                <w:rPr>
                  <w:sz w:val="16"/>
                  <w:color w:val="173E34"/>
                </w:rPr>
                <m:t>B</m:t>
              </m:r>
              <m:r>
                <w:rPr>
                  <w:sz w:val="16"/>
                  <w:color w:val="173E34"/>
                </w:rPr>
                <m:rPr>
                  <m:sty m:val="p"/>
                </m:rPr>
                <m:t>,</m:t>
              </m:r>
              <m:r>
                <w:rPr>
                  <w:sz w:val="16"/>
                  <w:color w:val="173E34"/>
                </w:rPr>
                <m:t> </m:t>
              </m:r>
              <m:r>
                <w:rPr>
                  <w:sz w:val="16"/>
                  <w:color w:val="173E34"/>
                </w:rPr>
                <m:t>P</m:t>
              </m:r>
              <m:r>
                <w:rPr>
                  <w:sz w:val="16"/>
                  <w:color w:val="173E34"/>
                </w:rPr>
                <m:rPr>
                  <m:sty m:val="p"/>
                </m:rPr>
                <m:t>,</m:t>
              </m:r>
              <m:r>
                <w:rPr>
                  <w:sz w:val="16"/>
                  <w:color w:val="173E34"/>
                </w:rPr>
                <m:t> </m:t>
              </m:r>
              <m:r>
                <w:rPr>
                  <w:sz w:val="16"/>
                  <w:color w:val="173E34"/>
                </w:rPr>
                <m:t>L</m:t>
              </m:r>
            </m:oMath>
          </w:p>
        </w:tc>
        <w:tc>
          <w:tcPr>
            <w:tcW w:type="dxa" w:w="351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Método, dependencia y evidencia</w:t>
            </w:r>
          </w:p>
          <w:p>
            <w:pPr>
              <w:spacing w:before="40" w:after="40"/>
            </w:pPr>
            <m:oMath>
              <m:sSub>
                <m:e>
                  <m:r>
                    <w:rPr>
                      <w:sz w:val="16"/>
                      <w:color w:val="173E34"/>
                    </w:rPr>
                    <m:t>u</m:t>
                  </m:r>
                </m:e>
                <m:sub>
                  <m:r>
                    <w:rPr>
                      <w:sz w:val="16"/>
                      <w:color w:val="173E34"/>
                    </w:rPr>
                    <m:t>B</m:t>
                  </m:r>
                </m:sub>
              </m:sSub>
              <m:r>
                <w:rPr>
                  <w:sz w:val="16"/>
                  <w:color w:val="173E34"/>
                </w:rPr>
                <m:rPr>
                  <m:sty m:val="p"/>
                </m:rPr>
                <m:t>,</m:t>
              </m:r>
              <m:r>
                <w:rPr>
                  <w:sz w:val="16"/>
                  <w:color w:val="173E34"/>
                </w:rPr>
                <m:t> </m:t>
              </m:r>
              <m:sSub>
                <m:e>
                  <m:r>
                    <w:rPr>
                      <w:sz w:val="16"/>
                      <w:color w:val="173E34"/>
                    </w:rPr>
                    <m:t>u</m:t>
                  </m:r>
                </m:e>
                <m:sub>
                  <m:r>
                    <w:rPr>
                      <w:sz w:val="16"/>
                      <w:color w:val="173E34"/>
                    </w:rPr>
                    <m:t>P</m:t>
                  </m:r>
                </m:sub>
              </m:sSub>
              <m:r>
                <w:rPr>
                  <w:sz w:val="16"/>
                  <w:color w:val="173E34"/>
                </w:rPr>
                <m:rPr>
                  <m:sty m:val="p"/>
                </m:rPr>
                <m:t>,</m:t>
              </m:r>
              <m:r>
                <w:rPr>
                  <w:sz w:val="16"/>
                  <w:color w:val="173E34"/>
                </w:rPr>
                <m:t> </m:t>
              </m:r>
              <m:sSub>
                <m:e>
                  <m:r>
                    <w:rPr>
                      <w:sz w:val="16"/>
                      <w:color w:val="173E34"/>
                    </w:rPr>
                    <m:t>u</m:t>
                  </m:r>
                </m:e>
                <m:sub>
                  <m:r>
                    <w:rPr>
                      <w:sz w:val="16"/>
                      <w:color w:val="173E34"/>
                    </w:rPr>
                    <m:t>L</m:t>
                  </m:r>
                </m:sub>
              </m:sSub>
              <m:r>
                <w:rPr>
                  <w:sz w:val="16"/>
                  <w:color w:val="173E34"/>
                </w:rPr>
                <m:rPr>
                  <m:sty m:val="p"/>
                </m:rPr>
                <m:t>,</m:t>
              </m:r>
              <m:r>
                <w:rPr>
                  <w:sz w:val="16"/>
                  <w:color w:val="173E34"/>
                </w:rPr>
                <m:t> </m:t>
              </m:r>
              <m:r>
                <w:rPr>
                  <w:sz w:val="16"/>
                  <w:color w:val="173E34"/>
                </w:rPr>
                <m:rPr>
                  <m:sty m:val="p"/>
                </m:rPr>
                <m:t>Cov</m:t>
              </m:r>
            </m:oMath>
          </w:p>
        </w:tc>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Criterio, ajuste y decisión</w:t>
            </w:r>
          </w:p>
          <w:p>
            <w:pPr>
              <w:spacing w:before="40" w:after="40"/>
            </w:pPr>
            <m:oMath>
              <m:sSubSup>
                <m:e>
                  <m:r>
                    <w:rPr>
                      <w:sz w:val="16"/>
                      <w:color w:val="173E34"/>
                    </w:rPr>
                    <m:t>u</m:t>
                  </m:r>
                </m:e>
                <m:sub>
                  <m:r>
                    <w:rPr>
                      <w:sz w:val="16"/>
                      <w:color w:val="173E34"/>
                    </w:rPr>
                    <m:t>Q</m:t>
                  </m:r>
                </m:sub>
                <m:sup>
                  <m:r>
                    <w:rPr>
                      <w:sz w:val="16"/>
                      <w:color w:val="173E34"/>
                    </w:rPr>
                    <m:t>2</m:t>
                  </m:r>
                </m:sup>
              </m:sSubSup>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Diseño de pasivos y reserva</w:t>
      </w:r>
    </w:p>
    <w:p>
      <w:pPr>
        <w:keepNext/>
        <w:spacing w:before="40" w:after="60"/>
      </w:pPr>
      <w:r>
        <w:rPr>
          <w:rFonts w:ascii="Lato" w:hAnsi="Lato"/>
          <w:color w:val="315B50"/>
          <w:sz w:val="18"/>
        </w:rPr>
        <w:t>PD-T19 / Notación del cálculo</w:t>
      </w:r>
    </w:p>
    <w:p>
      <w:pPr>
        <w:keepNext/>
        <w:spacing w:before="40" w:after="60"/>
      </w:pPr>
      <m:oMath>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r>
          <w:rPr>
            <w:sz w:val="18"/>
          </w:rPr>
          <m:rPr>
            <m:sty m:val="p"/>
          </m:rPr>
          <m:t>=</m:t>
        </m:r>
        <m:r>
          <w:rPr>
            <w:sz w:val="18"/>
          </w:rPr>
          <m:rPr>
            <m:sty m:val="p"/>
          </m:rPr>
          <m:t>max</m:t>
        </m:r>
        <m:d>
          <m:dPr>
            <m:begChr m:val="("/>
            <m:endChr m:val=")"/>
            <m:sepChr m:val=""/>
            <m:grow/>
          </m:dPr>
          <m:e>
            <m:r>
              <w:rPr>
                <w:sz w:val="18"/>
              </w:rPr>
              <m:t>0</m:t>
            </m:r>
            <m:r>
              <w:rPr>
                <w:sz w:val="18"/>
              </w:rPr>
              <m:rPr>
                <m:sty m:val="p"/>
              </m:rPr>
              <m:t>,</m:t>
            </m:r>
            <m:sSubSup>
              <m:e>
                <m:r>
                  <w:rPr>
                    <w:sz w:val="18"/>
                  </w:rPr>
                  <m:t>Q</m:t>
                </m:r>
              </m:e>
              <m:sub>
                <m:r>
                  <w:rPr>
                    <w:sz w:val="18"/>
                  </w:rPr>
                  <m:t>t</m:t>
                </m:r>
              </m:sub>
              <m:sup>
                <m:r>
                  <w:rPr>
                    <w:sz w:val="18"/>
                  </w:rPr>
                  <m:rPr>
                    <m:sty m:val="p"/>
                  </m:rPr>
                  <m:t>l</m:t>
                </m:r>
                <m:r>
                  <w:rPr>
                    <w:sz w:val="18"/>
                  </w:rPr>
                  <m:rPr>
                    <m:sty m:val="p"/>
                  </m:rPr>
                  <m:t>o</m:t>
                </m:r>
                <m:r>
                  <w:rPr>
                    <w:sz w:val="18"/>
                  </w:rPr>
                  <m:rPr>
                    <m:sty m:val="p"/>
                  </m:rPr>
                  <m:t>w</m:t>
                </m:r>
              </m:sup>
            </m:sSubSup>
          </m:e>
        </m:d>
        <m:r>
          <w:rPr>
            <w:sz w:val="18"/>
          </w:rPr>
          <m:rPr>
            <m:sty m:val="p"/>
          </m:rPr>
          <m:t>,</m:t>
        </m:r>
        <m:r>
          <w:rPr>
            <w:sz w:val="18"/>
          </w:rPr>
          <m:t> </m:t>
        </m:r>
        <m:sSubSup>
          <m:e>
            <m:r>
              <w:rPr>
                <w:sz w:val="18"/>
              </w:rPr>
              <m:t>D</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rPr>
            <m:sty m:val="p"/>
          </m:rPr>
          <m:t>min</m:t>
        </m:r>
        <m:d>
          <m:dPr>
            <m:begChr m:val="("/>
            <m:endChr m:val=")"/>
            <m:sepChr m:val=""/>
            <m:grow/>
          </m:dPr>
          <m:e>
            <m:sSub>
              <m:e>
                <m:r>
                  <w:rPr>
                    <w:sz w:val="18"/>
                  </w:rPr>
                  <m:t>D</m:t>
                </m:r>
              </m:e>
              <m:sub>
                <m:r>
                  <w:rPr>
                    <w:sz w:val="18"/>
                  </w:rPr>
                  <m:t>t</m:t>
                </m:r>
              </m:sub>
            </m:sSub>
            <m:r>
              <w:rPr>
                <w:sz w:val="18"/>
              </w:rPr>
              <m:rPr>
                <m:sty m:val="p"/>
              </m:rPr>
              <m:t>,</m:t>
            </m:r>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e>
        </m:d>
      </m:oMath>
    </w:p>
    <w:p>
      <w:pPr>
        <w:keepNext/>
        <w:spacing w:before="40" w:after="60"/>
      </w:pPr>
      <m:oMath>
        <m:sSubSup>
          <m:e>
            <m:r>
              <w:rPr>
                <w:sz w:val="18"/>
              </w:rPr>
              <m:t>Q</m:t>
            </m:r>
          </m:e>
          <m:sub>
            <m:r>
              <w:rPr>
                <w:sz w:val="18"/>
              </w:rPr>
              <m:t>t</m:t>
            </m:r>
          </m:sub>
          <m:sup>
            <m:r>
              <w:rPr>
                <w:sz w:val="18"/>
              </w:rPr>
              <m:rPr>
                <m:sty m:val="p"/>
              </m:rPr>
              <m:t>b</m:t>
            </m:r>
            <m:r>
              <w:rPr>
                <w:sz w:val="18"/>
              </w:rPr>
              <m:rPr>
                <m:sty m:val="p"/>
              </m:rPr>
              <m:t>a</m:t>
            </m:r>
            <m:r>
              <w:rPr>
                <w:sz w:val="18"/>
              </w:rPr>
              <m:rPr>
                <m:sty m:val="p"/>
              </m:rPr>
              <m:t>s</m:t>
            </m:r>
            <m:r>
              <w:rPr>
                <w:sz w:val="18"/>
              </w:rPr>
              <m:rPr>
                <m:sty m:val="p"/>
              </m:rPr>
              <m:t>e</m:t>
            </m:r>
            <m:r>
              <w:rPr>
                <w:sz w:val="18"/>
              </w:rPr>
              <m:rPr>
                <m:sty m:val="p"/>
              </m:rPr>
              <m:t>,</m:t>
            </m:r>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r>
          <w:rPr>
            <w:sz w:val="18"/>
          </w:rPr>
          <m:rPr>
            <m:sty m:val="p"/>
          </m:rPr>
          <m:t>−</m:t>
        </m:r>
        <m:sSubSup>
          <m:e>
            <m:r>
              <w:rPr>
                <w:sz w:val="18"/>
              </w:rPr>
              <m:t>D</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t> </m:t>
        </m:r>
        <m:sSubSup>
          <m:e>
            <m:r>
              <w:rPr>
                <w:sz w:val="18"/>
              </w:rPr>
              <m:t>J</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Sup>
          <m:e>
            <m:r>
              <w:rPr>
                <w:sz w:val="18"/>
              </w:rPr>
              <m:t>Q</m:t>
            </m:r>
          </m:e>
          <m:sub>
            <m:r>
              <w:rPr>
                <w:sz w:val="18"/>
              </w:rPr>
              <m:t>t</m:t>
            </m:r>
          </m:sub>
          <m:sup>
            <m:r>
              <w:rPr>
                <w:sz w:val="18"/>
              </w:rPr>
              <m:rPr>
                <m:sty m:val="p"/>
              </m:rPr>
              <m:t>b</m:t>
            </m:r>
            <m:r>
              <w:rPr>
                <w:sz w:val="18"/>
              </w:rPr>
              <m:rPr>
                <m:sty m:val="p"/>
              </m:rPr>
              <m:t>a</m:t>
            </m:r>
            <m:r>
              <w:rPr>
                <w:sz w:val="18"/>
              </w:rPr>
              <m:rPr>
                <m:sty m:val="p"/>
              </m:rPr>
              <m:t>s</m:t>
            </m:r>
            <m:r>
              <w:rPr>
                <w:sz w:val="18"/>
              </w:rPr>
              <m:rPr>
                <m:sty m:val="p"/>
              </m:rPr>
              <m:t>e</m:t>
            </m:r>
            <m:r>
              <w:rPr>
                <w:sz w:val="18"/>
              </w:rPr>
              <m:rPr>
                <m:sty m:val="p"/>
              </m:rPr>
              <m:t>,</m:t>
            </m:r>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
          <m:e>
            <m:r>
              <w:rPr>
                <w:sz w:val="18"/>
              </w:rPr>
              <m:t>B</m:t>
            </m:r>
          </m:e>
          <m:sub>
            <m:r>
              <w:rPr>
                <w:sz w:val="18"/>
              </w:rPr>
              <m:t>t</m:t>
            </m:r>
          </m:sub>
        </m:sSub>
      </m:oMath>
    </w:p>
    <w:p>
      <w:pPr>
        <w:keepNext/>
        <w:spacing w:before="40" w:after="60"/>
      </w:pPr>
      <w:r>
        <w:rPr>
          <w:rFonts w:ascii="Lato" w:hAnsi="Lato"/>
          <w:color w:val="315B50"/>
          <w:sz w:val="16"/>
        </w:rPr>
        <w:t>cand distingue propuesta del libro de registro ejecutado. D_set es liquidación real sustentada; D_rem = D - D_set. No reducir obligación registrada por D_cand. Reserva requerida superior a la base candidata es déficit, no protección financiada. No se presume redondeo.</w:t>
      </w:r>
    </w:p>
    <w:p>
      <w:pPr>
        <w:keepNext/>
        <w:spacing w:before="40" w:after="60"/>
      </w:pPr>
      <w:r>
        <w:rPr>
          <w:rFonts w:ascii="Lato" w:hAnsi="Lato"/>
          <w:color w:val="315B50"/>
          <w:sz w:val="14"/>
        </w:rPr>
        <w:t>Base: M05.4; M05.5; F-R03 | Libro: Settlement!B:L; ExAnte!M:O (solo pronóstico)</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802"/>
        <w:gridCol w:w="2925"/>
        <w:gridCol w:w="3022"/>
      </w:tblGrid>
      <w:tr>
        <w:trPr>
          <w:trHeight w:val="446" w:hRule="atLeast"/>
          <w:tblHeader/>
        </w:trPr>
        <w:tc>
          <w:tcPr>
            <w:tcW w:type="dxa" w:w="380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Elemento contable</w:t>
            </w:r>
          </w:p>
          <w:p>
            <w:pPr>
              <w:spacing w:before="40" w:after="40"/>
            </w:pPr>
            <m:oMath>
              <m:sSub>
                <m:e>
                  <m:r>
                    <w:rPr>
                      <w:sz w:val="16"/>
                      <w:color w:val="173E34"/>
                    </w:rPr>
                    <m:t>D</m:t>
                  </m:r>
                </m:e>
                <m:sub>
                  <m:r>
                    <w:rPr>
                      <w:sz w:val="16"/>
                      <w:color w:val="173E34"/>
                    </w:rPr>
                    <m:t>t</m:t>
                  </m:r>
                </m:sub>
              </m:sSub>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Regla / evidencia aplicable</w:t>
            </w:r>
          </w:p>
          <w:p>
            <w:pPr>
              <w:spacing w:before="40" w:after="40"/>
            </w:pPr>
            <m:oMath>
              <m:sSubSup>
                <m:e>
                  <m:r>
                    <w:rPr>
                      <w:sz w:val="16"/>
                      <w:color w:val="173E34"/>
                    </w:rPr>
                    <m:t>D</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Sup>
                <m:e>
                  <m:r>
                    <w:rPr>
                      <w:sz w:val="16"/>
                      <w:color w:val="173E34"/>
                    </w:rPr>
                    <m:t>D</m:t>
                  </m:r>
                </m:e>
                <m:sub>
                  <m:r>
                    <w:rPr>
                      <w:sz w:val="16"/>
                      <w:color w:val="173E34"/>
                    </w:rPr>
                    <m:t>t</m:t>
                  </m:r>
                </m:sub>
                <m:sup>
                  <m:r>
                    <w:rPr>
                      <w:sz w:val="16"/>
                      <w:color w:val="173E34"/>
                    </w:rPr>
                    <m:rPr>
                      <m:sty m:val="p"/>
                    </m:rPr>
                    <m:t>s</m:t>
                  </m:r>
                  <m:r>
                    <w:rPr>
                      <w:sz w:val="16"/>
                      <w:color w:val="173E34"/>
                    </w:rPr>
                    <m:rPr>
                      <m:sty m:val="p"/>
                    </m:rPr>
                    <m:t>e</m:t>
                  </m:r>
                  <m:r>
                    <w:rPr>
                      <w:sz w:val="16"/>
                      <w:color w:val="173E34"/>
                    </w:rPr>
                    <m:rPr>
                      <m:sty m:val="p"/>
                    </m:rPr>
                    <m:t>t</m:t>
                  </m:r>
                </m:sup>
              </m:sSubSup>
            </m:oMath>
          </w:p>
        </w:tc>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Decisión y condición pendiente</w:t>
            </w:r>
          </w:p>
          <w:p>
            <w:pPr>
              <w:spacing w:before="40" w:after="40"/>
            </w:pPr>
            <m:oMath>
              <m:sSubSup>
                <m:e>
                  <m:r>
                    <w:rPr>
                      <w:sz w:val="16"/>
                      <w:color w:val="173E34"/>
                    </w:rPr>
                    <m:t>Q</m:t>
                  </m:r>
                </m:e>
                <m:sub>
                  <m:r>
                    <w:rPr>
                      <w:sz w:val="16"/>
                      <w:color w:val="173E34"/>
                    </w:rPr>
                    <m:t>t</m:t>
                  </m:r>
                </m:sub>
                <m:sup>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e</m:t>
                  </m:r>
                  <m:r>
                    <w:rPr>
                      <w:sz w:val="16"/>
                      <w:color w:val="173E34"/>
                    </w:rPr>
                    <m:rPr>
                      <m:sty m:val="p"/>
                    </m:rPr>
                    <m:t>,</m:t>
                  </m:r>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
                <m:e>
                  <m:r>
                    <w:rPr>
                      <w:sz w:val="16"/>
                      <w:color w:val="173E34"/>
                    </w:rPr>
                    <m:t>B</m:t>
                  </m:r>
                </m:e>
                <m:sub>
                  <m:r>
                    <w:rPr>
                      <w:sz w:val="16"/>
                      <w:color w:val="173E34"/>
                    </w:rPr>
                    <m:t>t</m:t>
                  </m:r>
                </m:sub>
              </m:sSub>
              <m:r>
                <w:rPr>
                  <w:sz w:val="16"/>
                  <w:color w:val="173E34"/>
                </w:rPr>
                <m:rPr>
                  <m:sty m:val="p"/>
                </m:rPr>
                <m:t>,</m:t>
              </m:r>
              <m:r>
                <w:rPr>
                  <w:sz w:val="16"/>
                  <w:color w:val="173E34"/>
                </w:rPr>
                <m:t> </m:t>
              </m:r>
              <m:sSubSup>
                <m:e>
                  <m:r>
                    <w:rPr>
                      <w:sz w:val="16"/>
                      <w:color w:val="173E34"/>
                    </w:rPr>
                    <m:t>J</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oMath>
          </w:p>
        </w:tc>
      </w:tr>
      <w:tr>
        <w:trPr>
          <w:trHeight w:val="446" w:hRule="atLeast"/>
        </w:trPr>
        <w:tc>
          <w:tcPr>
            <w:tcW w:type="dxa" w:w="380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Resultado conservador con signo / F-R03</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802"/>
            <w:vAlign w:val="center"/>
            <w:tcMar>
              <w:top w:w="70" w:type="dxa"/>
              <w:start w:w="85" w:type="dxa"/>
              <w:bottom w:w="70" w:type="dxa"/>
              <w:end w:w="85" w:type="dxa"/>
            </w:tcMar>
          </w:tcPr>
          <w:p>
            <w:pPr>
              <w:spacing w:after="0" w:line="250" w:lineRule="auto"/>
            </w:pPr>
            <w:r>
              <w:rPr>
                <w:rFonts w:ascii="Arial" w:hAnsi="Arial"/>
                <w:b w:val="0"/>
                <w:i w:val="0"/>
                <w:color w:val="243A36"/>
                <w:sz w:val="16"/>
              </w:rPr>
              <w:t>Pasivo previo y liquidación ejecutada</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80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Base pospasivo y protección</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802"/>
            <w:vAlign w:val="center"/>
            <w:tcMar>
              <w:top w:w="70" w:type="dxa"/>
              <w:start w:w="85" w:type="dxa"/>
              <w:bottom w:w="70" w:type="dxa"/>
              <w:end w:w="85" w:type="dxa"/>
            </w:tcMar>
          </w:tcPr>
          <w:p>
            <w:pPr>
              <w:spacing w:after="0" w:line="250" w:lineRule="auto"/>
            </w:pPr>
            <w:r>
              <w:rPr>
                <w:rFonts w:ascii="Arial" w:hAnsi="Arial"/>
                <w:b w:val="0"/>
                <w:i w:val="0"/>
                <w:color w:val="243A36"/>
                <w:sz w:val="16"/>
              </w:rPr>
              <w:t>Arrastre negativo / F-R05a/b</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Horizonte de protección, riesgo residual y reparación</w:t>
      </w:r>
    </w:p>
    <w:p>
      <w:pPr>
        <w:keepNext/>
        <w:spacing w:after="100" w:line="259" w:lineRule="auto"/>
      </w:pPr>
      <w:r>
        <w:rPr>
          <w:rFonts w:ascii="Arial" w:hAnsi="Arial"/>
          <w:b w:val="0"/>
          <w:i w:val="0"/>
          <w:color w:val="62716E"/>
          <w:sz w:val="18"/>
        </w:rPr>
        <w:t>Documente modelo de riesgo o estrés, reserva compatible disponible, nivel aprobado cuando aplique, eventos comunes, déficit, cancelación, reposición y pasivo remanente. Un límite negativo por incertidumbre no es automáticamente reversión física.</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11" w:name="Section_11"/>
      <w:pPr>
        <w:pStyle w:val="Heading1"/>
        <w:keepNext/>
      </w:pPr>
      <w:r>
        <w:t>11  Participación, consentimiento, salvaguardas y beneficios</w:t>
      </w:r>
      <w:bookmarkEnd w:id="111"/>
    </w:p>
    <w:p>
      <w:pPr>
        <w:keepNext/>
        <w:spacing w:after="180" w:line="259" w:lineRule="auto"/>
      </w:pPr>
      <w:r>
        <w:rPr>
          <w:rFonts w:ascii="Arial" w:hAnsi="Arial"/>
          <w:b w:val="0"/>
          <w:i w:val="0"/>
          <w:color w:val="62716E"/>
          <w:sz w:val="15"/>
        </w:rPr>
        <w:t>[1] Referencia: S-12; S-13; S-17; AO-03; AO-12; P-12; A-13; A-14; A-15</w:t>
      </w:r>
    </w:p>
    <w:p>
      <w:pPr>
        <w:pStyle w:val="Heading2"/>
        <w:keepNext/>
      </w:pPr>
      <w:r>
        <w:t>Registro de partes interesadas y salvaguardas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827"/>
        <w:gridCol w:w="3412"/>
        <w:gridCol w:w="3510"/>
      </w:tblGrid>
      <w:tr>
        <w:trPr>
          <w:trHeight w:val="446" w:hRule="atLeast"/>
          <w:tblHeader/>
        </w:trPr>
        <w:tc>
          <w:tcPr>
            <w:tcW w:type="dxa" w:w="282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Parte / asunto / derecho</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Consulta, consentimiento y evidencia</w:t>
            </w:r>
          </w:p>
        </w:tc>
        <w:tc>
          <w:tcPr>
            <w:tcW w:type="dxa" w:w="351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Compromiso, prueba independiente y reparación</w:t>
            </w:r>
          </w:p>
        </w:tc>
      </w:tr>
      <w:tr>
        <w:trPr>
          <w:trHeight w:val="446" w:hRule="atLeast"/>
        </w:trPr>
        <w:tc>
          <w:tcPr>
            <w:tcW w:type="dxa" w:w="282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82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82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82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Reparto de beneficios y controles de impactos adversos</w:t>
      </w:r>
    </w:p>
    <w:p>
      <w:pPr>
        <w:keepNext/>
        <w:spacing w:after="100" w:line="259" w:lineRule="auto"/>
      </w:pPr>
      <w:r>
        <w:rPr>
          <w:rFonts w:ascii="Arial" w:hAnsi="Arial"/>
          <w:b w:val="0"/>
          <w:i w:val="0"/>
          <w:color w:val="62716E"/>
          <w:sz w:val="18"/>
        </w:rPr>
        <w:t>Describa participación decisoria, acuerdos, asignación, grupos vulnerables, prevención de impactos y monitoreo. Separe acuerdos ejecutados de propuestas y aporte soportes protegidos.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pPr>
        <w:pStyle w:val="Heading2"/>
        <w:keepNext/>
      </w:pPr>
      <w:r>
        <w:t>Acceso a quejas, plazos y revisión</w:t>
      </w:r>
    </w:p>
    <w:p>
      <w:pPr>
        <w:keepNext/>
        <w:spacing w:after="100" w:line="259" w:lineRule="auto"/>
      </w:pPr>
      <w:r>
        <w:rPr>
          <w:rFonts w:ascii="Arial" w:hAnsi="Arial"/>
          <w:b w:val="0"/>
          <w:i w:val="0"/>
          <w:color w:val="62716E"/>
          <w:sz w:val="18"/>
        </w:rPr>
        <w:t>Registre canal publicado, calendario aprobado, acceso no digital e idiomas, protección frente a represalias, tratamiento independiente, escalamiento y retención aprobada. El contacto del proyecto no sustituye una ruta independiente requerida.</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12" w:name="Section_12"/>
      <w:pPr>
        <w:pStyle w:val="Heading1"/>
        <w:keepNext/>
      </w:pPr>
      <w:r>
        <w:t>12  Atributos ambientales y límites de afirmaciones NVEU</w:t>
      </w:r>
      <w:bookmarkEnd w:id="112"/>
    </w:p>
    <w:p>
      <w:pPr>
        <w:keepNext/>
        <w:spacing w:after="180" w:line="259" w:lineRule="auto"/>
      </w:pPr>
      <w:r>
        <w:rPr>
          <w:rFonts w:ascii="Arial" w:hAnsi="Arial"/>
          <w:b w:val="0"/>
          <w:i w:val="0"/>
          <w:color w:val="62716E"/>
          <w:sz w:val="15"/>
        </w:rPr>
        <w:t>[1] Referencia: S-02; T-10; T-22; U-01; U-02; U-03; U-05; U-07</w:t>
      </w:r>
    </w:p>
    <w:p>
      <w:pPr>
        <w:pStyle w:val="Heading2"/>
        <w:keepNext/>
      </w:pPr>
      <w:r>
        <w:t>Registro de atributos y resultados</w:t>
      </w:r>
    </w:p>
    <w:p>
      <w:pPr>
        <w:keepNext/>
        <w:spacing w:before="40" w:after="60"/>
      </w:pPr>
      <w:r>
        <w:rPr>
          <w:rFonts w:ascii="Lato" w:hAnsi="Lato"/>
          <w:color w:val="315B50"/>
          <w:sz w:val="18"/>
        </w:rPr>
        <w:t>PD-T21 / Notación del cálculo</w:t>
      </w:r>
    </w:p>
    <w:p>
      <w:pPr>
        <w:keepNext/>
        <w:spacing w:before="40" w:after="60"/>
      </w:pPr>
      <m:oMath>
        <m:r>
          <w:rPr>
            <w:sz w:val="18"/>
          </w:rPr>
          <m:t>Δ</m:t>
        </m:r>
        <m:sSubSup>
          <m:e>
            <m:r>
              <w:rPr>
                <w:sz w:val="18"/>
              </w:rPr>
              <m:t>x</m:t>
            </m:r>
          </m:e>
          <m:sub>
            <m:r>
              <w:rPr>
                <w:sz w:val="18"/>
              </w:rPr>
              <m:t>r</m:t>
            </m:r>
            <m:r>
              <w:rPr>
                <w:sz w:val="18"/>
              </w:rPr>
              <m:rPr>
                <m:sty m:val="p"/>
              </m:rPr>
              <m:t>,</m:t>
            </m:r>
            <m:r>
              <w:rPr>
                <w:sz w:val="18"/>
              </w:rPr>
              <m:t>t</m:t>
            </m:r>
          </m:sub>
          <m:sup>
            <m:r>
              <w:rPr>
                <w:sz w:val="18"/>
              </w:rPr>
              <m:rPr>
                <m:sty m:val="p"/>
              </m:rPr>
              <m:t>a</m:t>
            </m:r>
            <m:r>
              <w:rPr>
                <w:sz w:val="18"/>
              </w:rPr>
              <m:rPr>
                <m:sty m:val="p"/>
              </m:rPr>
              <m:t>d</m:t>
            </m:r>
            <m:r>
              <w:rPr>
                <w:sz w:val="18"/>
              </w:rPr>
              <m:rPr>
                <m:sty m:val="p"/>
              </m:rPr>
              <m:t>d</m:t>
            </m:r>
          </m:sup>
        </m:sSubSup>
        <m:r>
          <w:rPr>
            <w:sz w:val="18"/>
          </w:rPr>
          <m:rPr>
            <m:sty m:val="p"/>
          </m:rPr>
          <m:t>=</m:t>
        </m:r>
        <m:d>
          <m:dPr>
            <m:begChr m:val="("/>
            <m:endChr m:val=")"/>
            <m:sepChr m:val=""/>
            <m:grow/>
          </m:dPr>
          <m:e>
            <m:sSub>
              <m:e>
                <m:r>
                  <w:rPr>
                    <w:sz w:val="18"/>
                  </w:rPr>
                  <m:t>x</m:t>
                </m:r>
              </m:e>
              <m:sub>
                <m:r>
                  <w:rPr>
                    <w:sz w:val="18"/>
                  </w:rPr>
                  <m:t>r</m:t>
                </m:r>
                <m:r>
                  <w:rPr>
                    <w:sz w:val="18"/>
                  </w:rPr>
                  <m:rPr>
                    <m:sty m:val="p"/>
                  </m:rPr>
                  <m:t>,</m:t>
                </m:r>
                <m:r>
                  <w:rPr>
                    <w:sz w:val="18"/>
                  </w:rPr>
                  <m:rPr>
                    <m:sty m:val="p"/>
                  </m:rPr>
                  <m:t>P</m:t>
                </m:r>
                <m:r>
                  <w:rPr>
                    <w:sz w:val="18"/>
                  </w:rPr>
                  <m:rPr>
                    <m:sty m:val="p"/>
                  </m:rPr>
                  <m:t>J</m:t>
                </m:r>
                <m:r>
                  <w:rPr>
                    <w:sz w:val="18"/>
                  </w:rPr>
                  <m:rPr>
                    <m:sty m:val="p"/>
                  </m:rPr>
                  <m:t>,</m:t>
                </m:r>
                <m:sSub>
                  <m:e>
                    <m:r>
                      <w:rPr>
                        <w:sz w:val="18"/>
                      </w:rPr>
                      <m:t>t</m:t>
                    </m:r>
                  </m:e>
                  <m:sub>
                    <m:r>
                      <w:rPr>
                        <w:sz w:val="18"/>
                      </w:rPr>
                      <m:t>1</m:t>
                    </m:r>
                  </m:sub>
                </m:sSub>
              </m:sub>
            </m:sSub>
            <m:r>
              <w:rPr>
                <w:sz w:val="18"/>
              </w:rPr>
              <m:rPr>
                <m:sty m:val="p"/>
              </m:rPr>
              <m:t>−</m:t>
            </m:r>
            <m:sSub>
              <m:e>
                <m:r>
                  <w:rPr>
                    <w:sz w:val="18"/>
                  </w:rPr>
                  <m:t>x</m:t>
                </m:r>
              </m:e>
              <m:sub>
                <m:r>
                  <w:rPr>
                    <w:sz w:val="18"/>
                  </w:rPr>
                  <m:t>r</m:t>
                </m:r>
                <m:r>
                  <w:rPr>
                    <w:sz w:val="18"/>
                  </w:rPr>
                  <m:rPr>
                    <m:sty m:val="p"/>
                  </m:rPr>
                  <m:t>,</m:t>
                </m:r>
                <m:r>
                  <w:rPr>
                    <w:sz w:val="18"/>
                  </w:rPr>
                  <m:rPr>
                    <m:sty m:val="p"/>
                  </m:rPr>
                  <m:t>P</m:t>
                </m:r>
                <m:r>
                  <w:rPr>
                    <w:sz w:val="18"/>
                  </w:rPr>
                  <m:rPr>
                    <m:sty m:val="p"/>
                  </m:rPr>
                  <m:t>J</m:t>
                </m:r>
                <m:r>
                  <w:rPr>
                    <w:sz w:val="18"/>
                  </w:rPr>
                  <m:rPr>
                    <m:sty m:val="p"/>
                  </m:rPr>
                  <m:t>,</m:t>
                </m:r>
                <m:sSub>
                  <m:e>
                    <m:r>
                      <w:rPr>
                        <w:sz w:val="18"/>
                      </w:rPr>
                      <m:t>t</m:t>
                    </m:r>
                  </m:e>
                  <m:sub>
                    <m:r>
                      <w:rPr>
                        <w:sz w:val="18"/>
                      </w:rPr>
                      <m:t>0</m:t>
                    </m:r>
                  </m:sub>
                </m:sSub>
              </m:sub>
            </m:sSub>
          </m:e>
        </m:d>
        <m:r>
          <w:rPr>
            <w:sz w:val="18"/>
          </w:rPr>
          <m:rPr>
            <m:sty m:val="p"/>
          </m:rPr>
          <m:t>−</m:t>
        </m:r>
        <m:d>
          <m:dPr>
            <m:begChr m:val="("/>
            <m:endChr m:val=")"/>
            <m:sepChr m:val=""/>
            <m:grow/>
          </m:dPr>
          <m:e>
            <m:sSub>
              <m:e>
                <m:r>
                  <w:rPr>
                    <w:sz w:val="18"/>
                  </w:rPr>
                  <m:t>x</m:t>
                </m:r>
              </m:e>
              <m:sub>
                <m:r>
                  <w:rPr>
                    <w:sz w:val="18"/>
                  </w:rPr>
                  <m:t>r</m:t>
                </m:r>
                <m:r>
                  <w:rPr>
                    <w:sz w:val="18"/>
                  </w:rPr>
                  <m:rPr>
                    <m:sty m:val="p"/>
                  </m:rPr>
                  <m:t>,</m:t>
                </m:r>
                <m:r>
                  <w:rPr>
                    <w:sz w:val="18"/>
                  </w:rPr>
                  <m:rPr>
                    <m:sty m:val="p"/>
                  </m:rPr>
                  <m:t>B</m:t>
                </m:r>
                <m:r>
                  <w:rPr>
                    <w:sz w:val="18"/>
                  </w:rPr>
                  <m:rPr>
                    <m:sty m:val="p"/>
                  </m:rPr>
                  <m:t>L</m:t>
                </m:r>
                <m:r>
                  <w:rPr>
                    <w:sz w:val="18"/>
                  </w:rPr>
                  <m:rPr>
                    <m:sty m:val="p"/>
                  </m:rPr>
                  <m:t>,</m:t>
                </m:r>
                <m:sSub>
                  <m:e>
                    <m:r>
                      <w:rPr>
                        <w:sz w:val="18"/>
                      </w:rPr>
                      <m:t>t</m:t>
                    </m:r>
                  </m:e>
                  <m:sub>
                    <m:r>
                      <w:rPr>
                        <w:sz w:val="18"/>
                      </w:rPr>
                      <m:t>1</m:t>
                    </m:r>
                  </m:sub>
                </m:sSub>
              </m:sub>
            </m:sSub>
            <m:r>
              <w:rPr>
                <w:sz w:val="18"/>
              </w:rPr>
              <m:rPr>
                <m:sty m:val="p"/>
              </m:rPr>
              <m:t>−</m:t>
            </m:r>
            <m:sSub>
              <m:e>
                <m:r>
                  <w:rPr>
                    <w:sz w:val="18"/>
                  </w:rPr>
                  <m:t>x</m:t>
                </m:r>
              </m:e>
              <m:sub>
                <m:r>
                  <w:rPr>
                    <w:sz w:val="18"/>
                  </w:rPr>
                  <m:t>r</m:t>
                </m:r>
                <m:r>
                  <w:rPr>
                    <w:sz w:val="18"/>
                  </w:rPr>
                  <m:rPr>
                    <m:sty m:val="p"/>
                  </m:rPr>
                  <m:t>,</m:t>
                </m:r>
                <m:r>
                  <w:rPr>
                    <w:sz w:val="18"/>
                  </w:rPr>
                  <m:rPr>
                    <m:sty m:val="p"/>
                  </m:rPr>
                  <m:t>B</m:t>
                </m:r>
                <m:r>
                  <w:rPr>
                    <w:sz w:val="18"/>
                  </w:rPr>
                  <m:rPr>
                    <m:sty m:val="p"/>
                  </m:rPr>
                  <m:t>L</m:t>
                </m:r>
                <m:r>
                  <w:rPr>
                    <w:sz w:val="18"/>
                  </w:rPr>
                  <m:rPr>
                    <m:sty m:val="p"/>
                  </m:rPr>
                  <m:t>,</m:t>
                </m:r>
                <m:sSub>
                  <m:e>
                    <m:r>
                      <w:rPr>
                        <w:sz w:val="18"/>
                      </w:rPr>
                      <m:t>t</m:t>
                    </m:r>
                  </m:e>
                  <m:sub>
                    <m:r>
                      <w:rPr>
                        <w:sz w:val="18"/>
                      </w:rPr>
                      <m:t>0</m:t>
                    </m:r>
                  </m:sub>
                </m:sSub>
              </m:sub>
            </m:sSub>
          </m:e>
        </m:d>
      </m:oMath>
    </w:p>
    <w:p>
      <w:pPr>
        <w:keepNext/>
        <w:spacing w:before="40" w:after="60"/>
      </w:pPr>
      <w:r>
        <w:rPr>
          <w:rFonts w:ascii="Lato" w:hAnsi="Lato"/>
          <w:color w:val="315B50"/>
          <w:sz w:val="16"/>
        </w:rPr>
        <w:t>r identifica un indicador ambiental o social con unidad u_r propia. Es magnitud candidata de M06.1, no conversión aprobada a carbono o NVEU. Reportar atributos por separado y especificar protocolo y soporte observado.</w:t>
      </w:r>
    </w:p>
    <w:p>
      <w:pPr>
        <w:keepNext/>
        <w:spacing w:before="40" w:after="60"/>
      </w:pPr>
      <w:r>
        <w:rPr>
          <w:rFonts w:ascii="Lato" w:hAnsi="Lato"/>
          <w:color w:val="315B50"/>
          <w:sz w:val="14"/>
        </w:rPr>
        <w:t>Base: M06.1; T-10 | Libro: Cuadro separado de indicadores; Evidence!G</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412"/>
        <w:gridCol w:w="3217"/>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Atributo / significado ecológico</w:t>
            </w:r>
          </w:p>
          <w:p>
            <w:pPr>
              <w:spacing w:before="40" w:after="40"/>
            </w:pPr>
            <m:oMath>
              <m:r>
                <w:rPr>
                  <w:sz w:val="16"/>
                  <w:color w:val="173E34"/>
                </w:rPr>
                <m:t>r</m:t>
              </m:r>
              <m:r>
                <w:rPr>
                  <w:sz w:val="16"/>
                  <w:color w:val="173E34"/>
                </w:rPr>
                <m:rPr>
                  <m:sty m:val="p"/>
                </m:rPr>
                <m:t>,</m:t>
              </m:r>
              <m:r>
                <w:rPr>
                  <w:sz w:val="16"/>
                  <w:color w:val="173E34"/>
                </w:rPr>
                <m:t> </m:t>
              </m:r>
              <m:sSub>
                <m:e>
                  <m:r>
                    <w:rPr>
                      <w:sz w:val="16"/>
                      <w:color w:val="173E34"/>
                    </w:rPr>
                    <m:t>t</m:t>
                  </m:r>
                </m:e>
                <m:sub>
                  <m:r>
                    <w:rPr>
                      <w:sz w:val="16"/>
                      <w:color w:val="173E34"/>
                    </w:rPr>
                    <m:t>0</m:t>
                  </m:r>
                </m:sub>
              </m:sSub>
              <m:r>
                <w:rPr>
                  <w:sz w:val="16"/>
                  <w:color w:val="173E34"/>
                </w:rPr>
                <m:rPr>
                  <m:sty m:val="p"/>
                </m:rPr>
                <m:t>,</m:t>
              </m:r>
              <m:r>
                <w:rPr>
                  <w:sz w:val="16"/>
                  <w:color w:val="173E34"/>
                </w:rPr>
                <m:t> </m:t>
              </m:r>
              <m:sSub>
                <m:e>
                  <m:r>
                    <w:rPr>
                      <w:sz w:val="16"/>
                      <w:color w:val="173E34"/>
                    </w:rPr>
                    <m:t>t</m:t>
                  </m:r>
                </m:e>
                <m:sub>
                  <m:r>
                    <w:rPr>
                      <w:sz w:val="16"/>
                      <w:color w:val="173E34"/>
                    </w:rPr>
                    <m:t>1</m:t>
                  </m:r>
                </m:sub>
              </m:sSub>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Indicador, unidad, límite y período</w:t>
            </w:r>
          </w:p>
          <w:p>
            <w:pPr>
              <w:spacing w:before="40" w:after="40"/>
            </w:pPr>
            <m:oMath>
              <m:sSub>
                <m:e>
                  <m:r>
                    <w:rPr>
                      <w:sz w:val="16"/>
                      <w:color w:val="173E34"/>
                    </w:rPr>
                    <m:t>x</m:t>
                  </m:r>
                </m:e>
                <m:sub>
                  <m:r>
                    <w:rPr>
                      <w:sz w:val="16"/>
                      <w:color w:val="173E34"/>
                    </w:rPr>
                    <m:t>r</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t> </m:t>
              </m:r>
              <m:d>
                <m:dPr>
                  <m:begChr m:val="["/>
                  <m:endChr m:val="]"/>
                  <m:sepChr m:val=""/>
                  <m:grow/>
                </m:dPr>
                <m:e>
                  <m:sSub>
                    <m:e>
                      <m:r>
                        <w:rPr>
                          <w:sz w:val="16"/>
                          <w:color w:val="173E34"/>
                        </w:rPr>
                        <m:t>u</m:t>
                      </m:r>
                    </m:e>
                    <m:sub>
                      <m:r>
                        <w:rPr>
                          <w:sz w:val="16"/>
                          <w:color w:val="173E34"/>
                        </w:rPr>
                        <m:t>r</m:t>
                      </m:r>
                    </m:sub>
                  </m:sSub>
                </m:e>
              </m:d>
            </m:oMath>
          </w:p>
        </w:tc>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Método, estado de evidencia y límites</w:t>
            </w:r>
          </w:p>
          <w:p>
            <w:pPr>
              <w:spacing w:before="40" w:after="40"/>
            </w:pPr>
            <m:oMath>
              <m:r>
                <w:rPr>
                  <w:sz w:val="16"/>
                  <w:color w:val="173E34"/>
                </w:rPr>
                <m:t>Δ</m:t>
              </m:r>
              <m:sSubSup>
                <m:e>
                  <m:r>
                    <w:rPr>
                      <w:sz w:val="16"/>
                      <w:color w:val="173E34"/>
                    </w:rPr>
                    <m:t>x</m:t>
                  </m:r>
                </m:e>
                <m:sub>
                  <m:r>
                    <w:rPr>
                      <w:sz w:val="16"/>
                      <w:color w:val="173E34"/>
                    </w:rPr>
                    <m:t>r</m:t>
                  </m:r>
                  <m:r>
                    <w:rPr>
                      <w:sz w:val="16"/>
                      <w:color w:val="173E34"/>
                    </w:rPr>
                    <m:rPr>
                      <m:sty m:val="p"/>
                    </m:rPr>
                    <m:t>,</m:t>
                  </m:r>
                  <m:r>
                    <w:rPr>
                      <w:sz w:val="16"/>
                      <w:color w:val="173E34"/>
                    </w:rPr>
                    <m:t>t</m:t>
                  </m:r>
                </m:sub>
                <m:sup>
                  <m:r>
                    <w:rPr>
                      <w:sz w:val="16"/>
                      <w:color w:val="173E34"/>
                    </w:rPr>
                    <m:rPr>
                      <m:sty m:val="p"/>
                    </m:rPr>
                    <m:t>a</m:t>
                  </m:r>
                  <m:r>
                    <w:rPr>
                      <w:sz w:val="16"/>
                      <w:color w:val="173E34"/>
                    </w:rPr>
                    <m:rPr>
                      <m:sty m:val="p"/>
                    </m:rPr>
                    <m:t>d</m:t>
                  </m:r>
                  <m:r>
                    <w:rPr>
                      <w:sz w:val="16"/>
                      <w:color w:val="173E34"/>
                    </w:rPr>
                    <m:rPr>
                      <m:sty m:val="p"/>
                    </m:rPr>
                    <m:t>d</m:t>
                  </m:r>
                </m:sup>
              </m:sSubSup>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Especificación de categoría solicitada, si aplica</w:t>
      </w:r>
    </w:p>
    <w:p>
      <w:pPr>
        <w:keepNext/>
        <w:spacing w:before="40" w:after="60"/>
      </w:pPr>
      <w:r>
        <w:rPr>
          <w:rFonts w:ascii="Lato" w:hAnsi="Lato"/>
          <w:color w:val="315B50"/>
          <w:sz w:val="18"/>
        </w:rPr>
        <w:t>PD-T22 / Notación del cálculo</w:t>
      </w:r>
    </w:p>
    <w:p>
      <w:pPr>
        <w:keepNext/>
        <w:spacing w:before="40" w:after="60"/>
      </w:pPr>
      <m:oMath>
        <m:sSubSup>
          <m:e>
            <m:r>
              <w:rPr>
                <w:sz w:val="18"/>
              </w:rPr>
              <m:t>n</m:t>
            </m:r>
          </m:e>
          <m:sub>
            <m:r>
              <w:rPr>
                <w:sz w:val="18"/>
              </w:rPr>
              <m:t>t</m:t>
            </m:r>
          </m:sub>
          <m:sup>
            <m:r>
              <w:rPr>
                <w:sz w:val="18"/>
              </w:rPr>
              <m:rPr>
                <m:sty m:val="p"/>
              </m:rPr>
              <m:t>c</m:t>
            </m:r>
            <m:r>
              <w:rPr>
                <w:sz w:val="18"/>
              </w:rPr>
              <m:rPr>
                <m:sty m:val="p"/>
              </m:rPr>
              <m:t>a</m:t>
            </m:r>
            <m:r>
              <w:rPr>
                <w:sz w:val="18"/>
              </w:rPr>
              <m:rPr>
                <m:sty m:val="p"/>
              </m:rPr>
              <m:t>n</m:t>
            </m:r>
            <m:r>
              <w:rPr>
                <w:sz w:val="18"/>
              </w:rPr>
              <m:rPr>
                <m:sty m:val="p"/>
              </m:rPr>
              <m:t>d</m:t>
            </m:r>
            <m:r>
              <w:rPr>
                <w:sz w:val="18"/>
              </w:rPr>
              <m:rPr>
                <m:sty m:val="p"/>
              </m:rPr>
              <m:t>i</m:t>
            </m:r>
            <m:r>
              <w:rPr>
                <w:sz w:val="18"/>
              </w:rPr>
              <m:rPr>
                <m:sty m:val="p"/>
              </m:rPr>
              <m:t>d</m:t>
            </m:r>
            <m:r>
              <w:rPr>
                <w:sz w:val="18"/>
              </w:rPr>
              <m:rPr>
                <m:sty m:val="p"/>
              </m:rPr>
              <m:t>a</m:t>
            </m:r>
            <m:r>
              <w:rPr>
                <w:sz w:val="18"/>
              </w:rPr>
              <m:rPr>
                <m:sty m:val="p"/>
              </m:rPr>
              <m:t>t</m:t>
            </m:r>
            <m:r>
              <w:rPr>
                <w:sz w:val="18"/>
              </w:rPr>
              <m:rPr>
                <m:sty m:val="p"/>
              </m:rPr>
              <m:t>e</m:t>
            </m:r>
          </m:sup>
        </m:sSubSup>
        <m:r>
          <w:rPr>
            <w:sz w:val="18"/>
          </w:rPr>
          <m:rPr>
            <m:sty m:val="p"/>
          </m:rPr>
          <m:t>=</m:t>
        </m:r>
        <m:f>
          <m:fPr>
            <m:type m:val="bar"/>
          </m:fPr>
          <m:num>
            <m:sSubSup>
              <m:e>
                <m:r>
                  <w:rPr>
                    <w:sz w:val="18"/>
                  </w:rPr>
                  <m:t>J</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num>
          <m:den>
            <m:sSub>
              <m:e>
                <m:r>
                  <w:rPr>
                    <w:sz w:val="18"/>
                  </w:rPr>
                  <m:t>d</m:t>
                </m:r>
              </m:e>
              <m:sub>
                <m:r>
                  <w:rPr>
                    <w:sz w:val="18"/>
                  </w:rPr>
                  <m:t>u</m:t>
                </m:r>
              </m:sub>
            </m:sSub>
          </m:den>
        </m:f>
        <m:r>
          <w:rPr>
            <w:sz w:val="18"/>
          </w:rPr>
          <m:rPr>
            <m:sty m:val="p"/>
          </m:rPr>
          <m:t>,</m:t>
        </m:r>
        <m:r>
          <w:rPr>
            <w:sz w:val="18"/>
          </w:rPr>
          <m:t>  </m:t>
        </m:r>
        <m:sSub>
          <m:e>
            <m:r>
              <w:rPr>
                <w:sz w:val="18"/>
              </w:rPr>
              <m:t>d</m:t>
            </m:r>
          </m:e>
          <m:sub>
            <m:r>
              <w:rPr>
                <w:sz w:val="18"/>
              </w:rPr>
              <m:t>u</m:t>
            </m:r>
          </m:sub>
        </m:sSub>
        <m:r>
          <w:rPr>
            <w:sz w:val="18"/>
          </w:rPr>
          <m:rPr>
            <m:sty m:val="p"/>
          </m:rPr>
          <m:t>&gt;</m:t>
        </m:r>
        <m:r>
          <w:rPr>
            <w:sz w:val="18"/>
          </w:rPr>
          <m:t>0</m:t>
        </m:r>
        <m:r>
          <w:rPr>
            <w:sz w:val="18"/>
          </w:rPr>
          <m:rPr>
            <m:sty m:val="p"/>
          </m:rPr>
          <m:t>,</m:t>
        </m:r>
        <m:r>
          <w:rPr>
            <w:sz w:val="18"/>
          </w:rPr>
          <m:t> </m:t>
        </m:r>
        <m:sSubSup>
          <m:e>
            <m:r>
              <w:rPr>
                <w:sz w:val="18"/>
              </w:rPr>
              <m:t>J</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t>0</m:t>
        </m:r>
      </m:oMath>
    </w:p>
    <w:p>
      <w:pPr>
        <w:keepNext/>
        <w:spacing w:before="40" w:after="60"/>
      </w:pPr>
      <w:r>
        <w:rPr>
          <w:rFonts w:ascii="Lato" w:hAnsi="Lato"/>
          <w:color w:val="315B50"/>
          <w:sz w:val="16"/>
        </w:rPr>
        <w:t>d_u es t CO2e por NVEU de categoría especificada. El cociente es conteo candidato, no emisión ni equivalencia con otras unidades de carbono externas. No se supone d_u ni regla de unidades enteras. Falta de autorización de categoría bloquea conteo.</w:t>
      </w:r>
    </w:p>
    <w:p>
      <w:pPr>
        <w:keepNext/>
        <w:spacing w:before="40" w:after="60"/>
      </w:pPr>
      <w:r>
        <w:rPr>
          <w:rFonts w:ascii="Lato" w:hAnsi="Lato"/>
          <w:color w:val="315B50"/>
          <w:sz w:val="14"/>
        </w:rPr>
        <w:t>Base: F-R04; U-01 | Libro: Results!F:H; Profile!B7:B10</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315"/>
        <w:gridCol w:w="3412"/>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Categoría / afirmación permitida</w:t>
            </w:r>
          </w:p>
          <w:p>
            <w:pPr>
              <w:spacing w:before="40" w:after="40"/>
            </w:pPr>
            <m:oMath>
              <m:r>
                <w:rPr>
                  <w:sz w:val="16"/>
                  <w:color w:val="173E34"/>
                </w:rPr>
                <m:rPr>
                  <m:nor/>
                  <m:sty m:val="p"/>
                </m:rPr>
                <m:t>category</m:t>
              </m:r>
              <m:r>
                <w:rPr>
                  <w:sz w:val="16"/>
                  <w:color w:val="173E34"/>
                </w:rPr>
                <m:rPr>
                  <m:sty m:val="p"/>
                </m:rPr>
                <m:t>,</m:t>
              </m:r>
              <m:r>
                <w:rPr>
                  <w:sz w:val="16"/>
                  <w:color w:val="173E34"/>
                </w:rPr>
                <m:t> </m:t>
              </m:r>
              <m:r>
                <w:rPr>
                  <w:sz w:val="16"/>
                  <w:color w:val="173E34"/>
                </w:rPr>
                <m:t>t</m:t>
              </m:r>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Denominación y registro de autorización</w:t>
            </w:r>
          </w:p>
          <w:p>
            <w:pPr>
              <w:spacing w:before="40" w:after="40"/>
            </w:pPr>
            <m:oMath>
              <m:sSub>
                <m:e>
                  <m:r>
                    <w:rPr>
                      <w:sz w:val="16"/>
                      <w:color w:val="173E34"/>
                    </w:rPr>
                    <m:t>d</m:t>
                  </m:r>
                </m:e>
                <m:sub>
                  <m:r>
                    <w:rPr>
                      <w:sz w:val="16"/>
                      <w:color w:val="173E34"/>
                    </w:rPr>
                    <m:t>u</m:t>
                  </m:r>
                </m:sub>
              </m:sSub>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Incertidumbre, durabilidad y estados</w:t>
            </w:r>
          </w:p>
          <w:p>
            <w:pPr>
              <w:spacing w:before="40" w:after="40"/>
            </w:pPr>
            <m:oMath>
              <m:sSubSup>
                <m:e>
                  <m:r>
                    <w:rPr>
                      <w:sz w:val="16"/>
                      <w:color w:val="173E34"/>
                    </w:rPr>
                    <m:t>J</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Sup>
                <m:e>
                  <m:r>
                    <w:rPr>
                      <w:sz w:val="16"/>
                      <w:color w:val="173E34"/>
                    </w:rPr>
                    <m:t>n</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r>
                    <w:rPr>
                      <w:sz w:val="16"/>
                      <w:color w:val="173E34"/>
                    </w:rPr>
                    <m:rPr>
                      <m:sty m:val="p"/>
                    </m:rPr>
                    <m:t>i</m:t>
                  </m:r>
                  <m:r>
                    <w:rPr>
                      <w:sz w:val="16"/>
                      <w:color w:val="173E34"/>
                    </w:rPr>
                    <m:rPr>
                      <m:sty m:val="p"/>
                    </m:rPr>
                    <m:t>d</m:t>
                  </m:r>
                  <m:r>
                    <w:rPr>
                      <w:sz w:val="16"/>
                      <w:color w:val="173E34"/>
                    </w:rPr>
                    <m:rPr>
                      <m:sty m:val="p"/>
                    </m:rPr>
                    <m:t>a</m:t>
                  </m:r>
                  <m:r>
                    <w:rPr>
                      <w:sz w:val="16"/>
                      <w:color w:val="173E34"/>
                    </w:rPr>
                    <m:rPr>
                      <m:sty m:val="p"/>
                    </m:rPr>
                    <m:t>t</m:t>
                  </m:r>
                  <m:r>
                    <w:rPr>
                      <w:sz w:val="16"/>
                      <w:color w:val="173E34"/>
                    </w:rPr>
                    <m:rPr>
                      <m:sty m:val="p"/>
                    </m:rPr>
                    <m:t>e</m:t>
                  </m:r>
                </m:sup>
              </m:sSubSup>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Límites de afirmaciones y agregación</w:t>
      </w:r>
    </w:p>
    <w:p>
      <w:pPr>
        <w:keepNext/>
        <w:spacing w:after="100" w:line="259" w:lineRule="auto"/>
      </w:pPr>
      <w:r>
        <w:rPr>
          <w:rFonts w:ascii="Arial" w:hAnsi="Arial"/>
          <w:b w:val="0"/>
          <w:i w:val="0"/>
          <w:color w:val="62716E"/>
          <w:sz w:val="18"/>
        </w:rPr>
        <w:t>Distinga observaciones, proyecciones, resultados verificados y NVEU autorizadas. Explique límites de comparabilidad y evite afirmaciones duplicadas o incompatibles. El acrónimo NVEU no implica denominación de carbono adoptada.</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13" w:name="Section_13"/>
      <w:pPr>
        <w:pStyle w:val="Heading1"/>
        <w:keepNext/>
      </w:pPr>
      <w:r>
        <w:t>13  Plan de implementación, recursos y contingencias</w:t>
      </w:r>
      <w:bookmarkEnd w:id="113"/>
    </w:p>
    <w:p>
      <w:pPr>
        <w:keepNext/>
        <w:spacing w:after="180" w:line="259" w:lineRule="auto"/>
      </w:pPr>
      <w:r>
        <w:rPr>
          <w:rFonts w:ascii="Arial" w:hAnsi="Arial"/>
          <w:b w:val="0"/>
          <w:i w:val="0"/>
          <w:color w:val="62716E"/>
          <w:sz w:val="15"/>
        </w:rPr>
        <w:t>[1] Referencia: S-11; S-13; S-25; CYC-05; P-02; FRM-07</w:t>
      </w:r>
    </w:p>
    <w:p>
      <w:pPr>
        <w:pStyle w:val="Heading2"/>
        <w:keepNext/>
      </w:pPr>
      <w:r>
        <w:t>Programa de implementación</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3315"/>
        <w:gridCol w:w="3120"/>
      </w:tblGrid>
      <w:tr>
        <w:trPr>
          <w:trHeight w:val="446" w:hRule="atLeast"/>
          <w:tblHeader/>
        </w:trPr>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Actividad, ubicación e hito</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Ejecutor, mandato y recursos</w:t>
            </w:r>
          </w:p>
        </w:tc>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Cronograma, dependencia y evidencia</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Factibilidad de recursos y financiera</w:t>
      </w:r>
    </w:p>
    <w:p>
      <w:pPr>
        <w:keepNext/>
        <w:spacing w:before="40" w:after="60"/>
      </w:pPr>
      <w:r>
        <w:rPr>
          <w:rFonts w:ascii="Lato" w:hAnsi="Lato"/>
          <w:color w:val="315B50"/>
          <w:sz w:val="18"/>
        </w:rPr>
        <w:t>PD-T24 / Notación del cálculo</w:t>
      </w:r>
    </w:p>
    <w:p>
      <w:pPr>
        <w:keepNext/>
        <w:spacing w:before="40" w:after="60"/>
      </w:pPr>
      <m:oMath>
        <m:sSub>
          <m:e>
            <m:r>
              <w:rPr>
                <w:sz w:val="18"/>
              </w:rPr>
              <m:t>c</m:t>
            </m:r>
          </m:e>
          <m:sub>
            <m:r>
              <w:rPr>
                <w:sz w:val="18"/>
              </w:rPr>
              <m:t>j</m:t>
            </m:r>
            <m:r>
              <w:rPr>
                <w:sz w:val="18"/>
              </w:rPr>
              <m:rPr>
                <m:sty m:val="p"/>
              </m:rPr>
              <m:t>,</m:t>
            </m:r>
            <m:r>
              <w:rPr>
                <w:sz w:val="18"/>
              </w:rPr>
              <m:t>t</m:t>
            </m:r>
          </m:sub>
        </m:sSub>
        <m:r>
          <w:rPr>
            <w:sz w:val="18"/>
          </w:rPr>
          <m:t> </m:t>
        </m:r>
        <m:d>
          <m:dPr>
            <m:begChr m:val="["/>
            <m:endChr m:val="]"/>
            <m:sepChr m:val=""/>
            <m:grow/>
          </m:dPr>
          <m:e>
            <m:sSub>
              <m:e>
                <m:r>
                  <w:rPr>
                    <w:sz w:val="18"/>
                  </w:rPr>
                  <m:t>u</m:t>
                </m:r>
              </m:e>
              <m:sub>
                <m:r>
                  <w:rPr>
                    <w:sz w:val="18"/>
                  </w:rPr>
                  <m:t>c</m:t>
                </m:r>
              </m:sub>
            </m:sSub>
          </m:e>
        </m:d>
      </m:oMath>
    </w:p>
    <w:p>
      <w:pPr>
        <w:keepNext/>
        <w:spacing w:before="40" w:after="60"/>
      </w:pPr>
      <w:r>
        <w:rPr>
          <w:rFonts w:ascii="Lato" w:hAnsi="Lato"/>
          <w:color w:val="315B50"/>
          <w:sz w:val="16"/>
        </w:rPr>
        <w:t>c es costo o recurso registrado en moneda y fecha de precios explícitas. Si se calcula, ingresar ecuación presupuestal real y fuente. La etiqueta no aporta precio, tasa de descuento, fórmula financiera ni factor de emisión.</w:t>
      </w:r>
    </w:p>
    <w:p>
      <w:pPr>
        <w:keepNext/>
        <w:spacing w:before="40" w:after="60"/>
      </w:pPr>
      <w:r>
        <w:rPr>
          <w:rFonts w:ascii="Lato" w:hAnsi="Lato"/>
          <w:color w:val="315B50"/>
          <w:sz w:val="14"/>
        </w:rPr>
        <w:t>Base: CYC-03; CYC-04; CYC-05; etiqueta de dato | Libro: Anexo presupuestal; Evidence!G</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412"/>
        <w:gridCol w:w="3315"/>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Costo / compromiso de recursos</w:t>
            </w:r>
          </w:p>
          <w:p>
            <w:pPr>
              <w:spacing w:before="40" w:after="40"/>
            </w:pPr>
            <m:oMath>
              <m:r>
                <w:rPr>
                  <w:sz w:val="16"/>
                  <w:color w:val="173E34"/>
                </w:rPr>
                <m:t>j</m:t>
              </m:r>
              <m:r>
                <w:rPr>
                  <w:sz w:val="16"/>
                  <w:color w:val="173E34"/>
                </w:rPr>
                <m:rPr>
                  <m:sty m:val="p"/>
                </m:rPr>
                <m:t>,</m:t>
              </m:r>
              <m:r>
                <w:rPr>
                  <w:sz w:val="16"/>
                  <w:color w:val="173E34"/>
                </w:rPr>
                <m:t> </m:t>
              </m:r>
              <m:r>
                <w:rPr>
                  <w:sz w:val="16"/>
                  <w:color w:val="173E34"/>
                </w:rPr>
                <m:t>t</m:t>
              </m:r>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Monto, moneda, plazo y fuente</w:t>
            </w:r>
          </w:p>
          <w:p>
            <w:pPr>
              <w:spacing w:before="40" w:after="40"/>
            </w:pPr>
            <m:oMath>
              <m:sSub>
                <m:e>
                  <m:r>
                    <w:rPr>
                      <w:sz w:val="16"/>
                      <w:color w:val="173E34"/>
                    </w:rPr>
                    <m:t>c</m:t>
                  </m:r>
                </m:e>
                <m:sub>
                  <m:r>
                    <w:rPr>
                      <w:sz w:val="16"/>
                      <w:color w:val="173E34"/>
                    </w:rPr>
                    <m:t>j</m:t>
                  </m:r>
                  <m:r>
                    <w:rPr>
                      <w:sz w:val="16"/>
                      <w:color w:val="173E34"/>
                    </w:rPr>
                    <m:rPr>
                      <m:sty m:val="p"/>
                    </m:rPr>
                    <m:t>,</m:t>
                  </m:r>
                  <m:r>
                    <w:rPr>
                      <w:sz w:val="16"/>
                      <w:color w:val="173E34"/>
                    </w:rPr>
                    <m:t>t</m:t>
                  </m:r>
                </m:sub>
              </m:sSub>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Financiación, sensibilidad y contingencia</w:t>
            </w:r>
          </w:p>
          <w:p>
            <w:pPr>
              <w:spacing w:before="40" w:after="40"/>
            </w:pPr>
            <m:oMath>
              <m:r>
                <w:rPr>
                  <w:sz w:val="16"/>
                  <w:color w:val="173E34"/>
                </w:rPr>
                <m:rPr>
                  <m:nor/>
                  <m:sty m:val="p"/>
                </m:rPr>
                <m:t>source</m:t>
              </m:r>
              <m:d>
                <m:dPr>
                  <m:begChr m:val="("/>
                  <m:endChr m:val=")"/>
                  <m:sepChr m:val=""/>
                  <m:grow/>
                </m:dPr>
                <m:e>
                  <m:sSub>
                    <m:e>
                      <m:r>
                        <w:rPr>
                          <w:sz w:val="16"/>
                          <w:color w:val="173E34"/>
                        </w:rPr>
                        <m:t>c</m:t>
                      </m:r>
                    </m:e>
                    <m:sub>
                      <m:r>
                        <w:rPr>
                          <w:sz w:val="16"/>
                          <w:color w:val="173E34"/>
                        </w:rPr>
                        <m:t>j</m:t>
                      </m:r>
                      <m:r>
                        <w:rPr>
                          <w:sz w:val="16"/>
                          <w:color w:val="173E34"/>
                        </w:rPr>
                        <m:rPr>
                          <m:sty m:val="p"/>
                        </m:rPr>
                        <m:t>,</m:t>
                      </m:r>
                      <m:r>
                        <w:rPr>
                          <w:sz w:val="16"/>
                          <w:color w:val="173E34"/>
                        </w:rPr>
                        <m:t>t</m:t>
                      </m:r>
                    </m:sub>
                  </m:sSub>
                </m:e>
              </m:d>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Operación, mantenimiento e incidentes</w:t>
      </w:r>
    </w:p>
    <w:p>
      <w:pPr>
        <w:keepNext/>
        <w:spacing w:after="100" w:line="259" w:lineRule="auto"/>
      </w:pPr>
      <w:r>
        <w:rPr>
          <w:rFonts w:ascii="Arial" w:hAnsi="Arial"/>
          <w:b w:val="0"/>
          <w:i w:val="0"/>
          <w:color w:val="62716E"/>
          <w:sz w:val="18"/>
        </w:rPr>
        <w:t>Registre acceso, seguridad, capacidad, mantenimiento, recursos de monitoreo, perturbaciones, escalamiento y reparación. NEBIOT presta servicios técnicos contratados; el ejecutor identificado realiza intervenciones.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14" w:name="Section_14"/>
      <w:pPr>
        <w:pStyle w:val="Heading1"/>
        <w:keepNext/>
      </w:pPr>
      <w:r>
        <w:t>14  Diseño de monitoreo y control de cambios</w:t>
      </w:r>
      <w:bookmarkEnd w:id="114"/>
    </w:p>
    <w:p>
      <w:pPr>
        <w:keepNext/>
        <w:spacing w:after="180" w:line="259" w:lineRule="auto"/>
      </w:pPr>
      <w:r>
        <w:rPr>
          <w:rFonts w:ascii="Arial" w:hAnsi="Arial"/>
          <w:b w:val="0"/>
          <w:i w:val="0"/>
          <w:color w:val="62716E"/>
          <w:sz w:val="15"/>
        </w:rPr>
        <w:t>[1] Referencia: CYC-05; CYC-06; P-02; P-03; P-04; P-10; AO-08; FRM-02/AO</w:t>
      </w:r>
    </w:p>
    <w:p>
      <w:pPr>
        <w:pStyle w:val="Heading2"/>
        <w:keepNext/>
      </w:pPr>
      <w:r>
        <w:t>Matriz de monitoreo variable-ecuación</w:t>
      </w:r>
    </w:p>
    <w:p>
      <w:pPr>
        <w:keepNext/>
        <w:spacing w:before="40" w:after="60"/>
      </w:pPr>
      <w:r>
        <w:rPr>
          <w:rFonts w:ascii="Lato" w:hAnsi="Lato"/>
          <w:color w:val="315B50"/>
          <w:sz w:val="18"/>
        </w:rPr>
        <w:t>PD-T25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510"/>
        <w:gridCol w:w="3120"/>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Variable / ecuación / ámbito espacial</w:t>
            </w:r>
          </w:p>
          <w:p>
            <w:pPr>
              <w:spacing w:before="40" w:after="40"/>
            </w:pPr>
            <m:oMath>
              <m:sSub>
                <m:e>
                  <m:r>
                    <w:rPr>
                      <w:sz w:val="16"/>
                      <w:color w:val="173E34"/>
                    </w:rPr>
                    <m:t>x</m:t>
                  </m:r>
                </m:e>
                <m:sub>
                  <m:r>
                    <w:rPr>
                      <w:sz w:val="16"/>
                      <w:color w:val="173E34"/>
                    </w:rPr>
                    <m:rPr>
                      <m:sty m:val="p"/>
                    </m:rPr>
                    <m:t>ℓ</m:t>
                  </m:r>
                </m:sub>
              </m:sSub>
            </m:oMath>
          </w:p>
        </w:tc>
        <w:tc>
          <w:tcPr>
            <w:tcW w:type="dxa" w:w="351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Método, muestreo, frecuencia y responsable</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Calibración, calidad y datos faltantes</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Productos de monitoreo y acceso independiente</w:t>
      </w:r>
    </w:p>
    <w:p>
      <w:pPr>
        <w:keepNext/>
        <w:spacing w:after="100" w:line="259" w:lineRule="auto"/>
      </w:pPr>
      <w:r>
        <w:rPr>
          <w:rFonts w:ascii="Arial" w:hAnsi="Arial"/>
          <w:b w:val="0"/>
          <w:i w:val="0"/>
          <w:color w:val="62716E"/>
          <w:sz w:val="18"/>
        </w:rPr>
        <w:t>Describa evidencia de campo y remota, custodia de laboratorio, períodos, retención original, versiones y resultados reproducibles. Vincule variables con módulos y cálculos. Registre acceso OVV independiente.</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pPr>
        <w:pStyle w:val="Heading2"/>
        <w:keepNext/>
      </w:pPr>
      <w:r>
        <w:t>Respuesta a perturbaciones y desencadenantes de revalidación</w:t>
      </w:r>
    </w:p>
    <w:p>
      <w:pPr>
        <w:keepNext/>
        <w:spacing w:after="100" w:line="259" w:lineRule="auto"/>
      </w:pPr>
      <w:r>
        <w:rPr>
          <w:rFonts w:ascii="Arial" w:hAnsi="Arial"/>
          <w:b w:val="0"/>
          <w:i w:val="0"/>
          <w:color w:val="62716E"/>
          <w:sz w:val="18"/>
        </w:rPr>
        <w:t>Identifique detección de eventos, notificación de reversiones, vacíos, cambios de derechos, métodos o límites, revisión de adicionalidad y condiciones de recálculo o revalidación. Conserve versiones previas y hallazgos adversos.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15" w:name="Section_15"/>
      <w:pPr>
        <w:pStyle w:val="Heading1"/>
        <w:keepNext/>
      </w:pPr>
      <w:r>
        <w:t>15  Perfil de aplicación y aprobación de parámetros</w:t>
      </w:r>
      <w:bookmarkEnd w:id="115"/>
    </w:p>
    <w:p>
      <w:pPr>
        <w:keepNext/>
        <w:spacing w:after="180" w:line="259" w:lineRule="auto"/>
      </w:pPr>
      <w:r>
        <w:rPr>
          <w:rFonts w:ascii="Arial" w:hAnsi="Arial"/>
          <w:b w:val="0"/>
          <w:i w:val="0"/>
          <w:color w:val="62716E"/>
          <w:sz w:val="15"/>
        </w:rPr>
        <w:t>[1] Referencia: S-18; T-01; T-14; T-20; F-03; U-01; FRM-05</w:t>
      </w:r>
    </w:p>
    <w:p>
      <w:pPr>
        <w:keepNext w:val="0"/>
        <w:spacing w:after="160" w:line="259" w:lineRule="auto"/>
        <w:shd w:fill="F1F5F2"/>
      </w:pPr>
      <w:r>
        <w:rPr>
          <w:rFonts w:ascii="Arial" w:hAnsi="Arial"/>
          <w:b w:val="0"/>
          <w:i w:val="0"/>
          <w:color w:val="215F52"/>
          <w:sz w:val="18"/>
        </w:rPr>
        <w:t>Complete o adjunte FRM-05 por cada concepto aplicable. Cada entrada aprobada necesita regla o valor, aplicabilidad, unidades pertinentes, evidencia, autoridad, vigencia, versión y desencadenante. Las entradas pendientes identifican la puerta afectada; los blancos no son valores predeterminados.</w:t>
      </w:r>
    </w:p>
    <w:p>
      <w:pPr>
        <w:pStyle w:val="Heading2"/>
        <w:keepNext/>
      </w:pPr>
      <w:r>
        <w:t>Registro de decisiones AP-01–AP-12</w:t>
      </w:r>
    </w:p>
    <w:p>
      <w:pPr>
        <w:keepNext/>
        <w:spacing w:before="40" w:after="60"/>
      </w:pPr>
      <w:r>
        <w:rPr>
          <w:rFonts w:ascii="Lato" w:hAnsi="Lato"/>
          <w:color w:val="315B50"/>
          <w:sz w:val="18"/>
        </w:rPr>
        <w:t>PD-T26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4192"/>
        <w:gridCol w:w="5557"/>
      </w:tblGrid>
      <w:tr>
        <w:trPr>
          <w:trHeight w:val="446" w:hRule="atLeast"/>
          <w:tblHeader/>
        </w:trPr>
        <w:tc>
          <w:tcPr>
            <w:tcW w:type="dxa" w:w="419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ID / asunto decisorio</w:t>
            </w:r>
          </w:p>
          <w:p>
            <w:pPr>
              <w:spacing w:before="40" w:after="40"/>
            </w:pPr>
            <m:oMath>
              <m:sSub>
                <m:e>
                  <m:r>
                    <w:rPr>
                      <w:sz w:val="16"/>
                      <w:color w:val="173E34"/>
                    </w:rPr>
                    <m:t>x</m:t>
                  </m:r>
                </m:e>
                <m:sub>
                  <m:r>
                    <w:rPr>
                      <w:sz w:val="16"/>
                      <w:color w:val="173E34"/>
                    </w:rPr>
                    <m:rPr>
                      <m:sty m:val="p"/>
                    </m:rPr>
                    <m:t>ℓ</m:t>
                  </m:r>
                </m:sub>
              </m:sSub>
            </m:oMath>
          </w:p>
        </w:tc>
        <w:tc>
          <w:tcPr>
            <w:tcW w:type="dxa" w:w="555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Regla / valor / evidencia / aprobación o puerta afectada</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r>
      <w:tr>
        <w:trPr>
          <w:trHeight w:val="446" w:hRule="atLeast"/>
        </w:trPr>
        <w:tc>
          <w:tcPr>
            <w:tcW w:type="dxa" w:w="419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AP-01 / Aplicabilidad de actividades y reservorios</w:t>
            </w:r>
          </w:p>
        </w:tc>
        <w:tc>
          <w:tcPr>
            <w:tcW w:type="dxa" w:w="555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 o referencie la entrada controlada FRM-05]</w:t>
            </w:r>
          </w:p>
        </w:tc>
      </w:tr>
      <w:tr>
        <w:trPr>
          <w:trHeight w:val="446" w:hRule="atLeast"/>
        </w:trPr>
        <w:tc>
          <w:tcPr>
            <w:tcW w:type="dxa" w:w="4192"/>
            <w:vAlign w:val="center"/>
            <w:tcMar>
              <w:top w:w="70" w:type="dxa"/>
              <w:start w:w="85" w:type="dxa"/>
              <w:bottom w:w="70" w:type="dxa"/>
              <w:end w:w="85" w:type="dxa"/>
            </w:tcMar>
          </w:tcPr>
          <w:p>
            <w:pPr>
              <w:spacing w:after="0" w:line="250" w:lineRule="auto"/>
            </w:pPr>
            <w:r>
              <w:rPr>
                <w:rFonts w:ascii="Arial" w:hAnsi="Arial"/>
                <w:b w:val="0"/>
                <w:i w:val="0"/>
                <w:color w:val="243A36"/>
                <w:sz w:val="16"/>
              </w:rPr>
              <w:t>AP-02 / Fechas y elegibilidad histórica</w:t>
            </w:r>
          </w:p>
        </w:tc>
        <w:tc>
          <w:tcPr>
            <w:tcW w:type="dxa" w:w="5557"/>
            <w:vAlign w:val="center"/>
            <w:tcMar>
              <w:top w:w="70" w:type="dxa"/>
              <w:start w:w="85" w:type="dxa"/>
              <w:bottom w:w="70" w:type="dxa"/>
              <w:end w:w="85" w:type="dxa"/>
            </w:tcMar>
          </w:tcPr>
          <w:p>
            <w:pPr>
              <w:spacing w:after="0" w:line="250" w:lineRule="auto"/>
            </w:pPr>
            <w:r>
              <w:rPr>
                <w:rFonts w:ascii="Arial" w:hAnsi="Arial"/>
                <w:b w:val="0"/>
                <w:i/>
                <w:color w:val="62716E"/>
                <w:sz w:val="16"/>
              </w:rPr>
              <w:t>[Complete o referencie la entrada controlada FRM-05]</w:t>
            </w:r>
          </w:p>
        </w:tc>
      </w:tr>
      <w:tr>
        <w:trPr>
          <w:trHeight w:val="446" w:hRule="atLeast"/>
        </w:trPr>
        <w:tc>
          <w:tcPr>
            <w:tcW w:type="dxa" w:w="419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AP-03 / Horizontes de acreditación y durabilidad</w:t>
            </w:r>
          </w:p>
        </w:tc>
        <w:tc>
          <w:tcPr>
            <w:tcW w:type="dxa" w:w="555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 o referencie la entrada controlada FRM-05]</w:t>
            </w:r>
          </w:p>
        </w:tc>
      </w:tr>
      <w:tr>
        <w:trPr>
          <w:trHeight w:val="446" w:hRule="atLeast"/>
        </w:trPr>
        <w:tc>
          <w:tcPr>
            <w:tcW w:type="dxa" w:w="4192"/>
            <w:vAlign w:val="center"/>
            <w:tcMar>
              <w:top w:w="70" w:type="dxa"/>
              <w:start w:w="85" w:type="dxa"/>
              <w:bottom w:w="70" w:type="dxa"/>
              <w:end w:w="85" w:type="dxa"/>
            </w:tcMar>
          </w:tcPr>
          <w:p>
            <w:pPr>
              <w:spacing w:after="0" w:line="250" w:lineRule="auto"/>
            </w:pPr>
            <w:r>
              <w:rPr>
                <w:rFonts w:ascii="Arial" w:hAnsi="Arial"/>
                <w:b w:val="0"/>
                <w:i w:val="0"/>
                <w:color w:val="243A36"/>
                <w:sz w:val="16"/>
              </w:rPr>
              <w:t>AP-04 / Pruebas de línea base y adicionalidad</w:t>
            </w:r>
          </w:p>
        </w:tc>
        <w:tc>
          <w:tcPr>
            <w:tcW w:type="dxa" w:w="5557"/>
            <w:vAlign w:val="center"/>
            <w:tcMar>
              <w:top w:w="70" w:type="dxa"/>
              <w:start w:w="85" w:type="dxa"/>
              <w:bottom w:w="70" w:type="dxa"/>
              <w:end w:w="85" w:type="dxa"/>
            </w:tcMar>
          </w:tcPr>
          <w:p>
            <w:pPr>
              <w:spacing w:after="0" w:line="250" w:lineRule="auto"/>
            </w:pPr>
            <w:r>
              <w:rPr>
                <w:rFonts w:ascii="Arial" w:hAnsi="Arial"/>
                <w:b w:val="0"/>
                <w:i/>
                <w:color w:val="62716E"/>
                <w:sz w:val="16"/>
              </w:rPr>
              <w:t>[Complete o referencie la entrada controlada FRM-05]</w:t>
            </w:r>
          </w:p>
        </w:tc>
      </w:tr>
      <w:tr>
        <w:trPr>
          <w:trHeight w:val="446" w:hRule="atLeast"/>
        </w:trPr>
        <w:tc>
          <w:tcPr>
            <w:tcW w:type="dxa" w:w="419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AP-05 / Criterios de clasificación y modelos</w:t>
            </w:r>
          </w:p>
        </w:tc>
        <w:tc>
          <w:tcPr>
            <w:tcW w:type="dxa" w:w="555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 o referencie la entrada controlada FRM-05]</w:t>
            </w:r>
          </w:p>
        </w:tc>
      </w:tr>
      <w:tr>
        <w:trPr>
          <w:trHeight w:val="446" w:hRule="atLeast"/>
        </w:trPr>
        <w:tc>
          <w:tcPr>
            <w:tcW w:type="dxa" w:w="4192"/>
            <w:vAlign w:val="center"/>
            <w:tcMar>
              <w:top w:w="70" w:type="dxa"/>
              <w:start w:w="85" w:type="dxa"/>
              <w:bottom w:w="70" w:type="dxa"/>
              <w:end w:w="85" w:type="dxa"/>
            </w:tcMar>
          </w:tcPr>
          <w:p>
            <w:pPr>
              <w:spacing w:after="0" w:line="250" w:lineRule="auto"/>
            </w:pPr>
            <w:r>
              <w:rPr>
                <w:rFonts w:ascii="Arial" w:hAnsi="Arial"/>
                <w:b w:val="0"/>
                <w:i w:val="0"/>
                <w:color w:val="243A36"/>
                <w:sz w:val="16"/>
              </w:rPr>
              <w:t>AP-06 / Muestreo y monitoreo</w:t>
            </w:r>
          </w:p>
        </w:tc>
        <w:tc>
          <w:tcPr>
            <w:tcW w:type="dxa" w:w="5557"/>
            <w:vAlign w:val="center"/>
            <w:tcMar>
              <w:top w:w="70" w:type="dxa"/>
              <w:start w:w="85" w:type="dxa"/>
              <w:bottom w:w="70" w:type="dxa"/>
              <w:end w:w="85" w:type="dxa"/>
            </w:tcMar>
          </w:tcPr>
          <w:p>
            <w:pPr>
              <w:spacing w:after="0" w:line="250" w:lineRule="auto"/>
            </w:pPr>
            <w:r>
              <w:rPr>
                <w:rFonts w:ascii="Arial" w:hAnsi="Arial"/>
                <w:b w:val="0"/>
                <w:i/>
                <w:color w:val="62716E"/>
                <w:sz w:val="16"/>
              </w:rPr>
              <w:t>[Complete o referencie la entrada controlada FRM-05]</w:t>
            </w:r>
          </w:p>
        </w:tc>
      </w:tr>
      <w:tr>
        <w:trPr>
          <w:trHeight w:val="446" w:hRule="atLeast"/>
        </w:trPr>
        <w:tc>
          <w:tcPr>
            <w:tcW w:type="dxa" w:w="419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AP-07 / Caracterización de gases</w:t>
            </w:r>
          </w:p>
        </w:tc>
        <w:tc>
          <w:tcPr>
            <w:tcW w:type="dxa" w:w="555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 o referencie la entrada controlada FRM-05]</w:t>
            </w:r>
          </w:p>
        </w:tc>
      </w:tr>
      <w:tr>
        <w:trPr>
          <w:trHeight w:val="446" w:hRule="atLeast"/>
        </w:trPr>
        <w:tc>
          <w:tcPr>
            <w:tcW w:type="dxa" w:w="4192"/>
            <w:vAlign w:val="center"/>
            <w:tcMar>
              <w:top w:w="70" w:type="dxa"/>
              <w:start w:w="85" w:type="dxa"/>
              <w:bottom w:w="70" w:type="dxa"/>
              <w:end w:w="85" w:type="dxa"/>
            </w:tcMar>
          </w:tcPr>
          <w:p>
            <w:pPr>
              <w:spacing w:after="0" w:line="250" w:lineRule="auto"/>
            </w:pPr>
            <w:r>
              <w:rPr>
                <w:rFonts w:ascii="Arial" w:hAnsi="Arial"/>
                <w:b w:val="0"/>
                <w:i w:val="0"/>
                <w:color w:val="243A36"/>
                <w:sz w:val="16"/>
              </w:rPr>
              <w:t>AP-08 / Regla conservadora de incertidumbre</w:t>
            </w:r>
          </w:p>
        </w:tc>
        <w:tc>
          <w:tcPr>
            <w:tcW w:type="dxa" w:w="5557"/>
            <w:vAlign w:val="center"/>
            <w:tcMar>
              <w:top w:w="70" w:type="dxa"/>
              <w:start w:w="85" w:type="dxa"/>
              <w:bottom w:w="70" w:type="dxa"/>
              <w:end w:w="85" w:type="dxa"/>
            </w:tcMar>
          </w:tcPr>
          <w:p>
            <w:pPr>
              <w:spacing w:after="0" w:line="250" w:lineRule="auto"/>
            </w:pPr>
            <w:r>
              <w:rPr>
                <w:rFonts w:ascii="Arial" w:hAnsi="Arial"/>
                <w:b w:val="0"/>
                <w:i/>
                <w:color w:val="62716E"/>
                <w:sz w:val="16"/>
              </w:rPr>
              <w:t>[Complete o referencie la entrada controlada FRM-05]</w:t>
            </w:r>
          </w:p>
        </w:tc>
      </w:tr>
      <w:tr>
        <w:trPr>
          <w:trHeight w:val="446" w:hRule="atLeast"/>
        </w:trPr>
        <w:tc>
          <w:tcPr>
            <w:tcW w:type="dxa" w:w="419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AP-09 / Reserva, reparación y resultados negativos</w:t>
            </w:r>
          </w:p>
        </w:tc>
        <w:tc>
          <w:tcPr>
            <w:tcW w:type="dxa" w:w="555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 o referencie la entrada controlada FRM-05]</w:t>
            </w:r>
          </w:p>
        </w:tc>
      </w:tr>
      <w:tr>
        <w:trPr>
          <w:trHeight w:val="446" w:hRule="atLeast"/>
        </w:trPr>
        <w:tc>
          <w:tcPr>
            <w:tcW w:type="dxa" w:w="4192"/>
            <w:vAlign w:val="center"/>
            <w:tcMar>
              <w:top w:w="70" w:type="dxa"/>
              <w:start w:w="85" w:type="dxa"/>
              <w:bottom w:w="70" w:type="dxa"/>
              <w:end w:w="85" w:type="dxa"/>
            </w:tcMar>
          </w:tcPr>
          <w:p>
            <w:pPr>
              <w:spacing w:after="0" w:line="250" w:lineRule="auto"/>
            </w:pPr>
            <w:r>
              <w:rPr>
                <w:rFonts w:ascii="Arial" w:hAnsi="Arial"/>
                <w:b w:val="0"/>
                <w:i w:val="0"/>
                <w:color w:val="243A36"/>
                <w:sz w:val="16"/>
              </w:rPr>
              <w:t>AP-10 / Aseguramiento y materialidad</w:t>
            </w:r>
          </w:p>
        </w:tc>
        <w:tc>
          <w:tcPr>
            <w:tcW w:type="dxa" w:w="5557"/>
            <w:vAlign w:val="center"/>
            <w:tcMar>
              <w:top w:w="70" w:type="dxa"/>
              <w:start w:w="85" w:type="dxa"/>
              <w:bottom w:w="70" w:type="dxa"/>
              <w:end w:w="85" w:type="dxa"/>
            </w:tcMar>
          </w:tcPr>
          <w:p>
            <w:pPr>
              <w:spacing w:after="0" w:line="250" w:lineRule="auto"/>
            </w:pPr>
            <w:r>
              <w:rPr>
                <w:rFonts w:ascii="Arial" w:hAnsi="Arial"/>
                <w:b w:val="0"/>
                <w:i/>
                <w:color w:val="62716E"/>
                <w:sz w:val="16"/>
              </w:rPr>
              <w:t>[Complete o referencie la entrada controlada FRM-05]</w:t>
            </w:r>
          </w:p>
        </w:tc>
      </w:tr>
      <w:tr>
        <w:trPr>
          <w:trHeight w:val="446" w:hRule="atLeast"/>
        </w:trPr>
        <w:tc>
          <w:tcPr>
            <w:tcW w:type="dxa" w:w="419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AP-11 / Gobernanza y afirmaciones</w:t>
            </w:r>
          </w:p>
        </w:tc>
        <w:tc>
          <w:tcPr>
            <w:tcW w:type="dxa" w:w="555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 o referencie la entrada controlada FRM-05]</w:t>
            </w:r>
          </w:p>
        </w:tc>
      </w:tr>
      <w:tr>
        <w:trPr>
          <w:trHeight w:val="446" w:hRule="atLeast"/>
        </w:trPr>
        <w:tc>
          <w:tcPr>
            <w:tcW w:type="dxa" w:w="4192"/>
            <w:vAlign w:val="center"/>
            <w:tcMar>
              <w:top w:w="70" w:type="dxa"/>
              <w:start w:w="85" w:type="dxa"/>
              <w:bottom w:w="70" w:type="dxa"/>
              <w:end w:w="85" w:type="dxa"/>
            </w:tcMar>
          </w:tcPr>
          <w:p>
            <w:pPr>
              <w:spacing w:after="0" w:line="250" w:lineRule="auto"/>
            </w:pPr>
            <w:r>
              <w:rPr>
                <w:rFonts w:ascii="Arial" w:hAnsi="Arial"/>
                <w:b w:val="0"/>
                <w:i w:val="0"/>
                <w:color w:val="243A36"/>
                <w:sz w:val="16"/>
              </w:rPr>
              <w:t>AP-12 / Salvaguardas y registros</w:t>
            </w:r>
          </w:p>
        </w:tc>
        <w:tc>
          <w:tcPr>
            <w:tcW w:type="dxa" w:w="5557"/>
            <w:vAlign w:val="center"/>
            <w:tcMar>
              <w:top w:w="70" w:type="dxa"/>
              <w:start w:w="85" w:type="dxa"/>
              <w:bottom w:w="70" w:type="dxa"/>
              <w:end w:w="85" w:type="dxa"/>
            </w:tcMar>
          </w:tcPr>
          <w:p>
            <w:pPr>
              <w:spacing w:after="0" w:line="250" w:lineRule="auto"/>
            </w:pPr>
            <w:r>
              <w:rPr>
                <w:rFonts w:ascii="Arial" w:hAnsi="Arial"/>
                <w:b w:val="0"/>
                <w:i/>
                <w:color w:val="62716E"/>
                <w:sz w:val="16"/>
              </w:rPr>
              <w:t>[Complete o referencie la entrada controlada FRM-05]</w:t>
            </w:r>
          </w:p>
        </w:tc>
      </w:tr>
    </w:tbl>
    <w:p>
      <w:pPr>
        <w:keepNext w:val="0"/>
        <w:spacing w:after="60" w:line="259" w:lineRule="auto"/>
      </w:pPr>
      <w:r>
        <w:rPr>
          <w:rFonts w:ascii="Arial" w:hAnsi="Arial"/>
          <w:b w:val="0"/>
          <w:i w:val="0"/>
          <w:color w:val="243A36"/>
          <w:sz w:val="2"/>
        </w:rPr>
      </w:r>
    </w:p>
    <w:p>
      <w:r>
        <w:br w:type="page"/>
      </w:r>
    </w:p>
    <w:p>
      <w:bookmarkStart w:id="116" w:name="Section_16"/>
      <w:pPr>
        <w:pStyle w:val="Heading1"/>
        <w:keepNext/>
      </w:pPr>
      <w:r>
        <w:t>16  Paquete de validación y matriz de requisitos</w:t>
      </w:r>
      <w:bookmarkEnd w:id="116"/>
    </w:p>
    <w:p>
      <w:pPr>
        <w:keepNext/>
        <w:spacing w:after="180" w:line="259" w:lineRule="auto"/>
      </w:pPr>
      <w:r>
        <w:rPr>
          <w:rFonts w:ascii="Arial" w:hAnsi="Arial"/>
          <w:b w:val="0"/>
          <w:i w:val="0"/>
          <w:color w:val="62716E"/>
          <w:sz w:val="15"/>
        </w:rPr>
        <w:t>[1] Referencia: CYC-05; S-15; S-16; S-22; P-01; P-05; P-07; P-14; A-03; A-06; A-12; FRM-03; FRM-10</w:t>
      </w:r>
    </w:p>
    <w:p>
      <w:pPr>
        <w:pStyle w:val="Heading2"/>
        <w:keepNext/>
      </w:pPr>
      <w:r>
        <w:t>Alcance de validación independiente del diseño</w:t>
      </w:r>
    </w:p>
    <w:p>
      <w:pPr>
        <w:keepNext/>
        <w:spacing w:after="100" w:line="259" w:lineRule="auto"/>
      </w:pPr>
      <w:r>
        <w:rPr>
          <w:rFonts w:ascii="Arial" w:hAnsi="Arial"/>
          <w:b w:val="0"/>
          <w:i w:val="0"/>
          <w:color w:val="62716E"/>
          <w:sz w:val="18"/>
        </w:rPr>
        <w:t>Identifique OVV propuesto o contratado, competencia, reconocimiento, independencia, criterios y versión, alcance y condiciones pendientes. No complete anticipadamente un dictamen favorable.</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pPr>
        <w:pStyle w:val="Heading2"/>
        <w:keepNext/>
      </w:pPr>
      <w:r>
        <w:t>Matriz de requisitos aplicables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412"/>
        <w:gridCol w:w="3315"/>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Requisito / versión / aplicabilidad</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Ubicación y evidencia exacta</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Hallazgo / respuesta / cierre independiente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Adjunte matriz completa aplicable, no solo estas filas. Use conforme, no conforme, evidencia insuficiente o no aplicable con justificación aceptada. Una respuesta técnica no equivale a cierre independiente; una puntuación no compensa incumplir un requisito obligatorio.</w:t>
      </w:r>
    </w:p>
    <w:p>
      <w:pPr>
        <w:pStyle w:val="Heading2"/>
        <w:keepNext/>
      </w:pPr>
      <w:r>
        <w:t>Hallazgos, discrepancias y control de revisiones</w:t>
      </w:r>
    </w:p>
    <w:p>
      <w:pPr>
        <w:keepNext/>
        <w:spacing w:after="100" w:line="259" w:lineRule="auto"/>
      </w:pPr>
      <w:r>
        <w:rPr>
          <w:rFonts w:ascii="Arial" w:hAnsi="Arial"/>
          <w:b w:val="0"/>
          <w:i w:val="0"/>
          <w:color w:val="62716E"/>
          <w:sz w:val="18"/>
        </w:rPr>
        <w:t>Registre hallazgos abiertos y cerrados, respuestas rechazadas, conflictos, cálculos antes/después y versión propuesta a validación.</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17" w:name="Section_17"/>
      <w:pPr>
        <w:pStyle w:val="Heading1"/>
        <w:keepNext/>
      </w:pPr>
      <w:r>
        <w:t>17  Evidencia, anexos y referencias</w:t>
      </w:r>
      <w:bookmarkEnd w:id="117"/>
    </w:p>
    <w:p>
      <w:pPr>
        <w:keepNext/>
        <w:spacing w:after="180" w:line="259" w:lineRule="auto"/>
      </w:pPr>
      <w:r>
        <w:rPr>
          <w:rFonts w:ascii="Arial" w:hAnsi="Arial"/>
          <w:b w:val="0"/>
          <w:i w:val="0"/>
          <w:color w:val="62716E"/>
          <w:sz w:val="15"/>
        </w:rPr>
        <w:t>[1] Referencia: F-01; S-17; P-04; A-05</w:t>
      </w:r>
    </w:p>
    <w:p>
      <w:pPr>
        <w:keepNext w:val="0"/>
        <w:spacing w:after="160" w:line="259" w:lineRule="auto"/>
        <w:shd w:fill="F1F5F2"/>
      </w:pPr>
      <w:r>
        <w:rPr>
          <w:rFonts w:ascii="Arial" w:hAnsi="Arial"/>
          <w:b w:val="0"/>
          <w:i w:val="0"/>
          <w:color w:val="215F52"/>
          <w:sz w:val="18"/>
        </w:rPr>
        <w:t>Asigne a cada anexo identificador, versión, fecha, custodio y ubicación exacta. Cite la fuente de toda entrada material. Mantenga la evidencia restringida accesible por separado a los revisores autorizados; no oculte la base metodológica de una afirmación.</w:t>
      </w:r>
    </w:p>
    <w:p>
      <w:pPr>
        <w:pStyle w:val="Heading2"/>
        <w:keepNext/>
      </w:pPr>
      <w:r>
        <w:t>Registro de anexos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340"/>
        <w:gridCol w:w="4484"/>
        <w:gridCol w:w="2925"/>
      </w:tblGrid>
      <w:tr>
        <w:trPr>
          <w:trHeight w:val="446" w:hRule="atLeast"/>
          <w:tblHeader/>
        </w:trPr>
        <w:tc>
          <w:tcPr>
            <w:tcW w:type="dxa" w:w="234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ID de anexo / evidencia</w:t>
            </w:r>
          </w:p>
        </w:tc>
        <w:tc>
          <w:tcPr>
            <w:tcW w:type="dxa" w:w="448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Contenido y sección vinculada</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Custodio / acceso / versión</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34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34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Referencias específicas del proyecto</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755"/>
        <w:gridCol w:w="4874"/>
        <w:gridCol w:w="3120"/>
      </w:tblGrid>
      <w:tr>
        <w:trPr>
          <w:trHeight w:val="446" w:hRule="atLeast"/>
          <w:tblHeader/>
        </w:trPr>
        <w:tc>
          <w:tcPr>
            <w:tcW w:type="dxa" w:w="175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ID de referencia</w:t>
            </w:r>
          </w:p>
        </w:tc>
        <w:tc>
          <w:tcPr>
            <w:tcW w:type="dxa" w:w="487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Cita completa / versión exacta</w:t>
            </w:r>
          </w:p>
        </w:tc>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Uso en este expediente</w:t>
            </w:r>
          </w:p>
        </w:tc>
      </w:tr>
      <w:tr>
        <w:trPr>
          <w:trHeight w:val="446" w:hRule="atLeast"/>
        </w:trPr>
        <w:tc>
          <w:tcPr>
            <w:tcW w:type="dxa" w:w="175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87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175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87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175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87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Reproducibilidad y entrega</w:t>
      </w:r>
    </w:p>
    <w:p>
      <w:pPr>
        <w:keepNext/>
        <w:spacing w:after="100" w:line="259" w:lineRule="auto"/>
      </w:pPr>
      <w:r>
        <w:rPr>
          <w:rFonts w:ascii="Arial" w:hAnsi="Arial"/>
          <w:b w:val="0"/>
          <w:i w:val="0"/>
          <w:color w:val="62716E"/>
          <w:sz w:val="18"/>
        </w:rPr>
        <w:t>Identifique el paquete de evidencia aprobado, archivos de cálculo, condiciones de acceso y custodio. Resuelva todas las referencias rotas antes de presentar.</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18" w:name="Section_18"/>
      <w:pPr>
        <w:pStyle w:val="Heading1"/>
        <w:keepNext/>
      </w:pPr>
      <w:r>
        <w:t>18  Presentación, revisión y decisión de etapa</w:t>
      </w:r>
      <w:bookmarkEnd w:id="118"/>
    </w:p>
    <w:p>
      <w:pPr>
        <w:keepNext/>
        <w:spacing w:after="180" w:line="259" w:lineRule="auto"/>
      </w:pPr>
      <w:r>
        <w:rPr>
          <w:rFonts w:ascii="Arial" w:hAnsi="Arial"/>
          <w:b w:val="0"/>
          <w:i w:val="0"/>
          <w:color w:val="62716E"/>
          <w:sz w:val="15"/>
        </w:rPr>
        <w:t>[1] Referencia: CYC-01; CYC-05; S-16; S-22; S-23; FRM-03; FRM-06; A-12; A-13</w:t>
      </w:r>
    </w:p>
    <w:p>
      <w:pPr>
        <w:keepNext w:val="0"/>
        <w:spacing w:after="160" w:line="259" w:lineRule="auto"/>
        <w:shd w:fill="F1F5F2"/>
      </w:pPr>
      <w:r>
        <w:rPr>
          <w:rFonts w:ascii="Arial" w:hAnsi="Arial"/>
          <w:b w:val="0"/>
          <w:i w:val="0"/>
          <w:color w:val="215F52"/>
          <w:sz w:val="18"/>
        </w:rPr>
        <w:t>Presentar PD solicita validación del diseño. Validación, registro del programa, verificación de resultados y autorización NVEU son decisiones separadas. Ningún campo o firma en blanco confiere esos estados.</w:t>
      </w:r>
    </w:p>
    <w:p>
      <w:pPr>
        <w:pStyle w:val="Heading2"/>
        <w:keepNext/>
      </w:pPr>
      <w:r>
        <w:t>Revisión de salida de etapa</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4777"/>
        <w:gridCol w:w="2535"/>
        <w:gridCol w:w="2437"/>
      </w:tblGrid>
      <w:tr>
        <w:trPr>
          <w:trHeight w:val="446" w:hRule="atLeast"/>
          <w:tblHeader/>
        </w:trPr>
        <w:tc>
          <w:tcPr>
            <w:tcW w:type="dxa" w:w="477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Criterio</w:t>
            </w:r>
          </w:p>
        </w:tc>
        <w:tc>
          <w:tcPr>
            <w:tcW w:type="dxa" w:w="253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Evidencia / sección</w:t>
            </w:r>
          </w:p>
        </w:tc>
        <w:tc>
          <w:tcPr>
            <w:tcW w:type="dxa" w:w="243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Hallazgo de revisión</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Diseño completo coherente con factibilidad</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 evaluado]</w:t>
            </w:r>
          </w:p>
        </w:tc>
      </w:tr>
      <w:tr>
        <w:trPr>
          <w:trHeight w:val="446" w:hRule="atLeast"/>
        </w:trPr>
        <w:tc>
          <w:tcPr>
            <w:tcW w:type="dxa" w:w="4777"/>
            <w:vAlign w:val="center"/>
            <w:tcMar>
              <w:top w:w="70" w:type="dxa"/>
              <w:start w:w="85" w:type="dxa"/>
              <w:bottom w:w="70" w:type="dxa"/>
              <w:end w:w="85" w:type="dxa"/>
            </w:tcMar>
          </w:tcPr>
          <w:p>
            <w:pPr>
              <w:spacing w:after="0" w:line="250" w:lineRule="auto"/>
            </w:pPr>
            <w:r>
              <w:rPr>
                <w:rFonts w:ascii="Arial" w:hAnsi="Arial"/>
                <w:b w:val="0"/>
                <w:i w:val="0"/>
                <w:color w:val="243A36"/>
                <w:sz w:val="16"/>
              </w:rPr>
              <w:t>Mandatos, derechos y salvaguardas sustentados</w:t>
            </w:r>
          </w:p>
        </w:tc>
        <w:tc>
          <w:tcPr>
            <w:tcW w:type="dxa" w:w="253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[No evaluado]</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Métodos, cálculos y perfil reproducibles</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 evaluado]</w:t>
            </w:r>
          </w:p>
        </w:tc>
      </w:tr>
      <w:tr>
        <w:trPr>
          <w:trHeight w:val="446" w:hRule="atLeast"/>
        </w:trPr>
        <w:tc>
          <w:tcPr>
            <w:tcW w:type="dxa" w:w="4777"/>
            <w:vAlign w:val="center"/>
            <w:tcMar>
              <w:top w:w="70" w:type="dxa"/>
              <w:start w:w="85" w:type="dxa"/>
              <w:bottom w:w="70" w:type="dxa"/>
              <w:end w:w="85" w:type="dxa"/>
            </w:tcMar>
          </w:tcPr>
          <w:p>
            <w:pPr>
              <w:spacing w:after="0" w:line="250" w:lineRule="auto"/>
            </w:pPr>
            <w:r>
              <w:rPr>
                <w:rFonts w:ascii="Arial" w:hAnsi="Arial"/>
                <w:b w:val="0"/>
                <w:i w:val="0"/>
                <w:color w:val="243A36"/>
                <w:sz w:val="16"/>
              </w:rPr>
              <w:t>Adicionalidad y traslapes documentados</w:t>
            </w:r>
          </w:p>
        </w:tc>
        <w:tc>
          <w:tcPr>
            <w:tcW w:type="dxa" w:w="253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[No evaluado]</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Registros de monitoreo, ejecución y validación preparados</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 evaluado]</w:t>
            </w:r>
          </w:p>
        </w:tc>
      </w:tr>
    </w:tbl>
    <w:p>
      <w:pPr>
        <w:keepNext w:val="0"/>
        <w:spacing w:after="60" w:line="259" w:lineRule="auto"/>
      </w:pPr>
      <w:r>
        <w:rPr>
          <w:rFonts w:ascii="Arial" w:hAnsi="Arial"/>
          <w:b w:val="0"/>
          <w:i w:val="0"/>
          <w:color w:val="243A36"/>
          <w:sz w:val="2"/>
        </w:rPr>
      </w:r>
    </w:p>
    <w:p>
      <w:pPr>
        <w:pStyle w:val="Heading2"/>
        <w:keepNext/>
      </w:pPr>
      <w:r>
        <w:t>Registros y firmas separados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315"/>
        <w:gridCol w:w="3412"/>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Actuación / función responsable</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Nombre, fecha y firma</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Decisión / alcance / registro</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Presentación / proponente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val="0"/>
                <w:color w:val="243A36"/>
                <w:sz w:val="16"/>
              </w:rPr>
              <w:t>Preparación técnica</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Revisión sin conflicto</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val="0"/>
                <w:color w:val="243A36"/>
                <w:sz w:val="16"/>
              </w:rPr>
              <w:t>Decisión autorizada de etapa</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[Avanzar / corregir / aplazar / rechazar]</w:t>
            </w:r>
          </w:p>
        </w:tc>
      </w:tr>
    </w:tbl>
    <w:p>
      <w:pPr>
        <w:keepNext w:val="0"/>
        <w:spacing w:after="60" w:line="259" w:lineRule="auto"/>
      </w:pPr>
      <w:r>
        <w:rPr>
          <w:rFonts w:ascii="Arial" w:hAnsi="Arial"/>
          <w:b w:val="0"/>
          <w:i w:val="0"/>
          <w:color w:val="243A36"/>
          <w:sz w:val="2"/>
        </w:rPr>
      </w:r>
    </w:p>
    <w:p>
      <w:pPr>
        <w:pStyle w:val="Heading2"/>
        <w:keepNext/>
      </w:pPr>
      <w:r>
        <w:t>Condiciones, hallazgos abiertos y entrega a la etapa siguiente</w:t>
      </w:r>
    </w:p>
    <w:p>
      <w:pPr>
        <w:keepNext/>
        <w:spacing w:after="100" w:line="259" w:lineRule="auto"/>
      </w:pPr>
      <w:r>
        <w:rPr>
          <w:rFonts w:ascii="Arial" w:hAnsi="Arial"/>
          <w:b w:val="0"/>
          <w:i w:val="0"/>
          <w:color w:val="62716E"/>
          <w:sz w:val="18"/>
        </w:rPr>
        <w:t>Indique alcance permitido, actividades o afirmaciones bloqueadas, responsable de corrección, evidencia requerida, plazo según perfil aprobado y receptor. Una firma en blanco no equivale a aprobación.</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bookmarkStart w:id="3999" w:name="account_annex"/>
      <w:pPr>
        <w:pStyle w:val="Heading1"/>
        <w:keepNext/>
        <w:pageBreakBefore/>
      </w:pPr>
      <w:r>
        <w:t>A  Anexos de cuentas ex ante, ex post y migración</w:t>
      </w:r>
      <w:bookmarkEnd w:id="3999"/>
    </w:p>
    <w:p>
      <w:pPr>
        <w:spacing w:after="120"/>
      </w:pPr>
      <w:r>
        <w:rPr>
          <w:rFonts w:ascii="Lato" w:hAnsi="Lato"/>
          <w:b w:val="0"/>
          <w:color w:val="62716E"/>
          <w:sz w:val="16"/>
        </w:rPr>
        <w:t>[1] Referencia: CYC-01; CYC-05; F-01; F-03; P-13; MIG-05; FRM-02; FRM-04; FRM-05</w:t>
      </w:r>
    </w:p>
    <w:p>
      <w:pPr>
        <w:pStyle w:val="Heading2"/>
        <w:keepNext/>
      </w:pPr>
      <w:r>
        <w:t>Uso según etapa</w:t>
      </w:r>
    </w:p>
    <w:p>
      <w:pPr>
        <w:spacing w:after="80"/>
      </w:pPr>
      <w:r>
        <w:rPr>
          <w:rFonts w:ascii="Lato" w:hAnsi="Lato"/>
          <w:b w:val="0"/>
          <w:color w:val="62716E"/>
          <w:sz w:val="18"/>
        </w:rPr>
        <w:t>Fijar la cuenta ex ante como anexo del PD. Definir informe ex post para monitoreo y adjuntar resultados históricos o conciliación de migración cuando aplique. Las actualizaciones conservan proyección original y decisiones previas.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account_annex-0-ES"/>
                <w:tag w:val="account_annex-0-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Registro de anexos de cuentas</w:t>
      </w:r>
    </w:p>
    <w:p>
      <w:pPr>
        <w:keepNext/>
        <w:spacing w:before="40" w:after="60"/>
      </w:pPr>
      <w:r>
        <w:rPr>
          <w:rFonts w:ascii="Lato" w:hAnsi="Lato"/>
          <w:color w:val="315B50"/>
          <w:sz w:val="18"/>
        </w:rPr>
        <w:t>PD-T32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Producto / alcance aplicable</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Versión, libro y ubicación de evidencia</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Estado / revisor / restricción pendiente</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account_annex-1-ES-1-1"/>
                <w:tag w:val="account_annex-1-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account_annex-1-ES-1-2"/>
                <w:tag w:val="account_annex-1-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account_annex-1-ES-1-3"/>
                <w:tag w:val="account_annex-1-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account_annex-1-ES-2-1"/>
                <w:tag w:val="account_annex-1-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account_annex-1-ES-2-2"/>
                <w:tag w:val="account_annex-1-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account_annex-1-ES-2-3"/>
                <w:tag w:val="account_annex-1-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account_annex-1-ES-3-1"/>
                <w:tag w:val="account_annex-1-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account_annex-1-ES-3-2"/>
                <w:tag w:val="account_annex-1-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account_annex-1-ES-3-3"/>
                <w:tag w:val="account_annex-1-ES-3-3"/>
                <w:text/>
              </w:sdtPr>
              <w:sdtContent>
                <w:r>
                  <w:rPr>
                    <w:rFonts w:ascii="Lato" w:hAnsi="Lato"/>
                    <w:sz w:val="18"/>
                    <w:color w:val="62716E"/>
                  </w:rPr>
                  <w:t>[Completar]</w:t>
                </w:r>
              </w:sdtContent>
            </w:sdt>
          </w:p>
        </w:tc>
      </w:tr>
    </w:tbl>
    <w:p>
      <w:pPr>
        <w:spacing w:after="0"/>
      </w:pPr>
    </w:p>
    <w:p>
      <w:pPr>
        <w:pStyle w:val="Heading2"/>
        <w:keepNext/>
      </w:pPr>
      <w:r>
        <w:t>Contrato común de la cuenta</w:t>
      </w:r>
    </w:p>
    <w:p>
      <w:pPr>
        <w:spacing w:after="80"/>
      </w:pPr>
      <w:r>
        <w:rPr>
          <w:rFonts w:ascii="Lato" w:hAnsi="Lato"/>
          <w:b w:val="0"/>
          <w:color w:val="62716E"/>
          <w:sz w:val="18"/>
        </w:rPr>
        <w:t>Usar los formatos bilingües Estimación ex ante, Informe de resultados ex post y Conciliación de migración junto con el libro de cálculo cuando correspondan. Identificar períodos, bandas, unidades, faltantes y celdas exactas. Separar proyecciones, observaciones, contrafactual, resultados verificados y NVEU autorizadas. Ninguna tasa o campo vacío establece política, emisión nula ni emisión de unidades.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account_annex-2-ES"/>
                <w:tag w:val="account_annex-2-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Conciliación requerida</w:t>
      </w:r>
    </w:p>
    <w:p>
      <w:pPr>
        <w:keepNext/>
        <w:spacing w:before="40" w:after="60"/>
      </w:pPr>
      <w:r>
        <w:rPr>
          <w:rFonts w:ascii="Lato" w:hAnsi="Lato"/>
          <w:color w:val="315B50"/>
          <w:sz w:val="18"/>
        </w:rPr>
        <w:t>PD-T33 / Notación del cálculo</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conserva resultado original; harm aplica método original a base comparable acordada; NEB es resultado receptor sobre esa base. La identidad telescópica explica diferencias, no elegibilidad. No forzar diferencia metodológica cero.</w:t>
      </w:r>
    </w:p>
    <w:p>
      <w:pPr>
        <w:keepNext/>
        <w:spacing w:before="40" w:after="60"/>
      </w:pPr>
      <w:r>
        <w:rPr>
          <w:rFonts w:ascii="Lato" w:hAnsi="Lato"/>
          <w:color w:val="315B50"/>
          <w:sz w:val="14"/>
        </w:rPr>
        <w:t>Base: MIG-05; P-13; identidad de conciliación | Libro: Migration!E:K</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pPr>
              <w:keepNext/>
            </w:pPr>
            <w:r>
              <w:rPr>
                <w:rFonts w:ascii="Lato" w:hAnsi="Lato"/>
                <w:b/>
                <w:color w:val="173E34"/>
                <w:sz w:val="17"/>
              </w:rPr>
              <w:t>Dimensión / registro original</w:t>
            </w:r>
          </w:p>
          <w:p>
            <w:pPr>
              <w:keepNext/>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250"/>
            <w:tcMar>
              <w:top w:w="90" w:type="dxa"/>
              <w:bottom w:w="90" w:type="dxa"/>
              <w:left w:w="100" w:type="dxa"/>
              <w:right w:w="100" w:type="dxa"/>
            </w:tcMar>
            <w:vAlign w:val="center"/>
            <w:shd w:fill="E6F0EB"/>
          </w:tcPr>
          <w:p>
            <w:pPr>
              <w:keepNext/>
            </w:pPr>
            <w:r>
              <w:rPr>
                <w:rFonts w:ascii="Lato" w:hAnsi="Lato"/>
                <w:b/>
                <w:color w:val="173E34"/>
                <w:sz w:val="17"/>
              </w:rPr>
              <w:t>Tratamiento receptor o monitoreado</w:t>
            </w:r>
          </w:p>
          <w:p>
            <w:pPr>
              <w:keepNext/>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250"/>
            <w:tcMar>
              <w:top w:w="90" w:type="dxa"/>
              <w:bottom w:w="90" w:type="dxa"/>
              <w:left w:w="100" w:type="dxa"/>
              <w:right w:w="100" w:type="dxa"/>
            </w:tcMar>
            <w:vAlign w:val="center"/>
            <w:shd w:fill="E6F0EB"/>
          </w:tcPr>
          <w:p>
            <w:pPr>
              <w:keepNext/>
            </w:pPr>
            <w:r>
              <w:rPr>
                <w:rFonts w:ascii="Lato" w:hAnsi="Lato"/>
                <w:b/>
                <w:color w:val="173E34"/>
                <w:sz w:val="17"/>
              </w:rPr>
              <w:t>Evidencia y referencia decisoria</w:t>
            </w:r>
          </w:p>
          <w:p>
            <w:pPr>
              <w:keepNext/>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510"/>
        </w:trPr>
        <w:tc>
          <w:tcPr>
            <w:tcW w:type="dxa" w:w="3250"/>
            <w:tcMar>
              <w:top w:w="90" w:type="dxa"/>
              <w:bottom w:w="90" w:type="dxa"/>
              <w:left w:w="100" w:type="dxa"/>
              <w:right w:w="100" w:type="dxa"/>
            </w:tcMar>
            <w:shd w:fill="F1F5F2"/>
          </w:tcPr>
          <w:p>
            <w:pPr>
              <w:keepNext/>
              <w:spacing w:after="20"/>
            </w:pPr>
            <w:sdt>
              <w:sdtPr>
                <w:alias w:val="account_annex-3-ES-1-1"/>
                <w:tag w:val="account_annex-3-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keepNext/>
              <w:spacing w:after="20"/>
            </w:pPr>
            <w:sdt>
              <w:sdtPr>
                <w:alias w:val="account_annex-3-ES-1-2"/>
                <w:tag w:val="account_annex-3-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keepNext/>
              <w:spacing w:after="20"/>
            </w:pPr>
            <w:sdt>
              <w:sdtPr>
                <w:alias w:val="account_annex-3-ES-1-3"/>
                <w:tag w:val="account_annex-3-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keepNext w:val="0"/>
              <w:spacing w:after="20"/>
            </w:pPr>
            <w:sdt>
              <w:sdtPr>
                <w:alias w:val="account_annex-3-ES-2-1"/>
                <w:tag w:val="account_annex-3-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keepNext w:val="0"/>
              <w:spacing w:after="20"/>
            </w:pPr>
            <w:sdt>
              <w:sdtPr>
                <w:alias w:val="account_annex-3-ES-2-2"/>
                <w:tag w:val="account_annex-3-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keepNext w:val="0"/>
              <w:spacing w:after="20"/>
            </w:pPr>
            <w:sdt>
              <w:sdtPr>
                <w:alias w:val="account_annex-3-ES-2-3"/>
                <w:tag w:val="account_annex-3-ES-2-3"/>
                <w:text/>
              </w:sdtPr>
              <w:sdtContent>
                <w:r>
                  <w:rPr>
                    <w:rFonts w:ascii="Lato" w:hAnsi="Lato"/>
                    <w:sz w:val="18"/>
                    <w:color w:val="62716E"/>
                  </w:rPr>
                  <w:t>[Completar]</w:t>
                </w:r>
              </w:sdtContent>
            </w:sdt>
          </w:p>
        </w:tc>
      </w:tr>
    </w:tbl>
    <w:p>
      <w:bookmarkStart w:id="99001" w:name="calc_register"/>
      <w:pPr>
        <w:pStyle w:val="Heading1"/>
        <w:keepNext/>
        <w:pageBreakBefore/>
      </w:pPr>
      <w:r>
        <w:t>CALC — Trazabilidad y notación del cálculo</w:t>
      </w:r>
      <w:bookmarkEnd w:id="99001"/>
    </w:p>
    <w:p>
      <w:pPr>
        <w:spacing w:after="100"/>
      </w:pPr>
      <w:r>
        <w:t>Registrar cada cantidad calculada como una fila identificada de forma única. Conservar la expresión fuente exacta y una expresión separada para toda adaptación a NEBIOT. Traducir una etiqueta no cambia una fórmula. Unidades, reservorios incluidos, signo, período, estado de entrada y dominio matemático forman parte del registro. Una tabla administrativa no necesita ecuación inventada. Variables fuente ambiguas requieren aclaración, no significado supuesto.</w:t>
      </w:r>
    </w:p>
    <w:p>
      <w:pPr>
        <w:pStyle w:val="Heading2"/>
        <w:keepNext/>
        <w:spacing w:after="100"/>
      </w:pPr>
      <w:r>
        <w:t>Índices y estado</w:t>
      </w:r>
    </w:p>
    <w:p>
      <w:pPr>
        <w:spacing w:after="100"/>
      </w:pPr>
      <w:r>
        <w:t>EA = pronóstico fechado; EP = cuenta del período reportado; t = intervalo; i,j = estratos o clases declarados; o = órgano o reservorio disjunto; g = gas; tau = cohorte de perturbación; l = fila de cálculo/componente.</w:t>
      </w:r>
    </w:p>
    <w:p>
      <w:pPr>
        <w:pStyle w:val="Heading2"/>
        <w:keepNext/>
        <w:spacing w:after="100"/>
      </w:pPr>
      <w:r>
        <w:t>Registro de un cálculo — repetir por resultado</w:t>
      </w:r>
    </w:p>
    <w:tbl>
      <w:tblPr>
        <w:tblW w:type="auto" w:w="0"/>
        <w:tblLayout w:type="fixed"/>
        <w:tblLook w:firstColumn="1" w:firstRow="1" w:lastColumn="0" w:lastRow="0" w:noHBand="0" w:noVBand="1" w:val="04A0"/>
      </w:tblPr>
      <w:tblGrid>
        <w:gridCol w:w="3240"/>
        <w:gridCol w:w="6120"/>
      </w:tblGrid>
      <w:tr>
        <w:trPr/>
        <w:tc>
          <w:tcPr>
            <w:tcW w:type="dxa" w:w="4873"/>
            <w:shd w:fill="215F52"/>
          </w:tcPr>
          <w:p>
            <w:pPr>
              <w:spacing w:after="80"/>
            </w:pPr>
            <w:r>
              <w:rPr>
                <w:rFonts w:ascii="Lato" w:hAnsi="Lato"/>
                <w:b/>
                <w:color w:val="FFFFFF"/>
                <w:sz w:val="18"/>
              </w:rPr>
              <w:t>Campo</w:t>
            </w:r>
          </w:p>
        </w:tc>
        <w:tc>
          <w:tcPr>
            <w:tcW w:type="dxa" w:w="4873"/>
            <w:shd w:fill="215F52"/>
          </w:tcPr>
          <w:p>
            <w:pPr>
              <w:spacing w:after="80"/>
            </w:pPr>
            <w:r>
              <w:rPr>
                <w:rFonts w:ascii="Lato" w:hAnsi="Lato"/>
                <w:b/>
                <w:color w:val="FFFFFF"/>
                <w:sz w:val="18"/>
              </w:rPr>
              <w:t>Registro</w:t>
            </w:r>
          </w:p>
        </w:tc>
      </w:tr>
      <w:tr>
        <w:trPr/>
        <w:tc>
          <w:tcPr>
            <w:tcW w:type="dxa" w:w="3240"/>
          </w:tcPr>
          <w:p>
            <w:pPr>
              <w:spacing w:after="80"/>
            </w:pPr>
            <w:r>
              <w:rPr>
                <w:rFonts w:ascii="Lato" w:hAnsi="Lato"/>
                <w:sz w:val="18"/>
              </w:rPr>
              <w:t>Fila de cálculo / símbolo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Definición y uso previsto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Archivo fuente / versión / huella exactos</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Hoja / celda o ID del registro bruto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Expresión original y unidad original</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Entradas: símbolos, valores, unidades y períodos</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Ecuación receptora / identificador del estándar</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Transformación, conversión y justificación</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Valores intermedios y finales sin redondear</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Tabla / fila / ubicación de salida en informe</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Diferencia de recálculo / base de tolerancia</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Revisor independiente / hallazgo / decisión</w:t>
            </w:r>
          </w:p>
        </w:tc>
        <w:tc>
          <w:tcPr>
            <w:tcW w:type="dxa" w:w="6120"/>
          </w:tcPr>
          <w:p>
            <w:pPr>
              <w:spacing w:after="80"/>
            </w:pPr>
            <w:r>
              <w:rPr>
                <w:rFonts w:ascii="Lato" w:hAnsi="Lato"/>
                <w:sz w:val="18"/>
              </w:rPr>
              <w:t>[Completar]</w:t>
            </w:r>
          </w:p>
        </w:tc>
      </w:tr>
    </w:tbl>
    <w:p>
      <w:pPr>
        <w:pStyle w:val="Heading2"/>
        <w:keepNext/>
        <w:spacing w:after="100"/>
      </w:pPr>
      <w:r>
        <w:t>Comparación aritmética, no materialidad</w:t>
      </w:r>
    </w:p>
    <w:p>
      <w:pPr>
        <w:spacing w:after="100"/>
      </w:pPr>
      <m:oMath>
        <m:sSub>
          <m:e>
            <m:r>
              <w:rPr>
                <w:sz w:val="20"/>
              </w:rPr>
              <m:t>δ</m:t>
            </m:r>
          </m:e>
          <m:sub>
            <m:r>
              <w:rPr>
                <w:sz w:val="20"/>
              </w:rPr>
              <m:rPr>
                <m:sty m:val="p"/>
              </m:rPr>
              <m:t>ℓ</m:t>
            </m:r>
          </m:sub>
        </m:sSub>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c</m:t>
            </m:r>
            <m:r>
              <w:rPr>
                <w:sz w:val="20"/>
              </w:rPr>
              <m:rPr>
                <m:sty m:val="p"/>
              </m:rPr>
              <m:t>a</m:t>
            </m:r>
            <m:r>
              <w:rPr>
                <w:sz w:val="20"/>
              </w:rPr>
              <m:rPr>
                <m:sty m:val="p"/>
              </m:rPr>
              <m:t>l</m:t>
            </m:r>
            <m:r>
              <w:rPr>
                <w:sz w:val="20"/>
              </w:rPr>
              <m:rPr>
                <m:sty m:val="p"/>
              </m:rPr>
              <m:t>c</m:t>
            </m:r>
          </m:sup>
        </m:sSubSup>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oMath>
    </w:p>
    <w:p>
      <w:pPr>
        <w:spacing w:after="100"/>
      </w:pPr>
      <m:oMath>
        <m:d>
          <m:dPr>
            <m:begChr m:val="|"/>
            <m:endChr m:val="|"/>
            <m:sepChr m:val=""/>
            <m:grow/>
          </m:dPr>
          <m:e>
            <m:sSub>
              <m:e>
                <m:r>
                  <w:rPr>
                    <w:sz w:val="20"/>
                  </w:rPr>
                  <m:t>δ</m:t>
                </m:r>
              </m:e>
              <m:sub>
                <m:r>
                  <w:rPr>
                    <w:sz w:val="20"/>
                  </w:rPr>
                  <m:rPr>
                    <m:sty m:val="p"/>
                  </m:rPr>
                  <m:t>ℓ</m:t>
                </m:r>
              </m:sub>
            </m:sSub>
          </m:e>
        </m:d>
        <m:r>
          <w:rPr>
            <w:sz w:val="20"/>
          </w:rPr>
          <m:rPr>
            <m:sty m:val="p"/>
          </m:rPr>
          <m:t>≤</m:t>
        </m:r>
        <m:sSub>
          <m:e>
            <m:r>
              <w:rPr>
                <w:sz w:val="20"/>
              </w:rPr>
              <m:t>ε</m:t>
            </m:r>
          </m:e>
          <m:sub>
            <m:r>
              <w:rPr>
                <w:sz w:val="20"/>
              </w:rPr>
              <m:t>a</m:t>
            </m:r>
          </m:sub>
        </m:sSub>
        <m:r>
          <w:rPr>
            <w:sz w:val="20"/>
          </w:rPr>
          <m:rPr>
            <m:sty m:val="p"/>
          </m:rPr>
          <m:t>+</m:t>
        </m:r>
        <m:sSub>
          <m:e>
            <m:r>
              <w:rPr>
                <w:sz w:val="20"/>
              </w:rPr>
              <m:t>ε</m:t>
            </m:r>
          </m:e>
          <m:sub>
            <m:r>
              <w:rPr>
                <w:sz w:val="20"/>
              </w:rPr>
              <m:t>r</m:t>
            </m:r>
          </m:sub>
        </m:sSub>
        <m:d>
          <m:dPr>
            <m:begChr m:val="|"/>
            <m:endChr m:val="|"/>
            <m:sepChr m:val=""/>
            <m:grow/>
          </m:dPr>
          <m:e>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e>
        </m:d>
      </m:oMath>
    </w:p>
    <w:p>
      <w:pPr>
        <w:spacing w:after="100"/>
      </w:pPr>
      <w:r>
        <w:t>La tolerancia absoluta tiene la unidad del resultado; la relativa es adimensional. Son parámetros de comparación informática, no materialidad. Comparar valores sin redondear. Reproducir primero el método fuente y registrar por separado armonización o cambio metodológico.</w:t>
      </w:r>
    </w:p>
    <w:sectPr w:rsidR="00FC693F" w:rsidRPr="0006063C" w:rsidSect="00034616">
      <w:headerReference w:type="default" r:id="rId9"/>
      <w:footerReference w:type="default" r:id="rId10"/>
      <w:pgSz w:w="11906" w:h="16838"/>
      <w:pgMar w:top="936" w:right="1080" w:bottom="950"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9" w:val="right"/>
      </w:tabs>
      <w:spacing w:before="60"/>
      <w:pBdr>
        <w:top w:val="single" w:sz="4" w:color="C9D5CE" w:space="5"/>
      </w:pBdr>
    </w:pPr>
    <w:r>
      <w:rPr>
        <w:rFonts w:ascii="Arial" w:hAnsi="Arial"/>
        <w:b w:val="0"/>
        <w:i w:val="0"/>
        <w:color w:val="62716E"/>
        <w:sz w:val="14"/>
      </w:rPr>
      <w:t>PLANTILLA 1.2  /  PD  /  NEBIOT 0.8.2</w:t>
    </w:r>
    <w:r>
      <w:tab/>
    </w:r>
    <w:r>
      <w:rPr>
        <w:rFonts w:ascii="Arial" w:hAnsi="Arial"/>
        <w:b w:val="0"/>
        <w:i w:val="0"/>
        <w:color w:val="62716E"/>
        <w:sz w:val="14"/>
      </w:rPr>
      <w:t xml:space="preserve">Página </w:t>
    </w:r>
    <w:fldSimple w:instr="PAGE">
      <w:r>
        <w:t>1</w:t>
      </w:r>
    </w:fldSimple>
    <w: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49" w:val="right"/>
      </w:tabs>
      <w:spacing w:after="60"/>
      <w:pBdr>
        <w:bottom w:val="single" w:sz="4" w:color="C9D5CE" w:space="5"/>
      </w:pBdr>
    </w:pPr>
    <w:r>
      <w:rPr>
        <w:rFonts w:ascii="Arial" w:hAnsi="Arial"/>
        <w:b/>
        <w:i w:val="0"/>
        <w:color w:val="215F52"/>
        <w:sz w:val="16"/>
      </w:rPr>
      <w:t>NEBIOT   /   DESCRIPCIÓN DEL PROYECTO</w:t>
    </w:r>
    <w:r>
      <w:tab/>
    </w:r>
    <w:r>
      <w:rPr>
        <w:rFonts w:ascii="Arial" w:hAnsi="Arial"/>
        <w:b w:val="0"/>
        <w:i w:val="0"/>
        <w:color w:val="62716E"/>
        <w:sz w:val="16"/>
      </w:rPr>
      <w:t>ES   |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Georgia" w:hAnsi="Georgia"/>
      <w:b/>
      <w:bCs/>
      <w:color w:val="215F52"/>
      <w:sz w:val="38"/>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215F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Georgia" w:hAnsi="Georgia"/>
      <w:color w:val="215F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Descripción del Proyecto — NEBIOT template 1.0</dc:title>
  <dc:subject>NEBIOT Standard 0.8.2 — PD — ES</dc:subject>
  <dc:creator>Henry Arellano-Peña</dc:creator>
  <cp:keywords>NEBIOT, PD, template</cp:keywords>
  <dc:description/>
  <cp:lastModifiedBy>NEBIOT</cp:lastModifiedBy>
  <cp:revision>1</cp:revision>
  <dcterms:created xsi:type="dcterms:W3CDTF">2026-09-25T00:00:00Z</dcterms:created>
  <dcterms:modified xsi:type="dcterms:W3CDTF">2026-09-25T00:00:00Z</dcterms:modified>
  <cp:category>Project documentation template</cp:category>
  <cp:version>1.2</cp:version>
</cp:coreProperties>
</file>