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240" w:line="259" w:lineRule="auto"/>
      </w:pPr>
      <w:r>
        <w:rPr>
          <w:rFonts w:ascii="Arial" w:hAnsi="Arial"/>
          <w:b w:val="0"/>
          <w:i w:val="0"/>
          <w:color w:val="A6813D"/>
          <w:sz w:val="17"/>
        </w:rPr>
        <w:t>NEBIOT  /  PROJECT DOCUMENTATION</w:t>
      </w:r>
    </w:p>
    <w:p>
      <w:pPr>
        <w:jc w:val="center"/>
      </w:pPr>
      <w:r>
        <w:drawing>
          <wp:inline xmlns:a="http://schemas.openxmlformats.org/drawingml/2006/main" xmlns:pic="http://schemas.openxmlformats.org/drawingml/2006/picture">
            <wp:extent cx="5760720" cy="1918365"/>
            <wp:docPr id="1" name="Picture 1" descr="NEBIOT — English"/>
            <wp:cNvGraphicFramePr>
              <a:graphicFrameLocks noChangeAspect="1"/>
            </wp:cNvGraphicFramePr>
            <a:graphic>
              <a:graphicData uri="http://schemas.openxmlformats.org/drawingml/2006/picture">
                <pic:pic>
                  <pic:nvPicPr>
                    <pic:cNvPr id="0" name="NEBIOT-English-6000px.png"/>
                    <pic:cNvPicPr/>
                  </pic:nvPicPr>
                  <pic:blipFill>
                    <a:blip r:embed="rId11"/>
                    <a:stretch>
                      <a:fillRect/>
                    </a:stretch>
                  </pic:blipFill>
                  <pic:spPr>
                    <a:xfrm>
                      <a:off x="0" y="0"/>
                      <a:ext cx="5760720" cy="1918365"/>
                    </a:xfrm>
                    <a:prstGeom prst="rect"/>
                  </pic:spPr>
                </pic:pic>
              </a:graphicData>
            </a:graphic>
          </wp:inline>
        </w:drawing>
      </w:r>
    </w:p>
    <w:p>
      <w:pPr>
        <w:keepNext w:val="0"/>
        <w:spacing w:after="180" w:line="259" w:lineRule="auto"/>
      </w:pPr>
      <w:r>
        <w:rPr>
          <w:rFonts w:ascii="Arial" w:hAnsi="Arial"/>
          <w:b w:val="0"/>
          <w:i w:val="0"/>
          <w:color w:val="62716E"/>
          <w:sz w:val="16"/>
        </w:rPr>
        <w:t>Program authority: Nuevo Estándar Biotropical — NEBIOT S.A.S.</w:t>
      </w:r>
    </w:p>
    <w:p>
      <w:pPr>
        <w:pStyle w:val="Title"/>
        <w:spacing w:after="160"/>
        <w:pBdr>
          <w:bottom w:val="single" w:sz="8" w:color="A6813D" w:space="5"/>
        </w:pBdr>
      </w:pPr>
      <w:r>
        <w:t>Prefeasibility Study</w:t>
      </w:r>
    </w:p>
    <w:p>
      <w:pPr>
        <w:keepNext w:val="0"/>
        <w:spacing w:after="180" w:line="259" w:lineRule="auto"/>
      </w:pPr>
      <w:r>
        <w:rPr>
          <w:rFonts w:ascii="Arial" w:hAnsi="Arial"/>
          <w:b w:val="0"/>
          <w:i/>
          <w:color w:val="215F52"/>
          <w:sz w:val="21"/>
        </w:rPr>
        <w:t>PREFEASIBILITY • Alternatives and study design</w:t>
      </w:r>
    </w:p>
    <w:p>
      <w:pPr>
        <w:keepNext w:val="0"/>
        <w:spacing w:after="260" w:line="259" w:lineRule="auto"/>
      </w:pPr>
      <w:r>
        <w:rPr>
          <w:rFonts w:ascii="Arial" w:hAnsi="Arial"/>
          <w:b w:val="0"/>
          <w:i w:val="0"/>
          <w:color w:val="62716E"/>
          <w:sz w:val="17"/>
        </w:rPr>
        <w:t>Governing standard: NEBIOT 0.8.2   |   Template edition 1.2</w:t>
      </w:r>
    </w:p>
    <w:p>
      <w:pPr>
        <w:keepNext w:val="0"/>
        <w:spacing w:after="200" w:line="259" w:lineRule="auto"/>
      </w:pPr>
      <w:r>
        <w:rPr>
          <w:rFonts w:ascii="Arial" w:hAnsi="Arial"/>
          <w:b w:val="0"/>
          <w:i/>
          <w:color w:val="215F52"/>
          <w:sz w:val="32"/>
        </w:rPr>
        <w:t>[PROJECT NAME]</w:t>
      </w:r>
    </w:p>
    <w:p>
      <w:pPr>
        <w:spacing w:after="80"/>
      </w:pPr>
      <w:r>
        <w:rPr>
          <w:rFonts w:ascii="Arial" w:hAnsi="Arial"/>
          <w:b/>
          <w:i w:val="0"/>
          <w:color w:val="243A36"/>
          <w:sz w:val="18"/>
        </w:rPr>
        <w:t xml:space="preserve">Project ID: </w:t>
      </w:r>
      <w:r>
        <w:rPr>
          <w:rFonts w:ascii="Arial" w:hAnsi="Arial"/>
          <w:b w:val="0"/>
          <w:i/>
          <w:color w:val="62716E"/>
          <w:sz w:val="18"/>
        </w:rPr>
        <w:t>[Enter]</w:t>
      </w:r>
    </w:p>
    <w:p>
      <w:pPr>
        <w:spacing w:after="80"/>
      </w:pPr>
      <w:r>
        <w:rPr>
          <w:rFonts w:ascii="Arial" w:hAnsi="Arial"/>
          <w:b/>
          <w:i w:val="0"/>
          <w:color w:val="243A36"/>
          <w:sz w:val="18"/>
        </w:rPr>
        <w:t xml:space="preserve">Country / jurisdiction: </w:t>
      </w:r>
      <w:r>
        <w:rPr>
          <w:rFonts w:ascii="Arial" w:hAnsi="Arial"/>
          <w:b w:val="0"/>
          <w:i/>
          <w:color w:val="62716E"/>
          <w:sz w:val="18"/>
        </w:rPr>
        <w:t>[Enter]</w:t>
      </w:r>
    </w:p>
    <w:p>
      <w:pPr>
        <w:spacing w:after="80"/>
      </w:pPr>
      <w:r>
        <w:rPr>
          <w:rFonts w:ascii="Arial" w:hAnsi="Arial"/>
          <w:b/>
          <w:i w:val="0"/>
          <w:color w:val="243A36"/>
          <w:sz w:val="18"/>
        </w:rPr>
        <w:t xml:space="preserve">Project document version: </w:t>
      </w:r>
      <w:r>
        <w:rPr>
          <w:rFonts w:ascii="Arial" w:hAnsi="Arial"/>
          <w:b w:val="0"/>
          <w:i/>
          <w:color w:val="62716E"/>
          <w:sz w:val="18"/>
        </w:rPr>
        <w:t>[Enter]</w:t>
      </w:r>
    </w:p>
    <w:p>
      <w:pPr>
        <w:spacing w:after="80"/>
      </w:pPr>
      <w:r>
        <w:rPr>
          <w:rFonts w:ascii="Arial" w:hAnsi="Arial"/>
          <w:b/>
          <w:i w:val="0"/>
          <w:color w:val="243A36"/>
          <w:sz w:val="18"/>
        </w:rPr>
        <w:t xml:space="preserve">Issue date (YYYY-MM-DD): </w:t>
      </w:r>
      <w:r>
        <w:rPr>
          <w:rFonts w:ascii="Arial" w:hAnsi="Arial"/>
          <w:b w:val="0"/>
          <w:i/>
          <w:color w:val="62716E"/>
          <w:sz w:val="18"/>
        </w:rPr>
        <w:t>[Enter]</w:t>
      </w:r>
    </w:p>
    <w:p>
      <w:pPr>
        <w:keepNext w:val="0"/>
        <w:spacing w:after="100" w:line="259" w:lineRule="auto"/>
      </w:pPr>
      <w:r>
        <w:rPr>
          <w:rFonts w:ascii="Arial" w:hAnsi="Arial"/>
          <w:b w:val="0"/>
          <w:i w:val="0"/>
          <w:color w:val="215F52"/>
          <w:sz w:val="21"/>
        </w:rPr>
        <w:t>Implementing organizations and stakeholders</w:t>
      </w:r>
    </w:p>
    <w:tbl>
      <w:tblPr>
        <w:tblW w:type="auto" w:w="0"/>
        <w:jc w:val="center"/>
        <w:tblLayout w:type="fixed"/>
        <w:tblLook w:firstColumn="1" w:firstRow="1" w:lastColumn="0" w:lastRow="0" w:noHBand="0" w:noVBand="1" w:val="04A0"/>
      </w:tblPr>
      <w:tblGrid>
        <w:gridCol w:w="3249"/>
        <w:gridCol w:w="3249"/>
        <w:gridCol w:w="3249"/>
      </w:tblGrid>
      <w:tr>
        <w:trPr>
          <w:trHeight w:val="1296" w:hRule="atLeast"/>
        </w:trPr>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IMPLEMENTING ENTITY</w:t>
            </w:r>
          </w:p>
          <w:p>
            <w:pPr>
              <w:jc w:val="center"/>
            </w:pPr>
            <w:r>
              <w:rPr>
                <w:rFonts w:ascii="Arial" w:hAnsi="Arial"/>
                <w:b w:val="0"/>
                <w:i w:val="0"/>
                <w:color w:val="62716E"/>
                <w:sz w:val="16"/>
              </w:rPr>
              <w:t>[Insert authorized logo]</w:t>
            </w:r>
          </w:p>
          <w:p>
            <w:pPr>
              <w:jc w:val="center"/>
            </w:pPr>
            <w:r>
              <w:rPr>
                <w:rFonts w:ascii="Arial" w:hAnsi="Arial"/>
                <w:b w:val="0"/>
                <w:i/>
                <w:color w:val="62716E"/>
                <w:sz w:val="16"/>
              </w:rPr>
              <w:t>[Organization / role]</w:t>
            </w:r>
          </w:p>
        </w:tc>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PROJECT PROPONENT</w:t>
            </w:r>
          </w:p>
          <w:p>
            <w:pPr>
              <w:jc w:val="center"/>
            </w:pPr>
            <w:r>
              <w:rPr>
                <w:rFonts w:ascii="Arial" w:hAnsi="Arial"/>
                <w:b w:val="0"/>
                <w:i w:val="0"/>
                <w:color w:val="62716E"/>
                <w:sz w:val="16"/>
              </w:rPr>
              <w:t>[Insert authorized logo]</w:t>
            </w:r>
          </w:p>
          <w:p>
            <w:pPr>
              <w:jc w:val="center"/>
            </w:pPr>
            <w:r>
              <w:rPr>
                <w:rFonts w:ascii="Arial" w:hAnsi="Arial"/>
                <w:b w:val="0"/>
                <w:i/>
                <w:color w:val="62716E"/>
                <w:sz w:val="16"/>
              </w:rPr>
              <w:t>[Organization / role]</w:t>
            </w:r>
          </w:p>
        </w:tc>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RIGHTS HOLDERS / STAKEHOLDERS</w:t>
            </w:r>
          </w:p>
          <w:p>
            <w:pPr>
              <w:jc w:val="center"/>
            </w:pPr>
            <w:r>
              <w:rPr>
                <w:rFonts w:ascii="Arial" w:hAnsi="Arial"/>
                <w:b w:val="0"/>
                <w:i w:val="0"/>
                <w:color w:val="62716E"/>
                <w:sz w:val="16"/>
              </w:rPr>
              <w:t>[Insert authorized logo]</w:t>
            </w:r>
          </w:p>
          <w:p>
            <w:pPr>
              <w:jc w:val="center"/>
            </w:pPr>
            <w:r>
              <w:rPr>
                <w:rFonts w:ascii="Arial" w:hAnsi="Arial"/>
                <w:b w:val="0"/>
                <w:i/>
                <w:color w:val="62716E"/>
                <w:sz w:val="16"/>
              </w:rPr>
              <w:t>[Organization / role]</w:t>
            </w:r>
          </w:p>
        </w:tc>
      </w:tr>
    </w:tbl>
    <w:p>
      <w:pPr>
        <w:keepNext w:val="0"/>
        <w:spacing w:after="160" w:line="259" w:lineRule="auto"/>
      </w:pPr>
      <w:r>
        <w:rPr>
          <w:rFonts w:ascii="Arial" w:hAnsi="Arial"/>
          <w:b w:val="0"/>
          <w:i w:val="0"/>
          <w:color w:val="62716E"/>
          <w:sz w:val="16"/>
        </w:rPr>
        <w:t>Use authorized logos and identify each organization’s actual role. Logo display does not establish consent, project ownership, endorsement, validation or admission. Remove unused partner spaces from the completed submission.</w:t>
      </w:r>
    </w:p>
    <w:p>
      <w:pPr>
        <w:keepNext w:val="0"/>
        <w:spacing w:after="100" w:line="259" w:lineRule="auto"/>
      </w:pPr>
      <w:r>
        <w:rPr>
          <w:rFonts w:ascii="Arial" w:hAnsi="Arial"/>
          <w:b w:val="0"/>
          <w:i w:val="0"/>
          <w:color w:val="62716E"/>
          <w:sz w:val="15"/>
        </w:rPr>
        <w:t>The English logo wording is a translation, not a separate legal entity.</w:t>
      </w:r>
    </w:p>
    <w:p>
      <w:r>
        <w:br w:type="page"/>
      </w:r>
    </w:p>
    <w:p>
      <w:pPr>
        <w:pStyle w:val="Heading1"/>
        <w:keepNext/>
      </w:pPr>
      <w:r>
        <w:t>License and use of this template</w:t>
      </w:r>
    </w:p>
    <w:p>
      <w:pPr>
        <w:keepNext w:val="0"/>
        <w:spacing w:after="220" w:line="259" w:lineRule="auto"/>
      </w:pPr>
      <w:r>
        <w:rPr>
          <w:rFonts w:ascii="Arial" w:hAnsi="Arial"/>
          <w:b w:val="0"/>
          <w:i w:val="0"/>
          <w:color w:val="243A36"/>
          <w:sz w:val="19"/>
        </w:rPr>
        <w:t>This document is issued by Nuevo Estándar Biotropical—NEBIOT S.A.S. Henry Arellano-Peña is the methodological author of NEB001 and NEB002. Rights in NEBIOT's protected materials remain with their respective rights holders. Commercial use, reproduction, adaptation, redistribution, and sublicensing of protected material are subject to the applicable license or specific written permission from the authorized rights holder; permissions for use within the NEBIOT program shall be recorded in FRM-07 under S-21. Access to this document does not itself grant a commercial license, transfer ownership, authorize sublicensing, confer program admission, or authorize certification or issuance of environmental units. Supporting publications and third-party data, software, and images retain their respective licenses and attribution requirements; existing lawful permissions and uses permitted by applicable law remain unaffected. Authorized independent reviewers shall receive the access necessary for inspection, recalculation, and reporting under S-22, subject to the applicable permissions and confidentiality safeguards.</w:t>
      </w:r>
    </w:p>
    <w:p>
      <w:pPr>
        <w:pStyle w:val="Heading2"/>
        <w:keepNext/>
      </w:pPr>
      <w:r>
        <w:t>Completion instructions</w:t>
      </w:r>
    </w:p>
    <w:p>
      <w:pPr>
        <w:keepNext w:val="0"/>
        <w:spacing w:after="180" w:line="259" w:lineRule="auto"/>
      </w:pPr>
      <w:r>
        <w:rPr>
          <w:rFonts w:ascii="Arial" w:hAnsi="Arial"/>
          <w:b w:val="0"/>
          <w:i w:val="0"/>
          <w:color w:val="243A36"/>
          <w:sz w:val="19"/>
        </w:rPr>
        <w:t>This template organizes the evidence required for its project stage under NEBIOT Standard version 0.8.2. It does not replace the standard, its applicable methods, the approved case profile or the controlled forms. Complete the bracketed fields and expand tables or narrative areas as needed. For an inapplicable item, record a reason and the reviewer’s disposition; do not silently delete it. Identify unknown information as missing, not zero. Keep observations, assumptions, projections, verified outcomes and authorized NVEUs distinct. Requirements are assessed at the stage to which they apply; later-stage fields do not imply earlier completion.</w:t>
      </w:r>
    </w:p>
    <w:p>
      <w:pPr>
        <w:pStyle w:val="Heading2"/>
        <w:keepNext/>
      </w:pPr>
      <w:r>
        <w:t>Reference and scope</w:t>
      </w:r>
    </w:p>
    <w:p>
      <w:pPr>
        <w:keepNext w:val="0"/>
        <w:spacing w:after="200" w:line="259" w:lineRule="auto"/>
      </w:pPr>
      <w:r>
        <w:rPr>
          <w:rFonts w:ascii="Arial" w:hAnsi="Arial"/>
          <w:b w:val="0"/>
          <w:i w:val="0"/>
          <w:color w:val="243A36"/>
          <w:sz w:val="17"/>
        </w:rPr>
        <w:t>[1] NEBIOT. NEBIOT Standard, controlled version 0.8.2. NEB-DOC-000, integrated edition. Principal dependencies: NEB-CYC-001; NEB-STD-001 and Annex A; NEB-MTH-001/002; NEB-UNT-001; NEB-PRO-001; NEB-MIG-001; NEB-AUD-001; and NEB-FRM-001. All clause, equation, AP and FRM references in this template refer to that version. They are external normative dependencies, not missing sections of this template.</w:t>
      </w:r>
    </w:p>
    <w:p>
      <w:pPr>
        <w:keepNext w:val="0"/>
        <w:spacing w:after="140" w:line="259" w:lineRule="auto"/>
      </w:pPr>
      <w:r>
        <w:rPr>
          <w:rFonts w:ascii="Arial" w:hAnsi="Arial"/>
          <w:b w:val="0"/>
          <w:i w:val="0"/>
          <w:color w:val="243A36"/>
          <w:sz w:val="18"/>
        </w:rPr>
        <w:t>NIP retains the source name Nota de Idea de proyecto; “Project Idea Note” is an explanatory English rendering. PD means Project Description.</w:t>
      </w:r>
    </w:p>
    <w:p>
      <w:pPr>
        <w:keepNext w:val="0"/>
        <w:spacing w:after="0" w:line="259" w:lineRule="auto"/>
      </w:pPr>
      <w:r>
        <w:rPr>
          <w:rFonts w:ascii="Arial" w:hAnsi="Arial"/>
          <w:b w:val="0"/>
          <w:i w:val="0"/>
          <w:color w:val="243A36"/>
          <w:sz w:val="18"/>
        </w:rPr>
        <w:t>NEBIOT provides the contracted technical assessment, design and monitoring services. The named proponent and implementing entity retain project execution responsibilities under S-25; exceptional NEBIOT interests follow S-26.</w:t>
      </w:r>
    </w:p>
    <w:p>
      <w:r>
        <w:br w:type="page"/>
      </w:r>
    </w:p>
    <w:p>
      <w:pPr>
        <w:pStyle w:val="Heading1"/>
        <w:keepNext/>
      </w:pPr>
      <w:r>
        <w:t>Document control and contents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925"/>
        <w:gridCol w:w="6824"/>
      </w:tblGrid>
      <w:tr>
        <w:trPr>
          <w:trHeight w:val="374" w:hRule="atLeast"/>
          <w:tblHeader/>
        </w:trPr>
        <w:tc>
          <w:tcPr>
            <w:tcW w:type="dxa" w:w="292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Control</w:t>
            </w:r>
          </w:p>
        </w:tc>
        <w:tc>
          <w:tcPr>
            <w:tcW w:type="dxa" w:w="6824"/>
            <w:vAlign w:val="center"/>
            <w:tcMar>
              <w:top w:w="70" w:type="dxa"/>
              <w:start w:w="85" w:type="dxa"/>
              <w:bottom w:w="70" w:type="dxa"/>
              <w:end w:w="85" w:type="dxa"/>
            </w:tcMar>
            <w:shd w:fill="215F52"/>
          </w:tcPr>
          <w:p>
            <w:pPr>
              <w:spacing w:after="0" w:line="250" w:lineRule="auto"/>
            </w:pPr>
            <w:r>
              <w:rPr>
                <w:rFonts w:ascii="Arial" w:hAnsi="Arial"/>
                <w:b/>
                <w:i w:val="0"/>
                <w:color w:val="FFFFFF"/>
                <w:sz w:val="16"/>
              </w:rPr>
              <w:t>Record</w:t>
            </w:r>
          </w:p>
        </w:tc>
      </w:tr>
      <w:tr>
        <w:trPr>
          <w:trHeight w:val="374"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Template</w:t>
            </w:r>
          </w:p>
        </w:tc>
        <w:tc>
          <w:tcPr>
            <w:tcW w:type="dxa" w:w="6824"/>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Prefeasibility / 1.2 / EN</w:t>
            </w:r>
          </w:p>
        </w:tc>
      </w:tr>
      <w:tr>
        <w:trPr>
          <w:trHeight w:val="374" w:hRule="atLeast"/>
        </w:trPr>
        <w:tc>
          <w:tcPr>
            <w:tcW w:type="dxa" w:w="2925"/>
            <w:vAlign w:val="center"/>
            <w:tcMar>
              <w:top w:w="70" w:type="dxa"/>
              <w:start w:w="85" w:type="dxa"/>
              <w:bottom w:w="70" w:type="dxa"/>
              <w:end w:w="85" w:type="dxa"/>
            </w:tcMar>
          </w:tcPr>
          <w:p>
            <w:pPr>
              <w:spacing w:after="0" w:line="250" w:lineRule="auto"/>
            </w:pPr>
            <w:r>
              <w:rPr>
                <w:rFonts w:ascii="Arial" w:hAnsi="Arial"/>
                <w:b w:val="0"/>
                <w:i w:val="0"/>
                <w:color w:val="243A36"/>
                <w:sz w:val="16"/>
              </w:rPr>
              <w:t>Standard basis</w:t>
            </w:r>
          </w:p>
        </w:tc>
        <w:tc>
          <w:tcPr>
            <w:tcW w:type="dxa" w:w="6824"/>
            <w:vAlign w:val="center"/>
            <w:tcMar>
              <w:top w:w="70" w:type="dxa"/>
              <w:start w:w="85" w:type="dxa"/>
              <w:bottom w:w="70" w:type="dxa"/>
              <w:end w:w="85" w:type="dxa"/>
            </w:tcMar>
          </w:tcPr>
          <w:p>
            <w:pPr>
              <w:spacing w:after="0" w:line="250" w:lineRule="auto"/>
            </w:pPr>
            <w:r>
              <w:rPr>
                <w:rFonts w:ascii="Arial" w:hAnsi="Arial"/>
                <w:b w:val="0"/>
                <w:i w:val="0"/>
                <w:color w:val="243A36"/>
                <w:sz w:val="16"/>
              </w:rPr>
              <w:t>NEBIOT 0.8.2 / CYC-03</w:t>
            </w:r>
          </w:p>
        </w:tc>
      </w:tr>
      <w:tr>
        <w:trPr>
          <w:trHeight w:val="374"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Preparer / reviewer</w:t>
            </w:r>
          </w:p>
        </w:tc>
        <w:tc>
          <w:tcPr>
            <w:tcW w:type="dxa" w:w="682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374" w:hRule="atLeast"/>
        </w:trPr>
        <w:tc>
          <w:tcPr>
            <w:tcW w:type="dxa" w:w="2925"/>
            <w:vAlign w:val="center"/>
            <w:tcMar>
              <w:top w:w="70" w:type="dxa"/>
              <w:start w:w="85" w:type="dxa"/>
              <w:bottom w:w="70" w:type="dxa"/>
              <w:end w:w="85" w:type="dxa"/>
            </w:tcMar>
          </w:tcPr>
          <w:p>
            <w:pPr>
              <w:spacing w:after="0" w:line="250" w:lineRule="auto"/>
            </w:pPr>
            <w:r>
              <w:rPr>
                <w:rFonts w:ascii="Arial" w:hAnsi="Arial"/>
                <w:b w:val="0"/>
                <w:i w:val="0"/>
                <w:color w:val="243A36"/>
                <w:sz w:val="16"/>
              </w:rPr>
              <w:t>Distribution / restrictions</w:t>
            </w:r>
          </w:p>
        </w:tc>
        <w:tc>
          <w:tcPr>
            <w:tcW w:type="dxa" w:w="6824"/>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1852"/>
        <w:gridCol w:w="2242"/>
        <w:gridCol w:w="5654"/>
      </w:tblGrid>
      <w:tr>
        <w:trPr>
          <w:trHeight w:val="360" w:hRule="atLeast"/>
          <w:tblHeader/>
        </w:trPr>
        <w:tc>
          <w:tcPr>
            <w:tcW w:type="dxa" w:w="185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Version</w:t>
            </w:r>
          </w:p>
        </w:tc>
        <w:tc>
          <w:tcPr>
            <w:tcW w:type="dxa" w:w="224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Date</w:t>
            </w:r>
          </w:p>
        </w:tc>
        <w:tc>
          <w:tcPr>
            <w:tcW w:type="dxa" w:w="5654"/>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Change and authority</w:t>
            </w:r>
          </w:p>
        </w:tc>
      </w:tr>
      <w:tr>
        <w:trPr>
          <w:trHeight w:val="360" w:hRule="atLeast"/>
        </w:trPr>
        <w:tc>
          <w:tcPr>
            <w:tcW w:type="dxa" w:w="185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 ]</w:t>
            </w:r>
          </w:p>
        </w:tc>
        <w:tc>
          <w:tcPr>
            <w:tcW w:type="dxa" w:w="224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 ]</w:t>
            </w:r>
          </w:p>
        </w:tc>
        <w:tc>
          <w:tcPr>
            <w:tcW w:type="dxa" w:w="565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 ]</w:t>
            </w:r>
          </w:p>
        </w:tc>
      </w:tr>
    </w:tbl>
    <w:p>
      <w:pPr>
        <w:keepNext w:val="0"/>
        <w:spacing w:after="60" w:line="259" w:lineRule="auto"/>
      </w:pPr>
      <w:r>
        <w:rPr>
          <w:rFonts w:ascii="Arial" w:hAnsi="Arial"/>
          <w:b w:val="0"/>
          <w:i w:val="0"/>
          <w:color w:val="243A36"/>
          <w:sz w:val="2"/>
        </w:rPr>
      </w:r>
    </w:p>
    <w:p>
      <w:pPr>
        <w:keepNext w:val="0"/>
        <w:spacing w:after="100" w:line="259" w:lineRule="auto"/>
      </w:pPr>
      <w:r>
        <w:rPr>
          <w:rFonts w:ascii="Arial" w:hAnsi="Arial"/>
          <w:b/>
          <w:i w:val="0"/>
          <w:color w:val="215F52"/>
          <w:sz w:val="22"/>
        </w:rPr>
        <w:t>Contents</w:t>
      </w:r>
    </w:p>
    <w:p>
      <w:pPr>
        <w:spacing w:after="60" w:line="252" w:lineRule="auto"/>
      </w:pPr>
      <w:hyperlink w:anchor="Section_1">
        <w:r>
          <w:rPr>
            <w:rFonts w:ascii="Arial" w:hAnsi="Arial"/>
            <w:sz w:val="19"/>
            <w:color w:val="215F52"/>
          </w:rPr>
          <w:t>01  NIP handover and study scope</w:t>
        </w:r>
      </w:hyperlink>
    </w:p>
    <w:p>
      <w:pPr>
        <w:spacing w:after="60" w:line="252" w:lineRule="auto"/>
      </w:pPr>
      <w:hyperlink w:anchor="Section_2">
        <w:r>
          <w:rPr>
            <w:rFonts w:ascii="Arial" w:hAnsi="Arial"/>
            <w:sz w:val="19"/>
            <w:color w:val="215F52"/>
          </w:rPr>
          <w:t>02  Territory, baseline condition and spatial evidence</w:t>
        </w:r>
      </w:hyperlink>
    </w:p>
    <w:p>
      <w:pPr>
        <w:spacing w:after="60" w:line="252" w:lineRule="auto"/>
      </w:pPr>
      <w:hyperlink w:anchor="Section_3">
        <w:r>
          <w:rPr>
            <w:rFonts w:ascii="Arial" w:hAnsi="Arial"/>
            <w:sz w:val="19"/>
            <w:color w:val="215F52"/>
          </w:rPr>
          <w:t>03  Alternatives, drivers and initial additionality</w:t>
        </w:r>
      </w:hyperlink>
    </w:p>
    <w:p>
      <w:pPr>
        <w:spacing w:after="60" w:line="252" w:lineRule="auto"/>
      </w:pPr>
      <w:hyperlink w:anchor="Section_4">
        <w:r>
          <w:rPr>
            <w:rFonts w:ascii="Arial" w:hAnsi="Arial"/>
            <w:sz w:val="19"/>
            <w:color w:val="215F52"/>
          </w:rPr>
          <w:t>04  Method selection and feasibility investigation</w:t>
        </w:r>
      </w:hyperlink>
    </w:p>
    <w:p>
      <w:pPr>
        <w:spacing w:after="60" w:line="252" w:lineRule="auto"/>
      </w:pPr>
      <w:hyperlink w:anchor="Section_5">
        <w:r>
          <w:rPr>
            <w:rFonts w:ascii="Arial" w:hAnsi="Arial"/>
            <w:sz w:val="19"/>
            <w:color w:val="215F52"/>
          </w:rPr>
          <w:t>05  Indicative environmental account and sensitivity</w:t>
        </w:r>
      </w:hyperlink>
    </w:p>
    <w:p>
      <w:pPr>
        <w:spacing w:after="60" w:line="252" w:lineRule="auto"/>
      </w:pPr>
      <w:hyperlink w:anchor="Section_6">
        <w:r>
          <w:rPr>
            <w:rFonts w:ascii="Arial" w:hAnsi="Arial"/>
            <w:sz w:val="19"/>
            <w:color w:val="215F52"/>
          </w:rPr>
          <w:t>06  Rights, safeguards, overlap and migration screening</w:t>
        </w:r>
      </w:hyperlink>
    </w:p>
    <w:p>
      <w:pPr>
        <w:spacing w:after="60" w:line="252" w:lineRule="auto"/>
      </w:pPr>
      <w:hyperlink w:anchor="Section_7">
        <w:r>
          <w:rPr>
            <w:rFonts w:ascii="Arial" w:hAnsi="Arial"/>
            <w:sz w:val="19"/>
            <w:color w:val="215F52"/>
          </w:rPr>
          <w:t>07  Risk, resources and implementation constraints</w:t>
        </w:r>
      </w:hyperlink>
    </w:p>
    <w:p>
      <w:pPr>
        <w:spacing w:after="60" w:line="252" w:lineRule="auto"/>
      </w:pPr>
      <w:hyperlink w:anchor="Section_8">
        <w:r>
          <w:rPr>
            <w:rFonts w:ascii="Arial" w:hAnsi="Arial"/>
            <w:sz w:val="19"/>
            <w:color w:val="215F52"/>
          </w:rPr>
          <w:t>08  Feasibility work program and recommendations</w:t>
        </w:r>
      </w:hyperlink>
    </w:p>
    <w:p>
      <w:pPr>
        <w:spacing w:after="60" w:line="252" w:lineRule="auto"/>
      </w:pPr>
      <w:hyperlink w:anchor="Section_9">
        <w:r>
          <w:rPr>
            <w:rFonts w:ascii="Arial" w:hAnsi="Arial"/>
            <w:sz w:val="19"/>
            <w:color w:val="215F52"/>
          </w:rPr>
          <w:t>09  Evidence, annexes and references</w:t>
        </w:r>
      </w:hyperlink>
    </w:p>
    <w:p>
      <w:pPr>
        <w:spacing w:after="60" w:line="252" w:lineRule="auto"/>
      </w:pPr>
      <w:hyperlink w:anchor="Section_10">
        <w:r>
          <w:rPr>
            <w:rFonts w:ascii="Arial" w:hAnsi="Arial"/>
            <w:sz w:val="19"/>
            <w:color w:val="215F52"/>
          </w:rPr>
          <w:t>10  Submission, review and stage decision</w:t>
        </w:r>
      </w:hyperlink>
    </w:p>
    <w:p>
      <w:pPr>
        <w:spacing w:after="60"/>
      </w:pPr>
      <w:hyperlink w:anchor="account_annex">
        <w:r>
          <w:rPr>
            <w:color w:val="215F52"/>
          </w:rPr>
          <w:t>A. Ex-ante, ex-post and migration account attachments</w:t>
        </w:r>
      </w:hyperlink>
    </w:p>
    <w:p>
      <w:pPr>
        <w:spacing w:after="80"/>
      </w:pPr>
      <w:hyperlink w:anchor="calc_register" w:history="1">
        <w:r>
          <w:rPr>
            <w:color w:val="215F52"/>
          </w:rPr>
          <w:t>CALC  Calculation traceability and notation</w:t>
        </w:r>
      </w:hyperlink>
    </w:p>
    <w:p>
      <w:r>
        <w:br w:type="page"/>
      </w:r>
    </w:p>
    <w:p>
      <w:bookmarkStart w:id="101" w:name="Section_1"/>
      <w:pPr>
        <w:pStyle w:val="Heading1"/>
        <w:keepNext/>
      </w:pPr>
      <w:r>
        <w:t>01  NIP handover and study scope</w:t>
      </w:r>
      <w:bookmarkEnd w:id="101"/>
    </w:p>
    <w:p>
      <w:pPr>
        <w:keepNext/>
        <w:spacing w:after="180" w:line="259" w:lineRule="auto"/>
      </w:pPr>
      <w:r>
        <w:rPr>
          <w:rFonts w:ascii="Arial" w:hAnsi="Arial"/>
          <w:b w:val="0"/>
          <w:i w:val="0"/>
          <w:color w:val="62716E"/>
          <w:sz w:val="15"/>
        </w:rPr>
        <w:t>[1] Basis: CYC-01; CYC-03; S-18; S-25; FRM-06; FRM-07</w:t>
      </w:r>
    </w:p>
    <w:p>
      <w:pPr>
        <w:pStyle w:val="Heading2"/>
        <w:keepNext/>
      </w:pPr>
      <w:r>
        <w:t>Prior-stage record</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412"/>
        <w:gridCol w:w="2145"/>
        <w:gridCol w:w="4192"/>
      </w:tblGrid>
      <w:tr>
        <w:trPr>
          <w:trHeight w:val="446" w:hRule="atLeast"/>
          <w:tblHeader/>
        </w:trPr>
        <w:tc>
          <w:tcPr>
            <w:tcW w:type="dxa" w:w="341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NIP / decision / evidence ID</w:t>
            </w:r>
          </w:p>
        </w:tc>
        <w:tc>
          <w:tcPr>
            <w:tcW w:type="dxa" w:w="214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Version and date</w:t>
            </w:r>
          </w:p>
        </w:tc>
        <w:tc>
          <w:tcPr>
            <w:tcW w:type="dxa" w:w="419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Conditions and closure evidence</w:t>
            </w:r>
          </w:p>
        </w:tc>
      </w:tr>
      <w:tr>
        <w:trPr>
          <w:trHeight w:val="446" w:hRule="atLeast"/>
        </w:trPr>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14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419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214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419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Study objective, alternatives and exclusions</w:t>
      </w:r>
    </w:p>
    <w:p>
      <w:pPr>
        <w:keepNext/>
        <w:spacing w:after="100" w:line="259" w:lineRule="auto"/>
      </w:pPr>
      <w:r>
        <w:rPr>
          <w:rFonts w:ascii="Arial" w:hAnsi="Arial"/>
          <w:b w:val="0"/>
          <w:i w:val="0"/>
          <w:color w:val="62716E"/>
          <w:sz w:val="18"/>
        </w:rPr>
        <w:t>Define the questions authorized for prefeasibility, the decision to be informed, geographic coverage and limits of the investigation. Explain any material change since the NIP.</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pPr>
        <w:pStyle w:val="Heading2"/>
        <w:keepNext/>
      </w:pPr>
      <w:r>
        <w:t>Responsibility and authorization register</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437"/>
        <w:gridCol w:w="2730"/>
        <w:gridCol w:w="4582"/>
      </w:tblGrid>
      <w:tr>
        <w:trPr>
          <w:trHeight w:val="446" w:hRule="atLeast"/>
          <w:tblHeader/>
        </w:trPr>
        <w:tc>
          <w:tcPr>
            <w:tcW w:type="dxa" w:w="2437"/>
            <w:vAlign w:val="center"/>
            <w:tcMar>
              <w:top w:w="70" w:type="dxa"/>
              <w:start w:w="85" w:type="dxa"/>
              <w:bottom w:w="70" w:type="dxa"/>
              <w:end w:w="85" w:type="dxa"/>
            </w:tcMar>
            <w:shd w:fill="215F52"/>
          </w:tcPr>
          <w:p>
            <w:pPr>
              <w:spacing w:after="0" w:line="250" w:lineRule="auto"/>
            </w:pPr>
            <w:r>
              <w:rPr>
                <w:rFonts w:ascii="Arial" w:hAnsi="Arial"/>
                <w:b/>
                <w:i w:val="0"/>
                <w:color w:val="FFFFFF"/>
                <w:sz w:val="16"/>
              </w:rPr>
              <w:t>Role</w:t>
            </w:r>
          </w:p>
        </w:tc>
        <w:tc>
          <w:tcPr>
            <w:tcW w:type="dxa" w:w="273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Entity / named lead</w:t>
            </w:r>
          </w:p>
        </w:tc>
        <w:tc>
          <w:tcPr>
            <w:tcW w:type="dxa" w:w="458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Mandate, scope and evidence</w:t>
            </w:r>
          </w:p>
        </w:tc>
      </w:tr>
      <w:tr>
        <w:trPr>
          <w:trHeight w:val="446" w:hRule="atLeast"/>
        </w:trPr>
        <w:tc>
          <w:tcPr>
            <w:tcW w:type="dxa" w:w="243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Project proponent</w:t>
            </w:r>
          </w:p>
        </w:tc>
        <w:tc>
          <w:tcPr>
            <w:tcW w:type="dxa" w:w="273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458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2437"/>
            <w:vAlign w:val="center"/>
            <w:tcMar>
              <w:top w:w="70" w:type="dxa"/>
              <w:start w:w="85" w:type="dxa"/>
              <w:bottom w:w="70" w:type="dxa"/>
              <w:end w:w="85" w:type="dxa"/>
            </w:tcMar>
          </w:tcPr>
          <w:p>
            <w:pPr>
              <w:spacing w:after="0" w:line="250" w:lineRule="auto"/>
            </w:pPr>
            <w:r>
              <w:rPr>
                <w:rFonts w:ascii="Arial" w:hAnsi="Arial"/>
                <w:b w:val="0"/>
                <w:i w:val="0"/>
                <w:color w:val="243A36"/>
                <w:sz w:val="16"/>
              </w:rPr>
              <w:t>Rights holders</w:t>
            </w:r>
          </w:p>
        </w:tc>
        <w:tc>
          <w:tcPr>
            <w:tcW w:type="dxa" w:w="273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458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243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Implementing entity</w:t>
            </w:r>
          </w:p>
        </w:tc>
        <w:tc>
          <w:tcPr>
            <w:tcW w:type="dxa" w:w="273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458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2437"/>
            <w:vAlign w:val="center"/>
            <w:tcMar>
              <w:top w:w="70" w:type="dxa"/>
              <w:start w:w="85" w:type="dxa"/>
              <w:bottom w:w="70" w:type="dxa"/>
              <w:end w:w="85" w:type="dxa"/>
            </w:tcMar>
          </w:tcPr>
          <w:p>
            <w:pPr>
              <w:spacing w:after="0" w:line="250" w:lineRule="auto"/>
            </w:pPr>
            <w:r>
              <w:rPr>
                <w:rFonts w:ascii="Arial" w:hAnsi="Arial"/>
                <w:b w:val="0"/>
                <w:i w:val="0"/>
                <w:color w:val="243A36"/>
                <w:sz w:val="16"/>
              </w:rPr>
              <w:t>NEBIOT technical lead</w:t>
            </w:r>
          </w:p>
        </w:tc>
        <w:tc>
          <w:tcPr>
            <w:tcW w:type="dxa" w:w="273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458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Work scope and access authority</w:t>
      </w:r>
    </w:p>
    <w:p>
      <w:pPr>
        <w:keepNext/>
        <w:spacing w:after="100" w:line="259" w:lineRule="auto"/>
      </w:pPr>
      <w:r>
        <w:rPr>
          <w:rFonts w:ascii="Arial" w:hAnsi="Arial"/>
          <w:b w:val="0"/>
          <w:i w:val="0"/>
          <w:color w:val="62716E"/>
          <w:sz w:val="18"/>
        </w:rPr>
        <w:t>Record contracted NEBIOT services, implementer information and evidence-access arrangements. Technical services do not transfer ownership or execution responsibility.</w:t>
      </w:r>
    </w:p>
    <w:tbl>
      <w:tblPr>
        <w:tblW w:type="auto" w:w="0"/>
        <w:tblLook w:firstColumn="1" w:firstRow="1" w:lastColumn="0" w:lastRow="0" w:noHBand="0" w:noVBand="1" w:val="04A0"/>
      </w:tblPr>
      <w:tblGrid>
        <w:gridCol w:w="9746"/>
      </w:tblGrid>
      <w:tr>
        <w:trPr>
          <w:trHeight w:val="475"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r>
        <w:br w:type="page"/>
      </w:r>
    </w:p>
    <w:p>
      <w:bookmarkStart w:id="102" w:name="Section_2"/>
      <w:pPr>
        <w:pStyle w:val="Heading1"/>
        <w:keepNext/>
      </w:pPr>
      <w:r>
        <w:t>02  Territory, baseline condition and spatial evidence</w:t>
      </w:r>
      <w:bookmarkEnd w:id="102"/>
    </w:p>
    <w:p>
      <w:pPr>
        <w:keepNext/>
        <w:spacing w:after="180" w:line="259" w:lineRule="auto"/>
      </w:pPr>
      <w:r>
        <w:rPr>
          <w:rFonts w:ascii="Arial" w:hAnsi="Arial"/>
          <w:b w:val="0"/>
          <w:i w:val="0"/>
          <w:color w:val="62716E"/>
          <w:sz w:val="15"/>
        </w:rPr>
        <w:t>[1] Basis: S-03; S-06; S-07; MIG-13; MIG-14; FRM-04/M</w:t>
      </w:r>
    </w:p>
    <w:p>
      <w:pPr>
        <w:pStyle w:val="Heading2"/>
        <w:keepNext/>
      </w:pPr>
      <w:r>
        <w:t>Project map / spatial evidence</w:t>
      </w:r>
    </w:p>
    <w:p>
      <w:pPr>
        <w:keepNext/>
        <w:spacing w:after="100" w:line="259" w:lineRule="auto"/>
      </w:pPr>
      <w:r>
        <w:rPr>
          <w:rFonts w:ascii="Arial" w:hAnsi="Arial"/>
          <w:b w:val="0"/>
          <w:i w:val="0"/>
          <w:color w:val="62716E"/>
          <w:sz w:val="17"/>
        </w:rPr>
        <w:t>Insert a readable project map. Identify boundary version, coordinate reference system, scale, observation date, data source, legend and restrictions on disclosure. A screening map does not establish rights or an outcome boundary.</w:t>
      </w:r>
    </w:p>
    <w:tbl>
      <w:tblPr>
        <w:tblW w:type="auto" w:w="0"/>
        <w:tblLook w:firstColumn="1" w:firstRow="1" w:lastColumn="0" w:lastRow="0" w:noHBand="0" w:noVBand="1" w:val="04A0"/>
      </w:tblPr>
      <w:tblGrid>
        <w:gridCol w:w="9746"/>
      </w:tblGrid>
      <w:tr>
        <w:trPr>
          <w:trHeight w:val="2088" w:hRule="atLeast"/>
        </w:trPr>
        <w:tc>
          <w:tcPr>
            <w:tcW w:type="dxa" w:w="9746"/>
            <w:shd w:fill="F1F5F2"/>
            <w:vAlign w:val="center"/>
          </w:tcPr>
          <w:p>
            <w:pPr>
              <w:jc w:val="center"/>
            </w:pPr>
            <w:r>
              <w:rPr>
                <w:rFonts w:ascii="Arial" w:hAnsi="Arial"/>
                <w:b/>
                <w:i w:val="0"/>
                <w:color w:val="62716E"/>
                <w:sz w:val="20"/>
              </w:rPr>
              <w:t>[INSERT PROJECT MAP]</w:t>
            </w:r>
          </w:p>
        </w:tc>
      </w:tr>
    </w:tbl>
    <w:p>
      <w:pPr>
        <w:keepNext w:val="0"/>
        <w:spacing w:after="80" w:line="259" w:lineRule="auto"/>
      </w:pPr>
      <w:r>
        <w:rPr>
          <w:rFonts w:ascii="Arial" w:hAnsi="Arial"/>
          <w:b w:val="0"/>
          <w:i w:val="0"/>
          <w:color w:val="243A36"/>
          <w:sz w:val="2"/>
        </w:rPr>
      </w:r>
    </w:p>
    <w:p>
      <w:pPr>
        <w:pStyle w:val="Heading2"/>
        <w:keepNext/>
      </w:pPr>
      <w:r>
        <w:t>Spatial-data passport</w:t>
      </w:r>
    </w:p>
    <w:p>
      <w:pPr>
        <w:keepNext/>
        <w:spacing w:before="40" w:after="60"/>
      </w:pPr>
      <w:r>
        <w:rPr>
          <w:rFonts w:ascii="Lato" w:hAnsi="Lato"/>
          <w:color w:val="315B50"/>
          <w:sz w:val="18"/>
        </w:rPr>
        <w:t>PREFEASIBILITY-T05 / Calculation notation</w:t>
      </w:r>
    </w:p>
    <w:p>
      <w:pPr>
        <w:keepNext/>
        <w:spacing w:before="40" w:after="60"/>
      </w:pPr>
      <m:oMath>
        <m:sSub>
          <m:e>
            <m:r>
              <w:rPr>
                <w:sz w:val="18"/>
              </w:rPr>
              <m:t>A</m:t>
            </m:r>
          </m:e>
          <m:sub>
            <m:r>
              <w:rPr>
                <w:sz w:val="18"/>
              </w:rPr>
              <m:t>i</m:t>
            </m:r>
            <m:r>
              <w:rPr>
                <w:sz w:val="18"/>
              </w:rPr>
              <m:rPr>
                <m:sty m:val="p"/>
              </m:rPr>
              <m:t>,</m:t>
            </m:r>
            <m:r>
              <w:rPr>
                <w:sz w:val="18"/>
              </w:rPr>
              <m:t>t</m:t>
            </m:r>
          </m:sub>
        </m:sSub>
        <m:r>
          <w:rPr>
            <w:sz w:val="18"/>
          </w:rPr>
          <m:rPr>
            <m:sty m:val="p"/>
          </m:rPr>
          <m:t>=</m:t>
        </m:r>
        <m:f>
          <m:fPr>
            <m:type m:val="bar"/>
          </m:fPr>
          <m:num>
            <m:sSub>
              <m:e>
                <m:r>
                  <w:rPr>
                    <w:sz w:val="18"/>
                  </w:rPr>
                  <m:t>n</m:t>
                </m:r>
              </m:e>
              <m:sub>
                <m:r>
                  <w:rPr>
                    <w:sz w:val="18"/>
                  </w:rPr>
                  <m:t>i</m:t>
                </m:r>
                <m:r>
                  <w:rPr>
                    <w:sz w:val="18"/>
                  </w:rPr>
                  <m:rPr>
                    <m:sty m:val="p"/>
                  </m:rPr>
                  <m:t>,</m:t>
                </m:r>
                <m:r>
                  <w:rPr>
                    <w:sz w:val="18"/>
                  </w:rPr>
                  <m:t>t</m:t>
                </m:r>
              </m:sub>
            </m:sSub>
            <m:sSub>
              <m:e>
                <m:r>
                  <w:rPr>
                    <w:sz w:val="18"/>
                  </w:rPr>
                  <m:t>a</m:t>
                </m:r>
              </m:e>
              <m:sub>
                <m:r>
                  <w:rPr>
                    <w:sz w:val="18"/>
                  </w:rPr>
                  <m:rPr>
                    <m:sty m:val="p"/>
                  </m:rPr>
                  <m:t>c</m:t>
                </m:r>
                <m:r>
                  <w:rPr>
                    <w:sz w:val="18"/>
                  </w:rPr>
                  <m:rPr>
                    <m:sty m:val="p"/>
                  </m:rPr>
                  <m:t>e</m:t>
                </m:r>
                <m:r>
                  <w:rPr>
                    <w:sz w:val="18"/>
                  </w:rPr>
                  <m:rPr>
                    <m:sty m:val="p"/>
                  </m:rPr>
                  <m:t>l</m:t>
                </m:r>
                <m:r>
                  <w:rPr>
                    <w:sz w:val="18"/>
                  </w:rPr>
                  <m:rPr>
                    <m:sty m:val="p"/>
                  </m:rPr>
                  <m:t>l</m:t>
                </m:r>
              </m:sub>
            </m:sSub>
          </m:num>
          <m:den>
            <m:sSub>
              <m:e>
                <m:r>
                  <w:rPr>
                    <w:sz w:val="18"/>
                  </w:rPr>
                  <m:t>k</m:t>
                </m:r>
              </m:e>
              <m:sub>
                <m:r>
                  <w:rPr>
                    <w:sz w:val="18"/>
                  </w:rPr>
                  <m:t>A</m:t>
                </m:r>
              </m:sub>
            </m:sSub>
          </m:den>
        </m:f>
        <m:r>
          <w:rPr>
            <w:sz w:val="18"/>
          </w:rPr>
          <m:rPr>
            <m:sty m:val="p"/>
          </m:rPr>
          <m:t>,</m:t>
        </m:r>
        <m:r>
          <w:rPr>
            <w:sz w:val="18"/>
          </w:rPr>
          <m:t>  </m:t>
        </m:r>
        <m:sSub>
          <m:e>
            <m:r>
              <w:rPr>
                <w:sz w:val="18"/>
              </w:rPr>
              <m:t>k</m:t>
            </m:r>
          </m:e>
          <m:sub>
            <m:r>
              <w:rPr>
                <w:sz w:val="18"/>
              </w:rPr>
              <m:t>A</m:t>
            </m:r>
          </m:sub>
        </m:sSub>
        <m:r>
          <w:rPr>
            <w:sz w:val="18"/>
          </w:rPr>
          <m:rPr>
            <m:sty m:val="p"/>
          </m:rPr>
          <m:t>=</m:t>
        </m:r>
        <m:sSup>
          <m:e>
            <m:r>
              <w:rPr>
                <w:sz w:val="18"/>
              </w:rPr>
              <m:t>10</m:t>
            </m:r>
          </m:e>
          <m:sup>
            <m:r>
              <w:rPr>
                <w:sz w:val="18"/>
              </w:rPr>
              <m:t>4</m:t>
            </m:r>
          </m:sup>
        </m:sSup>
        <m:r>
          <w:rPr>
            <w:sz w:val="18"/>
          </w:rPr>
          <m:t> </m:t>
        </m:r>
        <m:sSup>
          <m:e>
            <m:r>
              <w:rPr>
                <w:sz w:val="18"/>
              </w:rPr>
              <m:rPr>
                <m:sty m:val="p"/>
              </m:rPr>
              <m:t>m</m:t>
            </m:r>
          </m:e>
          <m:sup>
            <m:r>
              <w:rPr>
                <w:sz w:val="18"/>
              </w:rPr>
              <m:rPr>
                <m:sty m:val="p"/>
              </m:rPr>
              <m:t>2</m:t>
            </m:r>
          </m:sup>
        </m:sSup>
        <m:r>
          <w:rPr>
            <w:sz w:val="18"/>
          </w:rPr>
          <m:rPr>
            <m:sty m:val="p"/>
          </m:rPr>
          <m:t> </m:t>
        </m:r>
        <m:r>
          <w:rPr>
            <w:sz w:val="18"/>
          </w:rPr>
          <m:rPr>
            <m:sty m:val="p"/>
          </m:rPr>
          <m:t>h</m:t>
        </m:r>
        <m:sSup>
          <m:e>
            <m:r>
              <w:rPr>
                <w:sz w:val="18"/>
              </w:rPr>
              <m:rPr>
                <m:sty m:val="p"/>
              </m:rPr>
              <m:t>a</m:t>
            </m:r>
          </m:e>
          <m:sup>
            <m:r>
              <w:rPr>
                <w:sz w:val="18"/>
              </w:rPr>
              <m:rPr>
                <m:sty m:val="p"/>
              </m:rPr>
              <m:t>−</m:t>
            </m:r>
            <m:r>
              <w:rPr>
                <w:sz w:val="18"/>
              </w:rPr>
              <m:rPr>
                <m:sty m:val="p"/>
              </m:rPr>
              <m:t>1</m:t>
            </m:r>
          </m:sup>
        </m:sSup>
      </m:oMath>
    </w:p>
    <w:p>
      <w:pPr>
        <w:keepNext/>
        <w:spacing w:before="40" w:after="60"/>
      </w:pPr>
      <w:r>
        <w:rPr>
          <w:rFonts w:ascii="Lato" w:hAnsi="Lato"/>
          <w:color w:val="315B50"/>
          <w:sz w:val="16"/>
        </w:rPr>
        <w:t>n is a pixel count; a_cell is pixel area in m2; A is area in ha. The PIXELS route uses the displayed geometric conversion. Direct area is a documented input. Net class change is not gross deforestation.</w:t>
      </w:r>
    </w:p>
    <w:p>
      <w:pPr>
        <w:keepNext/>
        <w:spacing w:before="40" w:after="60"/>
      </w:pPr>
      <w:r>
        <w:rPr>
          <w:rFonts w:ascii="Lato" w:hAnsi="Lato"/>
          <w:color w:val="315B50"/>
          <w:sz w:val="14"/>
        </w:rPr>
        <w:t>Basis: M01; MIG-13; MIG-14 | Workbook: Spatial!F:I; Profile!B15</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827"/>
        <w:gridCol w:w="3315"/>
        <w:gridCol w:w="3607"/>
      </w:tblGrid>
      <w:tr>
        <w:trPr>
          <w:trHeight w:val="446" w:hRule="atLeast"/>
          <w:tblHeader/>
        </w:trPr>
        <w:tc>
          <w:tcPr>
            <w:tcW w:type="dxa" w:w="2827"/>
            <w:vAlign w:val="center"/>
            <w:tcMar>
              <w:top w:w="70" w:type="dxa"/>
              <w:start w:w="85" w:type="dxa"/>
              <w:bottom w:w="70" w:type="dxa"/>
              <w:end w:w="85" w:type="dxa"/>
            </w:tcMar>
            <w:shd w:fill="E6F0EB"/>
          </w:tcPr>
          <w:p>
            <w:pPr>
              <w:spacing w:after="0" w:line="250" w:lineRule="auto"/>
            </w:pPr>
            <w:r>
              <w:rPr>
                <w:rFonts w:ascii="Arial" w:hAnsi="Arial"/>
                <w:b/>
                <w:i w:val="0"/>
                <w:color w:val="173E34"/>
                <w:sz w:val="16"/>
              </w:rPr>
              <w:t>Product / release / band</w:t>
            </w:r>
          </w:p>
          <w:p>
            <w:pPr>
              <w:spacing w:before="40" w:after="40"/>
            </w:pPr>
            <m:oMath>
              <m:r>
                <w:rPr>
                  <w:sz w:val="16"/>
                  <w:color w:val="173E34"/>
                </w:rPr>
                <m:t>i</m:t>
              </m:r>
              <m:r>
                <w:rPr>
                  <w:sz w:val="16"/>
                  <w:color w:val="173E34"/>
                </w:rPr>
                <m:rPr>
                  <m:sty m:val="p"/>
                </m:rPr>
                <m:t>,</m:t>
              </m:r>
              <m:r>
                <w:rPr>
                  <w:sz w:val="16"/>
                  <w:color w:val="173E34"/>
                </w:rPr>
                <m:t> </m:t>
              </m:r>
              <m:r>
                <w:rPr>
                  <w:sz w:val="16"/>
                  <w:color w:val="173E34"/>
                </w:rPr>
                <m:t>t</m:t>
              </m:r>
            </m:oMath>
          </w:p>
        </w:tc>
        <w:tc>
          <w:tcPr>
            <w:tcW w:type="dxa" w:w="331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Units, support and observation dates</w:t>
            </w:r>
          </w:p>
          <w:p>
            <w:pPr>
              <w:spacing w:before="40" w:after="40"/>
            </w:pPr>
            <m:oMath>
              <m:sSub>
                <m:e>
                  <m:r>
                    <w:rPr>
                      <w:sz w:val="16"/>
                      <w:color w:val="173E34"/>
                    </w:rPr>
                    <m:t>A</m:t>
                  </m:r>
                </m:e>
                <m:sub>
                  <m:r>
                    <w:rPr>
                      <w:sz w:val="16"/>
                      <w:color w:val="173E34"/>
                    </w:rPr>
                    <m:t>i</m:t>
                  </m:r>
                  <m:r>
                    <w:rPr>
                      <w:sz w:val="16"/>
                      <w:color w:val="173E34"/>
                    </w:rPr>
                    <m:rPr>
                      <m:sty m:val="p"/>
                    </m:rPr>
                    <m:t>,</m:t>
                  </m:r>
                  <m:r>
                    <w:rPr>
                      <w:sz w:val="16"/>
                      <w:color w:val="173E34"/>
                    </w:rPr>
                    <m:t>t</m:t>
                  </m:r>
                </m:sub>
              </m:sSub>
              <m:r>
                <w:rPr>
                  <w:sz w:val="16"/>
                  <w:color w:val="173E34"/>
                </w:rPr>
                <m:rPr>
                  <m:sty m:val="p"/>
                </m:rPr>
                <m:t>,</m:t>
              </m:r>
              <m:r>
                <w:rPr>
                  <w:sz w:val="16"/>
                  <w:color w:val="173E34"/>
                </w:rPr>
                <m:t> </m:t>
              </m:r>
              <m:sSub>
                <m:e>
                  <m:r>
                    <w:rPr>
                      <w:sz w:val="16"/>
                      <w:color w:val="173E34"/>
                    </w:rPr>
                    <m:t>n</m:t>
                  </m:r>
                </m:e>
                <m:sub>
                  <m:r>
                    <w:rPr>
                      <w:sz w:val="16"/>
                      <w:color w:val="173E34"/>
                    </w:rPr>
                    <m:t>i</m:t>
                  </m:r>
                  <m:r>
                    <w:rPr>
                      <w:sz w:val="16"/>
                      <w:color w:val="173E34"/>
                    </w:rPr>
                    <m:rPr>
                      <m:sty m:val="p"/>
                    </m:rPr>
                    <m:t>,</m:t>
                  </m:r>
                  <m:r>
                    <w:rPr>
                      <w:sz w:val="16"/>
                      <w:color w:val="173E34"/>
                    </w:rPr>
                    <m:t>t</m:t>
                  </m:r>
                </m:sub>
              </m:sSub>
              <m:r>
                <w:rPr>
                  <w:sz w:val="16"/>
                  <w:color w:val="173E34"/>
                </w:rPr>
                <m:rPr>
                  <m:sty m:val="p"/>
                </m:rPr>
                <m:t>,</m:t>
              </m:r>
              <m:r>
                <w:rPr>
                  <w:sz w:val="16"/>
                  <w:color w:val="173E34"/>
                </w:rPr>
                <m:t> </m:t>
              </m:r>
              <m:sSub>
                <m:e>
                  <m:r>
                    <w:rPr>
                      <w:sz w:val="16"/>
                      <w:color w:val="173E34"/>
                    </w:rPr>
                    <m:t>a</m:t>
                  </m:r>
                </m:e>
                <m:sub>
                  <m:r>
                    <w:rPr>
                      <w:sz w:val="16"/>
                      <w:color w:val="173E34"/>
                    </w:rPr>
                    <m:rPr>
                      <m:sty m:val="p"/>
                    </m:rPr>
                    <m:t>c</m:t>
                  </m:r>
                  <m:r>
                    <w:rPr>
                      <w:sz w:val="16"/>
                      <w:color w:val="173E34"/>
                    </w:rPr>
                    <m:rPr>
                      <m:sty m:val="p"/>
                    </m:rPr>
                    <m:t>e</m:t>
                  </m:r>
                  <m:r>
                    <w:rPr>
                      <w:sz w:val="16"/>
                      <w:color w:val="173E34"/>
                    </w:rPr>
                    <m:rPr>
                      <m:sty m:val="p"/>
                    </m:rPr>
                    <m:t>l</m:t>
                  </m:r>
                  <m:r>
                    <w:rPr>
                      <w:sz w:val="16"/>
                      <w:color w:val="173E34"/>
                    </w:rPr>
                    <m:rPr>
                      <m:sty m:val="p"/>
                    </m:rPr>
                    <m:t>l</m:t>
                  </m:r>
                </m:sub>
              </m:sSub>
            </m:oMath>
          </w:p>
        </w:tc>
        <w:tc>
          <w:tcPr>
            <w:tcW w:type="dxa" w:w="3607"/>
            <w:vAlign w:val="center"/>
            <w:tcMar>
              <w:top w:w="70" w:type="dxa"/>
              <w:start w:w="85" w:type="dxa"/>
              <w:bottom w:w="70" w:type="dxa"/>
              <w:end w:w="85" w:type="dxa"/>
            </w:tcMar>
            <w:shd w:fill="E6F0EB"/>
          </w:tcPr>
          <w:p>
            <w:pPr>
              <w:spacing w:after="0" w:line="250" w:lineRule="auto"/>
            </w:pPr>
            <w:r>
              <w:rPr>
                <w:rFonts w:ascii="Arial" w:hAnsi="Arial"/>
                <w:b/>
                <w:i w:val="0"/>
                <w:color w:val="173E34"/>
                <w:sz w:val="16"/>
              </w:rPr>
              <w:t>Processing, rights and applicability</w:t>
            </w:r>
          </w:p>
          <w:p>
            <w:pPr>
              <w:spacing w:before="40" w:after="40"/>
            </w:pPr>
            <m:oMath>
              <m:r>
                <w:rPr>
                  <w:sz w:val="16"/>
                  <w:color w:val="173E34"/>
                </w:rPr>
                <m:rPr>
                  <m:nor/>
                  <m:sty m:val="p"/>
                </m:rPr>
                <m:t>mask</m:t>
              </m:r>
              <m:r>
                <w:rPr>
                  <w:sz w:val="16"/>
                  <w:color w:val="173E34"/>
                </w:rPr>
                <m:rPr>
                  <m:sty m:val="p"/>
                </m:rPr>
                <m:t>,</m:t>
              </m:r>
              <m:r>
                <w:rPr>
                  <w:sz w:val="16"/>
                  <w:color w:val="173E34"/>
                </w:rPr>
                <m:t> </m:t>
              </m:r>
              <m:r>
                <w:rPr>
                  <w:sz w:val="16"/>
                  <w:color w:val="173E34"/>
                </w:rPr>
                <m:rPr>
                  <m:nor/>
                  <m:sty m:val="p"/>
                </m:rPr>
                <m:t>scope</m:t>
              </m:r>
            </m:oMath>
          </w:p>
        </w:tc>
      </w:tr>
      <w:tr>
        <w:trPr>
          <w:trHeight w:val="446" w:hRule="atLeast"/>
        </w:trPr>
        <w:tc>
          <w:tcPr>
            <w:tcW w:type="dxa" w:w="282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60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2827"/>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607"/>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282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60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2827"/>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607"/>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Forest definition, ecosystems and temporal gaps</w:t>
      </w:r>
    </w:p>
    <w:p>
      <w:pPr>
        <w:keepNext/>
        <w:spacing w:after="100" w:line="259" w:lineRule="auto"/>
      </w:pPr>
      <w:r>
        <w:rPr>
          <w:rFonts w:ascii="Arial" w:hAnsi="Arial"/>
          <w:b w:val="0"/>
          <w:i w:val="0"/>
          <w:color w:val="62716E"/>
          <w:sz w:val="18"/>
        </w:rPr>
        <w:t>Describe provisional strata, forest definitions, exclusions and the distinction between tree-cover disturbance and land-use deforestation. Identify missing time intervals and reference evidence.</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r>
        <w:br w:type="page"/>
      </w:r>
    </w:p>
    <w:p>
      <w:bookmarkStart w:id="103" w:name="Section_3"/>
      <w:pPr>
        <w:pStyle w:val="Heading1"/>
        <w:keepNext/>
      </w:pPr>
      <w:r>
        <w:t>03  Alternatives, drivers and initial additionality</w:t>
      </w:r>
      <w:bookmarkEnd w:id="103"/>
    </w:p>
    <w:p>
      <w:pPr>
        <w:keepNext/>
        <w:spacing w:after="180" w:line="259" w:lineRule="auto"/>
      </w:pPr>
      <w:r>
        <w:rPr>
          <w:rFonts w:ascii="Arial" w:hAnsi="Arial"/>
          <w:b w:val="0"/>
          <w:i w:val="0"/>
          <w:color w:val="62716E"/>
          <w:sz w:val="15"/>
        </w:rPr>
        <w:t>[1] Basis: S-08; S-09; AO-05; AO-06; AO-07; AO-10; FRM-01/AO</w:t>
      </w:r>
    </w:p>
    <w:p>
      <w:pPr>
        <w:pStyle w:val="Heading2"/>
        <w:keepNext/>
      </w:pPr>
      <w:r>
        <w:t>Plausible alternatives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315"/>
        <w:gridCol w:w="2925"/>
        <w:gridCol w:w="3510"/>
      </w:tblGrid>
      <w:tr>
        <w:trPr>
          <w:trHeight w:val="446" w:hRule="atLeast"/>
          <w:tblHeader/>
        </w:trPr>
        <w:tc>
          <w:tcPr>
            <w:tcW w:type="dxa" w:w="331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Alternative / activity / spatial support</w:t>
            </w:r>
          </w:p>
        </w:tc>
        <w:tc>
          <w:tcPr>
            <w:tcW w:type="dxa" w:w="292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Legal and practical credibility</w:t>
            </w:r>
          </w:p>
        </w:tc>
        <w:tc>
          <w:tcPr>
            <w:tcW w:type="dxa" w:w="351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Evidence, barriers and remaining test</w:t>
            </w:r>
          </w:p>
        </w:tc>
      </w:tr>
      <w:tr>
        <w:trPr>
          <w:trHeight w:val="446" w:hRule="atLeast"/>
        </w:trPr>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51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51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Drivers and intervention mechanism</w:t>
      </w:r>
    </w:p>
    <w:p>
      <w:pPr>
        <w:keepNext/>
        <w:spacing w:after="100" w:line="259" w:lineRule="auto"/>
      </w:pPr>
      <w:r>
        <w:rPr>
          <w:rFonts w:ascii="Arial" w:hAnsi="Arial"/>
          <w:b w:val="0"/>
          <w:i w:val="0"/>
          <w:color w:val="62716E"/>
          <w:sz w:val="18"/>
        </w:rPr>
        <w:t>Connect each proposed intervention to the driver or constraint it is intended to alter. Separate present land use, preparatory activities and anticipated conversion. Do not assume one threat applies uniformly to the territory.</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pPr>
        <w:pStyle w:val="Heading2"/>
        <w:keepNext/>
      </w:pPr>
      <w:r>
        <w:t>Applicable additionality tests and existing activity</w:t>
      </w:r>
    </w:p>
    <w:p>
      <w:pPr>
        <w:keepNext/>
        <w:spacing w:after="100" w:line="259" w:lineRule="auto"/>
      </w:pPr>
      <w:r>
        <w:rPr>
          <w:rFonts w:ascii="Arial" w:hAnsi="Arial"/>
          <w:b w:val="0"/>
          <w:i w:val="0"/>
          <w:color w:val="62716E"/>
          <w:sz w:val="18"/>
        </w:rPr>
        <w:t>Identify the proposed tests, common practice, relevant legal duties, financial questions where applicable, and prior interventions already affecting the counterfactual. State evidence needed for feasibility.</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r>
        <w:br w:type="page"/>
      </w:r>
    </w:p>
    <w:p>
      <w:bookmarkStart w:id="104" w:name="Section_4"/>
      <w:pPr>
        <w:pStyle w:val="Heading1"/>
        <w:keepNext/>
      </w:pPr>
      <w:r>
        <w:t>04  Method selection and feasibility investigation</w:t>
      </w:r>
      <w:bookmarkEnd w:id="104"/>
    </w:p>
    <w:p>
      <w:pPr>
        <w:keepNext/>
        <w:spacing w:after="180" w:line="259" w:lineRule="auto"/>
      </w:pPr>
      <w:r>
        <w:rPr>
          <w:rFonts w:ascii="Arial" w:hAnsi="Arial"/>
          <w:b w:val="0"/>
          <w:i w:val="0"/>
          <w:color w:val="62716E"/>
          <w:sz w:val="15"/>
        </w:rPr>
        <w:t>[1] Basis: S-01; S-02; T-11; T-12; T-13; MIG-15; MIG-16; FRM-08</w:t>
      </w:r>
    </w:p>
    <w:p>
      <w:pPr>
        <w:pStyle w:val="Heading2"/>
        <w:keepNext/>
      </w:pPr>
      <w:r>
        <w:t>Method and evidence-route comparison</w:t>
      </w:r>
    </w:p>
    <w:p>
      <w:pPr>
        <w:keepNext/>
        <w:spacing w:before="40" w:after="60"/>
      </w:pPr>
      <w:r>
        <w:rPr>
          <w:rFonts w:ascii="Lato" w:hAnsi="Lato"/>
          <w:color w:val="315B50"/>
          <w:sz w:val="18"/>
        </w:rPr>
        <w:t>PREFEASIBILITY-T07 / Calculation notation</w:t>
      </w:r>
    </w:p>
    <w:p>
      <w:pPr>
        <w:keepNext/>
        <w:spacing w:before="40" w:after="60"/>
      </w:pPr>
      <m:oMath>
        <m:sSub>
          <m:e>
            <m:r>
              <w:rPr>
                <w:sz w:val="18"/>
              </w:rPr>
              <m:t>x</m:t>
            </m:r>
          </m:e>
          <m:sub>
            <m:r>
              <w:rPr>
                <w:sz w:val="18"/>
              </w:rPr>
              <m:rPr>
                <m:sty m:val="p"/>
              </m:rPr>
              <m:t>ℓ</m:t>
            </m:r>
          </m:sub>
        </m:sSub>
        <m:r>
          <w:rPr>
            <w:sz w:val="18"/>
          </w:rPr>
          <m:t> </m:t>
        </m:r>
        <m:d>
          <m:dPr>
            <m:begChr m:val="["/>
            <m:endChr m:val="]"/>
            <m:sepChr m:val=""/>
            <m:grow/>
          </m:dPr>
          <m:e>
            <m:sSub>
              <m:e>
                <m:r>
                  <w:rPr>
                    <w:sz w:val="18"/>
                  </w:rPr>
                  <m:t>u</m:t>
                </m:r>
              </m:e>
              <m:sub>
                <m:r>
                  <w:rPr>
                    <w:sz w:val="18"/>
                  </w:rPr>
                  <m:rPr>
                    <m:sty m:val="p"/>
                  </m:rPr>
                  <m:t>ℓ</m:t>
                </m:r>
              </m:sub>
            </m:sSub>
          </m:e>
        </m:d>
      </m:oMath>
    </w:p>
    <w:p>
      <w:pPr>
        <w:keepNext/>
        <w:spacing w:before="40" w:after="60"/>
      </w:pPr>
      <w:r>
        <w:rPr>
          <w:rFonts w:ascii="Lato" w:hAnsi="Lato"/>
          <w:color w:val="315B50"/>
          <w:sz w:val="16"/>
        </w:rPr>
        <w:t>x_l is the identified observation, input, or output; u_l is its declared unit. Record the exact equation and source file, worksheet, cell/range, period, and status. This notation does not prescribe an estimator.</w:t>
      </w:r>
    </w:p>
    <w:p>
      <w:pPr>
        <w:keepNext/>
        <w:spacing w:before="40" w:after="60"/>
      </w:pPr>
      <w:r>
        <w:rPr>
          <w:rFonts w:ascii="Lato" w:hAnsi="Lato"/>
          <w:color w:val="315B50"/>
          <w:sz w:val="14"/>
        </w:rPr>
        <w:t>Basis: F-01; T-01 | Workbook: Evidence!A:J; Components!F:L</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022"/>
        <w:gridCol w:w="3315"/>
        <w:gridCol w:w="3412"/>
      </w:tblGrid>
      <w:tr>
        <w:trPr>
          <w:trHeight w:val="446" w:hRule="atLeast"/>
          <w:tblHeader/>
        </w:trPr>
        <w:tc>
          <w:tcPr>
            <w:tcW w:type="dxa" w:w="302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Module / candidate route A, B or C</w:t>
            </w:r>
          </w:p>
          <w:p>
            <w:pPr>
              <w:spacing w:before="40" w:after="40"/>
            </w:pPr>
            <m:oMath>
              <m:sSub>
                <m:e>
                  <m:r>
                    <w:rPr>
                      <w:sz w:val="16"/>
                      <w:color w:val="173E34"/>
                    </w:rPr>
                    <m:t>x</m:t>
                  </m:r>
                </m:e>
                <m:sub>
                  <m:r>
                    <w:rPr>
                      <w:sz w:val="16"/>
                      <w:color w:val="173E34"/>
                    </w:rPr>
                    <m:rPr>
                      <m:sty m:val="p"/>
                    </m:rPr>
                    <m:t>ℓ</m:t>
                  </m:r>
                </m:sub>
              </m:sSub>
            </m:oMath>
          </w:p>
        </w:tc>
        <w:tc>
          <w:tcPr>
            <w:tcW w:type="dxa" w:w="331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Evidence retained or required</w:t>
            </w:r>
          </w:p>
          <w:p>
            <w:pPr>
              <w:spacing w:before="40" w:after="40"/>
            </w:pPr>
            <m:oMath>
              <m:sSub>
                <m:e>
                  <m:r>
                    <w:rPr>
                      <w:sz w:val="16"/>
                      <w:color w:val="173E34"/>
                    </w:rPr>
                    <m:t>u</m:t>
                  </m:r>
                </m:e>
                <m:sub>
                  <m:r>
                    <w:rPr>
                      <w:sz w:val="16"/>
                      <w:color w:val="173E34"/>
                    </w:rPr>
                    <m:rPr>
                      <m:sty m:val="p"/>
                    </m:rPr>
                    <m:t>ℓ</m:t>
                  </m:r>
                </m:sub>
              </m:sSub>
              <m:r>
                <w:rPr>
                  <w:sz w:val="16"/>
                  <w:color w:val="173E34"/>
                </w:rPr>
                <m:rPr>
                  <m:sty m:val="p"/>
                </m:rPr>
                <m:t>,</m:t>
              </m:r>
              <m:r>
                <w:rPr>
                  <w:sz w:val="16"/>
                  <w:color w:val="173E34"/>
                </w:rPr>
                <m:t> </m:t>
              </m:r>
              <m:r>
                <w:rPr>
                  <w:sz w:val="16"/>
                  <w:color w:val="173E34"/>
                </w:rPr>
                <m:t>t</m:t>
              </m:r>
            </m:oMath>
          </w:p>
        </w:tc>
        <w:tc>
          <w:tcPr>
            <w:tcW w:type="dxa" w:w="341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Tests, limitations and resources</w:t>
            </w:r>
          </w:p>
          <w:p>
            <w:pPr>
              <w:spacing w:before="40" w:after="40"/>
            </w:pPr>
            <m:oMath>
              <m:r>
                <w:rPr>
                  <w:sz w:val="16"/>
                  <w:color w:val="173E34"/>
                </w:rPr>
                <m:rPr>
                  <m:nor/>
                  <m:sty m:val="p"/>
                </m:rPr>
                <m:t>source</m:t>
              </m:r>
              <m:d>
                <m:dPr>
                  <m:begChr m:val="("/>
                  <m:endChr m:val=")"/>
                  <m:sepChr m:val=""/>
                  <m:grow/>
                </m:dPr>
                <m:e>
                  <m:sSub>
                    <m:e>
                      <m:r>
                        <w:rPr>
                          <w:sz w:val="16"/>
                          <w:color w:val="173E34"/>
                        </w:rPr>
                        <m:t>x</m:t>
                      </m:r>
                    </m:e>
                    <m:sub>
                      <m:r>
                        <w:rPr>
                          <w:sz w:val="16"/>
                          <w:color w:val="173E34"/>
                        </w:rPr>
                        <m:rPr>
                          <m:sty m:val="p"/>
                        </m:rPr>
                        <m:t>ℓ</m:t>
                      </m:r>
                    </m:sub>
                  </m:sSub>
                </m:e>
              </m:d>
            </m:oMath>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Feasibility field and laboratory plan</w:t>
      </w:r>
    </w:p>
    <w:p>
      <w:pPr>
        <w:keepNext/>
        <w:spacing w:before="40" w:after="60"/>
      </w:pPr>
      <w:r>
        <w:rPr>
          <w:rFonts w:ascii="Lato" w:hAnsi="Lato"/>
          <w:color w:val="315B50"/>
          <w:sz w:val="18"/>
        </w:rPr>
        <w:t>PREFEASIBILITY-T08 / Calculation notation</w:t>
      </w:r>
    </w:p>
    <w:p>
      <w:pPr>
        <w:keepNext/>
        <w:spacing w:before="40" w:after="60"/>
      </w:pPr>
      <m:oMath>
        <m:sSub>
          <m:e>
            <m:r>
              <w:rPr>
                <w:sz w:val="18"/>
              </w:rPr>
              <m:t>W</m:t>
            </m:r>
          </m:e>
          <m:sub>
            <m:r>
              <w:rPr>
                <w:sz w:val="18"/>
              </w:rPr>
              <m:t>i</m:t>
            </m:r>
          </m:sub>
        </m:sSub>
        <m:r>
          <w:rPr>
            <w:sz w:val="18"/>
          </w:rPr>
          <m:rPr>
            <m:sty m:val="p"/>
          </m:rPr>
          <m:t>=</m:t>
        </m:r>
        <m:f>
          <m:fPr>
            <m:type m:val="bar"/>
          </m:fPr>
          <m:num>
            <m:sSub>
              <m:e>
                <m:r>
                  <w:rPr>
                    <w:sz w:val="18"/>
                  </w:rPr>
                  <m:t>A</m:t>
                </m:r>
              </m:e>
              <m:sub>
                <m:r>
                  <w:rPr>
                    <w:sz w:val="18"/>
                  </w:rPr>
                  <m:t>i</m:t>
                </m:r>
              </m:sub>
            </m:sSub>
          </m:num>
          <m:den>
            <m:r>
              <w:rPr>
                <w:sz w:val="18"/>
              </w:rPr>
              <m:t>A</m:t>
            </m:r>
          </m:den>
        </m:f>
        <m:r>
          <w:rPr>
            <w:sz w:val="18"/>
          </w:rPr>
          <m:rPr>
            <m:sty m:val="p"/>
          </m:rPr>
          <m:t>,</m:t>
        </m:r>
        <m:r>
          <w:rPr>
            <w:sz w:val="18"/>
          </w:rPr>
          <m:t> </m:t>
        </m:r>
        <m:sSub>
          <m:e>
            <m:acc>
              <m:accPr>
                <m:chr m:val="̂"/>
              </m:accPr>
              <m:e>
                <m:r>
                  <w:rPr>
                    <w:sz w:val="18"/>
                  </w:rPr>
                  <m:t>p</m:t>
                </m:r>
              </m:e>
            </m:acc>
          </m:e>
          <m:sub>
            <m:r>
              <w:rPr>
                <w:sz w:val="18"/>
              </w:rPr>
              <m:t>i</m:t>
            </m:r>
            <m:r>
              <w:rPr>
                <w:sz w:val="18"/>
              </w:rPr>
              <m:t>j</m:t>
            </m:r>
          </m:sub>
        </m:sSub>
        <m:r>
          <w:rPr>
            <w:sz w:val="18"/>
          </w:rPr>
          <m:rPr>
            <m:sty m:val="p"/>
          </m:rPr>
          <m:t>=</m:t>
        </m:r>
        <m:f>
          <m:fPr>
            <m:type m:val="bar"/>
          </m:fPr>
          <m:num>
            <m:sSub>
              <m:e>
                <m:r>
                  <w:rPr>
                    <w:sz w:val="18"/>
                  </w:rPr>
                  <m:t>n</m:t>
                </m:r>
              </m:e>
              <m:sub>
                <m:r>
                  <w:rPr>
                    <w:sz w:val="18"/>
                  </w:rPr>
                  <m:t>i</m:t>
                </m:r>
                <m:r>
                  <w:rPr>
                    <w:sz w:val="18"/>
                  </w:rPr>
                  <m:t>j</m:t>
                </m:r>
              </m:sub>
            </m:sSub>
          </m:num>
          <m:den>
            <m:sSub>
              <m:e>
                <m:r>
                  <w:rPr>
                    <w:sz w:val="18"/>
                  </w:rPr>
                  <m:t>n</m:t>
                </m:r>
              </m:e>
              <m:sub>
                <m:r>
                  <w:rPr>
                    <w:sz w:val="18"/>
                  </w:rPr>
                  <m:t>i</m:t>
                </m:r>
              </m:sub>
            </m:sSub>
          </m:den>
        </m:f>
        <m:r>
          <w:rPr>
            <w:sz w:val="18"/>
          </w:rPr>
          <m:rPr>
            <m:sty m:val="p"/>
          </m:rPr>
          <m:t>,</m:t>
        </m:r>
        <m:r>
          <w:rPr>
            <w:sz w:val="18"/>
          </w:rPr>
          <m:t> </m:t>
        </m:r>
        <m:sSub>
          <m:e>
            <m:acc>
              <m:accPr>
                <m:chr m:val="̂"/>
              </m:accPr>
              <m:e>
                <m:r>
                  <w:rPr>
                    <w:sz w:val="18"/>
                  </w:rPr>
                  <m:t>A</m:t>
                </m:r>
              </m:e>
            </m:acc>
          </m:e>
          <m:sub>
            <m:r>
              <w:rPr>
                <w:sz w:val="18"/>
              </w:rPr>
              <m:t>j</m:t>
            </m:r>
          </m:sub>
        </m:sSub>
        <m:r>
          <w:rPr>
            <w:sz w:val="18"/>
          </w:rPr>
          <m:rPr>
            <m:sty m:val="p"/>
          </m:rPr>
          <m:t>=</m:t>
        </m:r>
        <m:r>
          <w:rPr>
            <w:sz w:val="18"/>
          </w:rPr>
          <m:t>A</m:t>
        </m:r>
        <m:nary>
          <m:naryPr>
            <m:chr m:val="∑"/>
            <m:limLoc m:val="undOvr"/>
            <m:subHide m:val="off"/>
            <m:supHide m:val="on"/>
          </m:naryPr>
          <m:sub>
            <m:r>
              <w:rPr>
                <w:sz w:val="18"/>
              </w:rPr>
              <m:t>i</m:t>
            </m:r>
          </m:sub>
          <m:sup>
            <m:r>
              <w:rPr>
                <w:sz w:val="18"/>
              </w:rPr>
              <m:t>​</m:t>
            </m:r>
          </m:sup>
          <m:e>
            <m:sSub>
              <m:e>
                <m:r>
                  <w:rPr>
                    <w:sz w:val="18"/>
                  </w:rPr>
                  <m:t>W</m:t>
                </m:r>
              </m:e>
              <m:sub>
                <m:r>
                  <w:rPr>
                    <w:sz w:val="18"/>
                  </w:rPr>
                  <m:t>i</m:t>
                </m:r>
              </m:sub>
            </m:sSub>
          </m:e>
        </m:nary>
        <m:sSub>
          <m:e>
            <m:acc>
              <m:accPr>
                <m:chr m:val="̂"/>
              </m:accPr>
              <m:e>
                <m:r>
                  <w:rPr>
                    <w:sz w:val="18"/>
                  </w:rPr>
                  <m:t>p</m:t>
                </m:r>
              </m:e>
            </m:acc>
          </m:e>
          <m:sub>
            <m:r>
              <w:rPr>
                <w:sz w:val="18"/>
              </w:rPr>
              <m:t>i</m:t>
            </m:r>
            <m:r>
              <w:rPr>
                <w:sz w:val="18"/>
              </w:rPr>
              <m:t>j</m:t>
            </m:r>
          </m:sub>
        </m:sSub>
      </m:oMath>
    </w:p>
    <w:p>
      <w:pPr>
        <w:keepNext/>
        <w:spacing w:before="40" w:after="60"/>
      </w:pPr>
      <w:r>
        <w:rPr>
          <w:rFonts w:ascii="Lato" w:hAnsi="Lato"/>
          <w:color w:val="315B50"/>
          <w:sz w:val="16"/>
        </w:rPr>
        <w:t>Use the sampling design and domain required by M01.4. W_i is the mapped stratum weight, not an estimated weight by default; n_ij and n_i are reference counts. This upstream estimator is not fitted by the account workbook.</w:t>
      </w:r>
    </w:p>
    <w:p>
      <w:pPr>
        <w:keepNext/>
        <w:spacing w:before="40" w:after="60"/>
      </w:pPr>
      <w:r>
        <w:rPr>
          <w:rFonts w:ascii="Lato" w:hAnsi="Lato"/>
          <w:color w:val="315B50"/>
          <w:sz w:val="14"/>
        </w:rPr>
        <w:t>Basis: M01.4; M01.5; T-03 | Workbook: Evidence!G; Spatial!I; qualified upstream calculation</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120"/>
        <w:gridCol w:w="3315"/>
        <w:gridCol w:w="3315"/>
      </w:tblGrid>
      <w:tr>
        <w:trPr>
          <w:trHeight w:val="446" w:hRule="atLeast"/>
          <w:tblHeader/>
        </w:trPr>
        <w:tc>
          <w:tcPr>
            <w:tcW w:type="dxa" w:w="312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Variable / population / stratum</w:t>
            </w:r>
          </w:p>
          <w:p>
            <w:pPr>
              <w:spacing w:before="40" w:after="40"/>
            </w:pPr>
            <m:oMath>
              <m:r>
                <w:rPr>
                  <w:sz w:val="16"/>
                  <w:color w:val="173E34"/>
                </w:rPr>
                <m:t>i</m:t>
              </m:r>
              <m:r>
                <w:rPr>
                  <w:sz w:val="16"/>
                  <w:color w:val="173E34"/>
                </w:rPr>
                <m:rPr>
                  <m:sty m:val="p"/>
                </m:rPr>
                <m:t>,</m:t>
              </m:r>
              <m:r>
                <w:rPr>
                  <w:sz w:val="16"/>
                  <w:color w:val="173E34"/>
                </w:rPr>
                <m:t> </m:t>
              </m:r>
              <m:r>
                <w:rPr>
                  <w:sz w:val="16"/>
                  <w:color w:val="173E34"/>
                </w:rPr>
                <m:t>j</m:t>
              </m:r>
              <m:r>
                <w:rPr>
                  <w:sz w:val="16"/>
                  <w:color w:val="173E34"/>
                </w:rPr>
                <m:rPr>
                  <m:sty m:val="p"/>
                </m:rPr>
                <m:t>,</m:t>
              </m:r>
              <m:r>
                <w:rPr>
                  <w:sz w:val="16"/>
                  <w:color w:val="173E34"/>
                </w:rPr>
                <m:t> </m:t>
              </m:r>
              <m:sSub>
                <m:e>
                  <m:r>
                    <w:rPr>
                      <w:sz w:val="16"/>
                      <w:color w:val="173E34"/>
                    </w:rPr>
                    <m:t>n</m:t>
                  </m:r>
                </m:e>
                <m:sub>
                  <m:r>
                    <w:rPr>
                      <w:sz w:val="16"/>
                      <w:color w:val="173E34"/>
                    </w:rPr>
                    <m:t>i</m:t>
                  </m:r>
                </m:sub>
              </m:sSub>
            </m:oMath>
          </w:p>
        </w:tc>
        <w:tc>
          <w:tcPr>
            <w:tcW w:type="dxa" w:w="331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Sampling or qualified reuse plan</w:t>
            </w:r>
          </w:p>
          <w:p>
            <w:pPr>
              <w:spacing w:before="40" w:after="40"/>
            </w:pPr>
            <m:oMath>
              <m:sSub>
                <m:e>
                  <m:r>
                    <w:rPr>
                      <w:sz w:val="16"/>
                      <w:color w:val="173E34"/>
                    </w:rPr>
                    <m:t>W</m:t>
                  </m:r>
                </m:e>
                <m:sub>
                  <m:r>
                    <w:rPr>
                      <w:sz w:val="16"/>
                      <w:color w:val="173E34"/>
                    </w:rPr>
                    <m:t>i</m:t>
                  </m:r>
                </m:sub>
              </m:sSub>
              <m:r>
                <w:rPr>
                  <w:sz w:val="16"/>
                  <w:color w:val="173E34"/>
                </w:rPr>
                <m:rPr>
                  <m:sty m:val="p"/>
                </m:rPr>
                <m:t>,</m:t>
              </m:r>
              <m:r>
                <w:rPr>
                  <w:sz w:val="16"/>
                  <w:color w:val="173E34"/>
                </w:rPr>
                <m:t> </m:t>
              </m:r>
              <m:sSub>
                <m:e>
                  <m:acc>
                    <m:accPr>
                      <m:chr m:val="̂"/>
                    </m:accPr>
                    <m:e>
                      <m:r>
                        <w:rPr>
                          <w:sz w:val="16"/>
                          <w:color w:val="173E34"/>
                        </w:rPr>
                        <m:t>p</m:t>
                      </m:r>
                    </m:e>
                  </m:acc>
                </m:e>
                <m:sub>
                  <m:r>
                    <w:rPr>
                      <w:sz w:val="16"/>
                      <w:color w:val="173E34"/>
                    </w:rPr>
                    <m:t>i</m:t>
                  </m:r>
                  <m:r>
                    <w:rPr>
                      <w:sz w:val="16"/>
                      <w:color w:val="173E34"/>
                    </w:rPr>
                    <m:t>j</m:t>
                  </m:r>
                </m:sub>
              </m:sSub>
            </m:oMath>
          </w:p>
        </w:tc>
        <w:tc>
          <w:tcPr>
            <w:tcW w:type="dxa" w:w="331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Quality controls / independent test</w:t>
            </w:r>
          </w:p>
          <w:p>
            <w:pPr>
              <w:spacing w:before="40" w:after="40"/>
            </w:pPr>
            <m:oMath>
              <m:sSub>
                <m:e>
                  <m:acc>
                    <m:accPr>
                      <m:chr m:val="̂"/>
                    </m:accPr>
                    <m:e>
                      <m:r>
                        <w:rPr>
                          <w:sz w:val="16"/>
                          <w:color w:val="173E34"/>
                        </w:rPr>
                        <m:t>A</m:t>
                      </m:r>
                    </m:e>
                  </m:acc>
                </m:e>
                <m:sub>
                  <m:r>
                    <w:rPr>
                      <w:sz w:val="16"/>
                      <w:color w:val="173E34"/>
                    </w:rPr>
                    <m:t>j</m:t>
                  </m:r>
                </m:sub>
              </m:sSub>
            </m:oMath>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keepNext w:val="0"/>
        <w:spacing w:after="160" w:line="259" w:lineRule="auto"/>
        <w:shd w:fill="F1F5F2"/>
      </w:pPr>
      <w:r>
        <w:rPr>
          <w:rFonts w:ascii="Arial" w:hAnsi="Arial"/>
          <w:b w:val="0"/>
          <w:i w:val="0"/>
          <w:color w:val="215F52"/>
          <w:sz w:val="18"/>
        </w:rPr>
        <w:t>Route A concerns a new material reference; B concerns a qualified reusable calibration library; C concerns qualified secondary evidence or a supported conservative account. The selected claim and evidence determine the work required; repeating the entire research program is not automatic.</w:t>
      </w:r>
    </w:p>
    <w:p>
      <w:pPr>
        <w:pStyle w:val="Heading2"/>
        <w:keepNext/>
      </w:pPr>
      <w:r>
        <w:t>Choice recommended for detailed investigation</w:t>
      </w:r>
    </w:p>
    <w:p>
      <w:pPr>
        <w:keepNext/>
        <w:spacing w:after="100" w:line="259" w:lineRule="auto"/>
      </w:pPr>
      <w:r>
        <w:rPr>
          <w:rFonts w:ascii="Arial" w:hAnsi="Arial"/>
          <w:b w:val="0"/>
          <w:i w:val="0"/>
          <w:color w:val="62716E"/>
          <w:sz w:val="18"/>
        </w:rPr>
        <w:t>Explain the preferred option and alternative if the evidence fails. Record work that must precede a defensible quantity estimate.</w:t>
      </w:r>
    </w:p>
    <w:tbl>
      <w:tblPr>
        <w:tblW w:type="auto" w:w="0"/>
        <w:tblLook w:firstColumn="1" w:firstRow="1" w:lastColumn="0" w:lastRow="0" w:noHBand="0" w:noVBand="1" w:val="04A0"/>
      </w:tblPr>
      <w:tblGrid>
        <w:gridCol w:w="9746"/>
      </w:tblGrid>
      <w:tr>
        <w:trPr>
          <w:trHeight w:val="475"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r>
        <w:br w:type="page"/>
      </w:r>
    </w:p>
    <w:p>
      <w:bookmarkStart w:id="105" w:name="Section_5"/>
      <w:pPr>
        <w:pStyle w:val="Heading1"/>
        <w:keepNext/>
      </w:pPr>
      <w:r>
        <w:t>05  Indicative environmental account and sensitivity</w:t>
      </w:r>
      <w:bookmarkEnd w:id="105"/>
    </w:p>
    <w:p>
      <w:pPr>
        <w:keepNext/>
        <w:spacing w:after="180" w:line="259" w:lineRule="auto"/>
      </w:pPr>
      <w:r>
        <w:rPr>
          <w:rFonts w:ascii="Arial" w:hAnsi="Arial"/>
          <w:b w:val="0"/>
          <w:i w:val="0"/>
          <w:color w:val="62716E"/>
          <w:sz w:val="15"/>
        </w:rPr>
        <w:t>[1] Basis: F-01; F-02; S-10; S-11; T-09; T-14; U-01; U-02</w:t>
      </w:r>
    </w:p>
    <w:p>
      <w:pPr>
        <w:pStyle w:val="Heading2"/>
        <w:keepNext/>
      </w:pPr>
      <w:r>
        <w:t>Scenario account</w:t>
      </w:r>
    </w:p>
    <w:p>
      <w:pPr>
        <w:keepNext/>
        <w:spacing w:before="40" w:after="60"/>
      </w:pPr>
      <w:r>
        <w:rPr>
          <w:rFonts w:ascii="Lato" w:hAnsi="Lato"/>
          <w:color w:val="315B50"/>
          <w:sz w:val="18"/>
        </w:rPr>
        <w:t>PREFEASIBILITY-T09 / Calculation notation</w:t>
      </w:r>
    </w:p>
    <w:p>
      <w:pPr>
        <w:keepNext/>
        <w:spacing w:before="40" w:after="60"/>
      </w:pPr>
      <m:oMath>
        <m:sSubSup>
          <m:e>
            <m:acc>
              <m:accPr>
                <m:chr m:val="̂"/>
              </m:accPr>
              <m:e>
                <m:r>
                  <w:rPr>
                    <w:sz w:val="18"/>
                  </w:rPr>
                  <m:t>Q</m:t>
                </m:r>
              </m:e>
            </m:acc>
          </m:e>
          <m:sub>
            <m:r>
              <w:rPr>
                <w:sz w:val="18"/>
              </w:rPr>
              <m:t>t</m:t>
            </m:r>
          </m:sub>
          <m:sup>
            <m:r>
              <w:rPr>
                <w:sz w:val="18"/>
              </w:rPr>
              <m:t>z</m:t>
            </m:r>
          </m:sup>
        </m:sSubSup>
        <m:r>
          <w:rPr>
            <w:sz w:val="18"/>
          </w:rPr>
          <m:rPr>
            <m:sty m:val="p"/>
          </m:rPr>
          <m:t>=</m:t>
        </m:r>
        <m:sSubSup>
          <m:e>
            <m:r>
              <w:rPr>
                <w:sz w:val="18"/>
              </w:rPr>
              <m:t>N</m:t>
            </m:r>
          </m:e>
          <m:sub>
            <m:r>
              <w:rPr>
                <w:sz w:val="18"/>
              </w:rPr>
              <m:rPr>
                <m:sty m:val="p"/>
              </m:rPr>
              <m:t>B</m:t>
            </m:r>
            <m:r>
              <w:rPr>
                <w:sz w:val="18"/>
              </w:rPr>
              <m:rPr>
                <m:sty m:val="p"/>
              </m:rPr>
              <m:t>L</m:t>
            </m:r>
            <m:r>
              <w:rPr>
                <w:sz w:val="18"/>
              </w:rPr>
              <m:rPr>
                <m:sty m:val="p"/>
              </m:rPr>
              <m:t>,</m:t>
            </m:r>
            <m:r>
              <w:rPr>
                <w:sz w:val="18"/>
              </w:rPr>
              <m:t>t</m:t>
            </m:r>
          </m:sub>
          <m:sup>
            <m:r>
              <w:rPr>
                <w:sz w:val="18"/>
              </w:rPr>
              <m:t>z</m:t>
            </m:r>
          </m:sup>
        </m:sSubSup>
        <m:r>
          <w:rPr>
            <w:sz w:val="18"/>
          </w:rPr>
          <m:rPr>
            <m:sty m:val="p"/>
          </m:rPr>
          <m:t>−</m:t>
        </m:r>
        <m:sSubSup>
          <m:e>
            <m:r>
              <w:rPr>
                <w:sz w:val="18"/>
              </w:rPr>
              <m:t>N</m:t>
            </m:r>
          </m:e>
          <m:sub>
            <m:r>
              <w:rPr>
                <w:sz w:val="18"/>
              </w:rPr>
              <m:rPr>
                <m:sty m:val="p"/>
              </m:rPr>
              <m:t>P</m:t>
            </m:r>
            <m:r>
              <w:rPr>
                <w:sz w:val="18"/>
              </w:rPr>
              <m:rPr>
                <m:sty m:val="p"/>
              </m:rPr>
              <m:t>J</m:t>
            </m:r>
            <m:r>
              <w:rPr>
                <w:sz w:val="18"/>
              </w:rPr>
              <m:rPr>
                <m:sty m:val="p"/>
              </m:rPr>
              <m:t>,</m:t>
            </m:r>
            <m:r>
              <w:rPr>
                <w:sz w:val="18"/>
              </w:rPr>
              <m:t>t</m:t>
            </m:r>
          </m:sub>
          <m:sup>
            <m:r>
              <w:rPr>
                <w:sz w:val="18"/>
              </w:rPr>
              <m:t>z</m:t>
            </m:r>
          </m:sup>
        </m:sSubSup>
        <m:r>
          <w:rPr>
            <w:sz w:val="18"/>
          </w:rPr>
          <m:rPr>
            <m:sty m:val="p"/>
          </m:rPr>
          <m:t>−</m:t>
        </m:r>
        <m:sSubSup>
          <m:e>
            <m:r>
              <w:rPr>
                <w:sz w:val="18"/>
              </w:rPr>
              <m:t>L</m:t>
            </m:r>
          </m:e>
          <m:sub>
            <m:r>
              <w:rPr>
                <w:sz w:val="18"/>
              </w:rPr>
              <m:t>t</m:t>
            </m:r>
          </m:sub>
          <m:sup>
            <m:r>
              <w:rPr>
                <w:sz w:val="18"/>
              </w:rPr>
              <m:t>z</m:t>
            </m:r>
          </m:sup>
        </m:sSubSup>
        <m:r>
          <w:rPr>
            <w:sz w:val="18"/>
          </w:rPr>
          <m:rPr>
            <m:sty m:val="p"/>
          </m:rPr>
          <m:t>,</m:t>
        </m:r>
        <m:r>
          <w:rPr>
            <w:sz w:val="18"/>
          </w:rPr>
          <m:t>  </m:t>
        </m:r>
        <m:r>
          <w:rPr>
            <w:sz w:val="18"/>
          </w:rPr>
          <m:t>z</m:t>
        </m:r>
        <m:r>
          <w:rPr>
            <w:sz w:val="18"/>
          </w:rPr>
          <m:rPr>
            <m:sty m:val="p"/>
          </m:rPr>
          <m:t>∈</m:t>
        </m:r>
        <m:r>
          <w:rPr>
            <w:sz w:val="18"/>
          </w:rPr>
          <m:rPr>
            <m:sty m:val="p"/>
          </m:rPr>
          <m:t>{</m:t>
        </m:r>
        <m:r>
          <w:rPr>
            <w:sz w:val="18"/>
          </w:rPr>
          <m:rPr>
            <m:sty m:val="p"/>
          </m:rPr>
          <m:t>E</m:t>
        </m:r>
        <m:r>
          <w:rPr>
            <w:sz w:val="18"/>
          </w:rPr>
          <m:rPr>
            <m:sty m:val="p"/>
          </m:rPr>
          <m:t>A</m:t>
        </m:r>
        <m:r>
          <w:rPr>
            <w:sz w:val="18"/>
          </w:rPr>
          <m:rPr>
            <m:sty m:val="p"/>
          </m:rPr>
          <m:t>,</m:t>
        </m:r>
        <m:r>
          <w:rPr>
            <w:sz w:val="18"/>
          </w:rPr>
          <m:rPr>
            <m:sty m:val="p"/>
          </m:rPr>
          <m:t>E</m:t>
        </m:r>
        <m:r>
          <w:rPr>
            <w:sz w:val="18"/>
          </w:rPr>
          <m:rPr>
            <m:sty m:val="p"/>
          </m:rPr>
          <m:t>P</m:t>
        </m:r>
        <m:r>
          <w:rPr>
            <w:sz w:val="18"/>
          </w:rPr>
          <m:rPr>
            <m:sty m:val="p"/>
          </m:rPr>
          <m:t>}</m:t>
        </m:r>
      </m:oMath>
    </w:p>
    <w:p>
      <w:pPr>
        <w:keepNext/>
        <w:spacing w:before="40" w:after="60"/>
      </w:pPr>
      <w:r>
        <w:rPr>
          <w:rFonts w:ascii="Lato" w:hAnsi="Lato"/>
          <w:color w:val="315B50"/>
          <w:sz w:val="16"/>
        </w:rPr>
        <w:t>EA denotes the dated forecast; EP denotes the reporting-period account, not automatic verification. All terms are signed period masses on matched support. The quantity is before uncertainty, previous liabilities, reserve, and denomination.</w:t>
      </w:r>
    </w:p>
    <w:p>
      <w:pPr>
        <w:keepNext/>
        <w:spacing w:before="40" w:after="60"/>
      </w:pPr>
      <w:r>
        <w:rPr>
          <w:rFonts w:ascii="Lato" w:hAnsi="Lato"/>
          <w:color w:val="315B50"/>
          <w:sz w:val="14"/>
        </w:rPr>
        <w:t>Basis: M04.5; F-R01 | Workbook: ExAnte!F:I; ExPost!F:I</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022"/>
        <w:gridCol w:w="2925"/>
        <w:gridCol w:w="3802"/>
      </w:tblGrid>
      <w:tr>
        <w:trPr>
          <w:trHeight w:val="446" w:hRule="atLeast"/>
          <w:tblHeader/>
        </w:trPr>
        <w:tc>
          <w:tcPr>
            <w:tcW w:type="dxa" w:w="302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Component / equation ID</w:t>
            </w:r>
          </w:p>
          <w:p>
            <w:pPr>
              <w:spacing w:before="40" w:after="40"/>
            </w:pPr>
            <m:oMath>
              <m:r>
                <w:rPr>
                  <w:sz w:val="16"/>
                  <w:color w:val="173E34"/>
                </w:rPr>
                <m:t>t</m:t>
              </m:r>
              <m:r>
                <w:rPr>
                  <w:sz w:val="16"/>
                  <w:color w:val="173E34"/>
                </w:rPr>
                <m:rPr>
                  <m:sty m:val="p"/>
                </m:rPr>
                <m:t>,</m:t>
              </m:r>
              <m:r>
                <w:rPr>
                  <w:sz w:val="16"/>
                  <w:color w:val="173E34"/>
                </w:rPr>
                <m:t> </m:t>
              </m:r>
              <m:r>
                <w:rPr>
                  <w:sz w:val="16"/>
                  <w:color w:val="173E34"/>
                </w:rPr>
                <m:t>z</m:t>
              </m:r>
            </m:oMath>
          </w:p>
        </w:tc>
        <w:tc>
          <w:tcPr>
            <w:tcW w:type="dxa" w:w="292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Value or range, unit and period</w:t>
            </w:r>
          </w:p>
          <w:p>
            <w:pPr>
              <w:spacing w:before="40" w:after="40"/>
            </w:pPr>
            <m:oMath>
              <m:sSubSup>
                <m:e>
                  <m:r>
                    <w:rPr>
                      <w:sz w:val="16"/>
                      <w:color w:val="173E34"/>
                    </w:rPr>
                    <m:t>N</m:t>
                  </m:r>
                </m:e>
                <m:sub>
                  <m:r>
                    <w:rPr>
                      <w:sz w:val="16"/>
                      <w:color w:val="173E34"/>
                    </w:rPr>
                    <m:rPr>
                      <m:sty m:val="p"/>
                    </m:rPr>
                    <m:t>B</m:t>
                  </m:r>
                  <m:r>
                    <w:rPr>
                      <w:sz w:val="16"/>
                      <w:color w:val="173E34"/>
                    </w:rPr>
                    <m:rPr>
                      <m:sty m:val="p"/>
                    </m:rPr>
                    <m:t>L</m:t>
                  </m:r>
                  <m:r>
                    <w:rPr>
                      <w:sz w:val="16"/>
                      <w:color w:val="173E34"/>
                    </w:rPr>
                    <m:rPr>
                      <m:sty m:val="p"/>
                    </m:rPr>
                    <m:t>,</m:t>
                  </m:r>
                  <m:r>
                    <w:rPr>
                      <w:sz w:val="16"/>
                      <w:color w:val="173E34"/>
                    </w:rPr>
                    <m:t>t</m:t>
                  </m:r>
                </m:sub>
                <m:sup>
                  <m:r>
                    <w:rPr>
                      <w:sz w:val="16"/>
                      <w:color w:val="173E34"/>
                    </w:rPr>
                    <m:t>z</m:t>
                  </m:r>
                </m:sup>
              </m:sSubSup>
              <m:r>
                <w:rPr>
                  <w:sz w:val="16"/>
                  <w:color w:val="173E34"/>
                </w:rPr>
                <m:rPr>
                  <m:sty m:val="p"/>
                </m:rPr>
                <m:t>,</m:t>
              </m:r>
              <m:r>
                <w:rPr>
                  <w:sz w:val="16"/>
                  <w:color w:val="173E34"/>
                </w:rPr>
                <m:t> </m:t>
              </m:r>
              <m:sSubSup>
                <m:e>
                  <m:r>
                    <w:rPr>
                      <w:sz w:val="16"/>
                      <w:color w:val="173E34"/>
                    </w:rPr>
                    <m:t>N</m:t>
                  </m:r>
                </m:e>
                <m:sub>
                  <m:r>
                    <w:rPr>
                      <w:sz w:val="16"/>
                      <w:color w:val="173E34"/>
                    </w:rPr>
                    <m:rPr>
                      <m:sty m:val="p"/>
                    </m:rPr>
                    <m:t>P</m:t>
                  </m:r>
                  <m:r>
                    <w:rPr>
                      <w:sz w:val="16"/>
                      <w:color w:val="173E34"/>
                    </w:rPr>
                    <m:rPr>
                      <m:sty m:val="p"/>
                    </m:rPr>
                    <m:t>J</m:t>
                  </m:r>
                  <m:r>
                    <w:rPr>
                      <w:sz w:val="16"/>
                      <w:color w:val="173E34"/>
                    </w:rPr>
                    <m:rPr>
                      <m:sty m:val="p"/>
                    </m:rPr>
                    <m:t>,</m:t>
                  </m:r>
                  <m:r>
                    <w:rPr>
                      <w:sz w:val="16"/>
                      <w:color w:val="173E34"/>
                    </w:rPr>
                    <m:t>t</m:t>
                  </m:r>
                </m:sub>
                <m:sup>
                  <m:r>
                    <w:rPr>
                      <w:sz w:val="16"/>
                      <w:color w:val="173E34"/>
                    </w:rPr>
                    <m:t>z</m:t>
                  </m:r>
                </m:sup>
              </m:sSubSup>
              <m:r>
                <w:rPr>
                  <w:sz w:val="16"/>
                  <w:color w:val="173E34"/>
                </w:rPr>
                <m:rPr>
                  <m:sty m:val="p"/>
                </m:rPr>
                <m:t>,</m:t>
              </m:r>
              <m:r>
                <w:rPr>
                  <w:sz w:val="16"/>
                  <w:color w:val="173E34"/>
                </w:rPr>
                <m:t> </m:t>
              </m:r>
              <m:sSubSup>
                <m:e>
                  <m:r>
                    <w:rPr>
                      <w:sz w:val="16"/>
                      <w:color w:val="173E34"/>
                    </w:rPr>
                    <m:t>L</m:t>
                  </m:r>
                </m:e>
                <m:sub>
                  <m:r>
                    <w:rPr>
                      <w:sz w:val="16"/>
                      <w:color w:val="173E34"/>
                    </w:rPr>
                    <m:t>t</m:t>
                  </m:r>
                </m:sub>
                <m:sup>
                  <m:r>
                    <w:rPr>
                      <w:sz w:val="16"/>
                      <w:color w:val="173E34"/>
                    </w:rPr>
                    <m:t>z</m:t>
                  </m:r>
                </m:sup>
              </m:sSubSup>
            </m:oMath>
          </w:p>
        </w:tc>
        <w:tc>
          <w:tcPr>
            <w:tcW w:type="dxa" w:w="380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Evidence, assumptions and status</w:t>
            </w:r>
          </w:p>
          <w:p>
            <w:pPr>
              <w:spacing w:before="40" w:after="40"/>
            </w:pPr>
            <m:oMath>
              <m:sSubSup>
                <m:e>
                  <m:acc>
                    <m:accPr>
                      <m:chr m:val="̂"/>
                    </m:accPr>
                    <m:e>
                      <m:r>
                        <w:rPr>
                          <w:sz w:val="16"/>
                          <w:color w:val="173E34"/>
                        </w:rPr>
                        <m:t>Q</m:t>
                      </m:r>
                    </m:e>
                  </m:acc>
                </m:e>
                <m:sub>
                  <m:r>
                    <w:rPr>
                      <w:sz w:val="16"/>
                      <w:color w:val="173E34"/>
                    </w:rPr>
                    <m:t>t</m:t>
                  </m:r>
                </m:sub>
                <m:sup>
                  <m:r>
                    <w:rPr>
                      <w:sz w:val="16"/>
                      <w:color w:val="173E34"/>
                    </w:rPr>
                    <m:t>z</m:t>
                  </m:r>
                </m:sup>
              </m:sSubSup>
            </m:oMath>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80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80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80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80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80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Sensitivity and uncertainty drivers</w:t>
      </w:r>
    </w:p>
    <w:p>
      <w:pPr>
        <w:keepNext/>
        <w:spacing w:before="40" w:after="60"/>
      </w:pPr>
      <w:r>
        <w:rPr>
          <w:rFonts w:ascii="Lato" w:hAnsi="Lato"/>
          <w:color w:val="315B50"/>
          <w:sz w:val="18"/>
        </w:rPr>
        <w:t>PREFEASIBILITY-T10 / Calculation notation</w:t>
      </w:r>
    </w:p>
    <w:p>
      <w:pPr>
        <w:keepNext/>
        <w:spacing w:before="40" w:after="60"/>
      </w:pPr>
      <m:oMath>
        <m:sSubSup>
          <m:e>
            <m:r>
              <w:rPr>
                <w:sz w:val="18"/>
              </w:rPr>
              <m:t>u</m:t>
            </m:r>
          </m:e>
          <m:sub>
            <m:r>
              <w:rPr>
                <w:sz w:val="18"/>
              </w:rPr>
              <m:t>Q</m:t>
            </m:r>
          </m:sub>
          <m:sup>
            <m:r>
              <w:rPr>
                <w:sz w:val="18"/>
              </w:rPr>
              <m:t>2</m:t>
            </m:r>
          </m:sup>
        </m:sSubSup>
        <m:r>
          <w:rPr>
            <w:sz w:val="18"/>
          </w:rPr>
          <m:rPr>
            <m:sty m:val="p"/>
          </m:rPr>
          <m:t>=</m:t>
        </m:r>
        <m:sSubSup>
          <m:e>
            <m:r>
              <w:rPr>
                <w:sz w:val="18"/>
              </w:rPr>
              <m:t>u</m:t>
            </m:r>
          </m:e>
          <m:sub>
            <m:r>
              <w:rPr>
                <w:sz w:val="18"/>
              </w:rPr>
              <m:t>B</m:t>
            </m:r>
          </m:sub>
          <m:sup>
            <m:r>
              <w:rPr>
                <w:sz w:val="18"/>
              </w:rPr>
              <m:t>2</m:t>
            </m:r>
          </m:sup>
        </m:sSubSup>
        <m:r>
          <w:rPr>
            <w:sz w:val="18"/>
          </w:rPr>
          <m:rPr>
            <m:sty m:val="p"/>
          </m:rPr>
          <m:t>+</m:t>
        </m:r>
        <m:sSubSup>
          <m:e>
            <m:r>
              <w:rPr>
                <w:sz w:val="18"/>
              </w:rPr>
              <m:t>u</m:t>
            </m:r>
          </m:e>
          <m:sub>
            <m:r>
              <w:rPr>
                <w:sz w:val="18"/>
              </w:rPr>
              <m:t>P</m:t>
            </m:r>
          </m:sub>
          <m:sup>
            <m:r>
              <w:rPr>
                <w:sz w:val="18"/>
              </w:rPr>
              <m:t>2</m:t>
            </m:r>
          </m:sup>
        </m:sSubSup>
        <m:r>
          <w:rPr>
            <w:sz w:val="18"/>
          </w:rPr>
          <m:rPr>
            <m:sty m:val="p"/>
          </m:rPr>
          <m:t>+</m:t>
        </m:r>
        <m:sSubSup>
          <m:e>
            <m:r>
              <w:rPr>
                <w:sz w:val="18"/>
              </w:rPr>
              <m:t>u</m:t>
            </m:r>
          </m:e>
          <m:sub>
            <m:r>
              <w:rPr>
                <w:sz w:val="18"/>
              </w:rPr>
              <m:t>L</m:t>
            </m:r>
          </m:sub>
          <m:sup>
            <m:r>
              <w:rPr>
                <w:sz w:val="18"/>
              </w:rPr>
              <m:t>2</m:t>
            </m:r>
          </m:sup>
        </m:sSubSup>
        <m:r>
          <w:rPr>
            <w:sz w:val="18"/>
          </w:rPr>
          <m:rPr>
            <m:sty m:val="p"/>
          </m:rPr>
          <m:t>−</m:t>
        </m:r>
        <m:r>
          <w:rPr>
            <w:sz w:val="18"/>
          </w:rPr>
          <m:t>2</m:t>
        </m:r>
        <m:r>
          <w:rPr>
            <w:sz w:val="18"/>
          </w:rPr>
          <m:rPr>
            <m:sty m:val="p"/>
          </m:rPr>
          <m:t>Cov</m:t>
        </m:r>
        <m:d>
          <m:dPr>
            <m:begChr m:val="("/>
            <m:endChr m:val=")"/>
            <m:sepChr m:val=""/>
            <m:grow/>
          </m:dPr>
          <m:e>
            <m:r>
              <w:rPr>
                <w:sz w:val="18"/>
              </w:rPr>
              <m:t>B</m:t>
            </m:r>
            <m:r>
              <w:rPr>
                <w:sz w:val="18"/>
              </w:rPr>
              <m:rPr>
                <m:sty m:val="p"/>
              </m:rPr>
              <m:t>,</m:t>
            </m:r>
            <m:r>
              <w:rPr>
                <w:sz w:val="18"/>
              </w:rPr>
              <m:t>P</m:t>
            </m:r>
          </m:e>
        </m:d>
        <m:r>
          <w:rPr>
            <w:sz w:val="18"/>
          </w:rPr>
          <m:rPr>
            <m:sty m:val="p"/>
          </m:rPr>
          <m:t>−</m:t>
        </m:r>
        <m:r>
          <w:rPr>
            <w:sz w:val="18"/>
          </w:rPr>
          <m:t>2</m:t>
        </m:r>
        <m:r>
          <w:rPr>
            <w:sz w:val="18"/>
          </w:rPr>
          <m:rPr>
            <m:sty m:val="p"/>
          </m:rPr>
          <m:t>Cov</m:t>
        </m:r>
        <m:d>
          <m:dPr>
            <m:begChr m:val="("/>
            <m:endChr m:val=")"/>
            <m:sepChr m:val=""/>
            <m:grow/>
          </m:dPr>
          <m:e>
            <m:r>
              <w:rPr>
                <w:sz w:val="18"/>
              </w:rPr>
              <m:t>B</m:t>
            </m:r>
            <m:r>
              <w:rPr>
                <w:sz w:val="18"/>
              </w:rPr>
              <m:rPr>
                <m:sty m:val="p"/>
              </m:rPr>
              <m:t>,</m:t>
            </m:r>
            <m:r>
              <w:rPr>
                <w:sz w:val="18"/>
              </w:rPr>
              <m:t>L</m:t>
            </m:r>
          </m:e>
        </m:d>
        <m:r>
          <w:rPr>
            <w:sz w:val="18"/>
          </w:rPr>
          <m:rPr>
            <m:sty m:val="p"/>
          </m:rPr>
          <m:t>+</m:t>
        </m:r>
        <m:r>
          <w:rPr>
            <w:sz w:val="18"/>
          </w:rPr>
          <m:t>2</m:t>
        </m:r>
        <m:r>
          <w:rPr>
            <w:sz w:val="18"/>
          </w:rPr>
          <m:rPr>
            <m:sty m:val="p"/>
          </m:rPr>
          <m:t>Cov</m:t>
        </m:r>
        <m:d>
          <m:dPr>
            <m:begChr m:val="("/>
            <m:endChr m:val=")"/>
            <m:sepChr m:val=""/>
            <m:grow/>
          </m:dPr>
          <m:e>
            <m:r>
              <w:rPr>
                <w:sz w:val="18"/>
              </w:rPr>
              <m:t>P</m:t>
            </m:r>
            <m:r>
              <w:rPr>
                <w:sz w:val="18"/>
              </w:rPr>
              <m:rPr>
                <m:sty m:val="p"/>
              </m:rPr>
              <m:t>,</m:t>
            </m:r>
            <m:r>
              <w:rPr>
                <w:sz w:val="18"/>
              </w:rPr>
              <m:t>L</m:t>
            </m:r>
          </m:e>
        </m:d>
      </m:oMath>
    </w:p>
    <w:p>
      <w:pPr>
        <w:keepNext/>
        <w:spacing w:before="40" w:after="60"/>
      </w:pPr>
      <w:r>
        <w:rPr>
          <w:rFonts w:ascii="Lato" w:hAnsi="Lato"/>
          <w:color w:val="315B50"/>
          <w:sz w:val="16"/>
        </w:rPr>
        <w:t>B, P and L in this variance identity denote baseline, project and leakage estimators, not reserve B_t. Standard uncertainties are in t CO2e; variances and covariances are squared units. Retain shared-source dependence and a valid covariance matrix.</w:t>
      </w:r>
    </w:p>
    <w:p>
      <w:pPr>
        <w:keepNext/>
        <w:spacing w:before="40" w:after="60"/>
      </w:pPr>
      <w:r>
        <w:rPr>
          <w:rFonts w:ascii="Lato" w:hAnsi="Lato"/>
          <w:color w:val="315B50"/>
          <w:sz w:val="14"/>
        </w:rPr>
        <w:t>Basis: F-U01; M05.1; M05.2 | Workbook: Qualified uncertainty calculation; ExAnte!J:L; ExPost!J:L</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120"/>
        <w:gridCol w:w="3315"/>
        <w:gridCol w:w="3315"/>
      </w:tblGrid>
      <w:tr>
        <w:trPr>
          <w:trHeight w:val="446" w:hRule="atLeast"/>
          <w:tblHeader/>
        </w:trPr>
        <w:tc>
          <w:tcPr>
            <w:tcW w:type="dxa" w:w="312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Input or structural assumption</w:t>
            </w:r>
          </w:p>
          <w:p>
            <w:pPr>
              <w:spacing w:before="40" w:after="40"/>
            </w:pPr>
            <m:oMath>
              <m:r>
                <w:rPr>
                  <w:sz w:val="16"/>
                  <w:color w:val="173E34"/>
                </w:rPr>
                <m:t>B</m:t>
              </m:r>
              <m:r>
                <w:rPr>
                  <w:sz w:val="16"/>
                  <w:color w:val="173E34"/>
                </w:rPr>
                <m:rPr>
                  <m:sty m:val="p"/>
                </m:rPr>
                <m:t>,</m:t>
              </m:r>
              <m:r>
                <w:rPr>
                  <w:sz w:val="16"/>
                  <w:color w:val="173E34"/>
                </w:rPr>
                <m:t> </m:t>
              </m:r>
              <m:r>
                <w:rPr>
                  <w:sz w:val="16"/>
                  <w:color w:val="173E34"/>
                </w:rPr>
                <m:t>P</m:t>
              </m:r>
              <m:r>
                <w:rPr>
                  <w:sz w:val="16"/>
                  <w:color w:val="173E34"/>
                </w:rPr>
                <m:rPr>
                  <m:sty m:val="p"/>
                </m:rPr>
                <m:t>,</m:t>
              </m:r>
              <m:r>
                <w:rPr>
                  <w:sz w:val="16"/>
                  <w:color w:val="173E34"/>
                </w:rPr>
                <m:t> </m:t>
              </m:r>
              <m:r>
                <w:rPr>
                  <w:sz w:val="16"/>
                  <w:color w:val="173E34"/>
                </w:rPr>
                <m:t>L</m:t>
              </m:r>
            </m:oMath>
          </w:p>
        </w:tc>
        <w:tc>
          <w:tcPr>
            <w:tcW w:type="dxa" w:w="331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Supported alternative / effect</w:t>
            </w:r>
          </w:p>
          <w:p>
            <w:pPr>
              <w:spacing w:before="40" w:after="40"/>
            </w:pPr>
            <m:oMath>
              <m:sSub>
                <m:e>
                  <m:r>
                    <w:rPr>
                      <w:sz w:val="16"/>
                      <w:color w:val="173E34"/>
                    </w:rPr>
                    <m:t>u</m:t>
                  </m:r>
                </m:e>
                <m:sub>
                  <m:r>
                    <w:rPr>
                      <w:sz w:val="16"/>
                      <w:color w:val="173E34"/>
                    </w:rPr>
                    <m:t>B</m:t>
                  </m:r>
                </m:sub>
              </m:sSub>
              <m:r>
                <w:rPr>
                  <w:sz w:val="16"/>
                  <w:color w:val="173E34"/>
                </w:rPr>
                <m:rPr>
                  <m:sty m:val="p"/>
                </m:rPr>
                <m:t>,</m:t>
              </m:r>
              <m:r>
                <w:rPr>
                  <w:sz w:val="16"/>
                  <w:color w:val="173E34"/>
                </w:rPr>
                <m:t> </m:t>
              </m:r>
              <m:sSub>
                <m:e>
                  <m:r>
                    <w:rPr>
                      <w:sz w:val="16"/>
                      <w:color w:val="173E34"/>
                    </w:rPr>
                    <m:t>u</m:t>
                  </m:r>
                </m:e>
                <m:sub>
                  <m:r>
                    <w:rPr>
                      <w:sz w:val="16"/>
                      <w:color w:val="173E34"/>
                    </w:rPr>
                    <m:t>P</m:t>
                  </m:r>
                </m:sub>
              </m:sSub>
              <m:r>
                <w:rPr>
                  <w:sz w:val="16"/>
                  <w:color w:val="173E34"/>
                </w:rPr>
                <m:rPr>
                  <m:sty m:val="p"/>
                </m:rPr>
                <m:t>,</m:t>
              </m:r>
              <m:r>
                <w:rPr>
                  <w:sz w:val="16"/>
                  <w:color w:val="173E34"/>
                </w:rPr>
                <m:t> </m:t>
              </m:r>
              <m:sSub>
                <m:e>
                  <m:r>
                    <w:rPr>
                      <w:sz w:val="16"/>
                      <w:color w:val="173E34"/>
                    </w:rPr>
                    <m:t>u</m:t>
                  </m:r>
                </m:e>
                <m:sub>
                  <m:r>
                    <w:rPr>
                      <w:sz w:val="16"/>
                      <w:color w:val="173E34"/>
                    </w:rPr>
                    <m:t>L</m:t>
                  </m:r>
                </m:sub>
              </m:sSub>
              <m:r>
                <w:rPr>
                  <w:sz w:val="16"/>
                  <w:color w:val="173E34"/>
                </w:rPr>
                <m:rPr>
                  <m:sty m:val="p"/>
                </m:rPr>
                <m:t>,</m:t>
              </m:r>
              <m:r>
                <w:rPr>
                  <w:sz w:val="16"/>
                  <w:color w:val="173E34"/>
                </w:rPr>
                <m:t> </m:t>
              </m:r>
              <m:r>
                <w:rPr>
                  <w:sz w:val="16"/>
                  <w:color w:val="173E34"/>
                </w:rPr>
                <m:rPr>
                  <m:sty m:val="p"/>
                </m:rPr>
                <m:t>Cov</m:t>
              </m:r>
            </m:oMath>
          </w:p>
        </w:tc>
        <w:tc>
          <w:tcPr>
            <w:tcW w:type="dxa" w:w="331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Required evidence / consequence</w:t>
            </w:r>
          </w:p>
          <w:p>
            <w:pPr>
              <w:spacing w:before="40" w:after="40"/>
            </w:pPr>
            <m:oMath>
              <m:sSubSup>
                <m:e>
                  <m:r>
                    <w:rPr>
                      <w:sz w:val="16"/>
                      <w:color w:val="173E34"/>
                    </w:rPr>
                    <m:t>u</m:t>
                  </m:r>
                </m:e>
                <m:sub>
                  <m:r>
                    <w:rPr>
                      <w:sz w:val="16"/>
                      <w:color w:val="173E34"/>
                    </w:rPr>
                    <m:t>Q</m:t>
                  </m:r>
                </m:sub>
                <m:sup>
                  <m:r>
                    <w:rPr>
                      <w:sz w:val="16"/>
                      <w:color w:val="173E34"/>
                    </w:rPr>
                    <m:t>2</m:t>
                  </m:r>
                </m:sup>
              </m:sSubSup>
              <m:r>
                <w:rPr>
                  <w:sz w:val="16"/>
                  <w:color w:val="173E34"/>
                </w:rPr>
                <m:rPr>
                  <m:sty m:val="p"/>
                </m:rPr>
                <m:t>,</m:t>
              </m:r>
              <m:r>
                <w:rPr>
                  <w:sz w:val="16"/>
                  <w:color w:val="173E34"/>
                </w:rPr>
                <m:t> </m:t>
              </m:r>
              <m:sSubSup>
                <m:e>
                  <m:r>
                    <w:rPr>
                      <w:sz w:val="16"/>
                      <w:color w:val="173E34"/>
                    </w:rPr>
                    <m:t>Q</m:t>
                  </m:r>
                </m:e>
                <m:sub>
                  <m:r>
                    <w:rPr>
                      <w:sz w:val="16"/>
                      <w:color w:val="173E34"/>
                    </w:rPr>
                    <m:t>t</m:t>
                  </m:r>
                </m:sub>
                <m:sup>
                  <m:r>
                    <w:rPr>
                      <w:sz w:val="16"/>
                      <w:color w:val="173E34"/>
                    </w:rPr>
                    <m:rPr>
                      <m:sty m:val="p"/>
                    </m:rPr>
                    <m:t>l</m:t>
                  </m:r>
                  <m:r>
                    <w:rPr>
                      <w:sz w:val="16"/>
                      <w:color w:val="173E34"/>
                    </w:rPr>
                    <m:rPr>
                      <m:sty m:val="p"/>
                    </m:rPr>
                    <m:t>o</m:t>
                  </m:r>
                  <m:r>
                    <w:rPr>
                      <w:sz w:val="16"/>
                      <w:color w:val="173E34"/>
                    </w:rPr>
                    <m:rPr>
                      <m:sty m:val="p"/>
                    </m:rPr>
                    <m:t>w</m:t>
                  </m:r>
                </m:sup>
              </m:sSubSup>
            </m:oMath>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keepNext w:val="0"/>
        <w:spacing w:after="160" w:line="259" w:lineRule="auto"/>
        <w:shd w:fill="F1F5F2"/>
      </w:pPr>
      <w:r>
        <w:rPr>
          <w:rFonts w:ascii="Arial" w:hAnsi="Arial"/>
          <w:b w:val="0"/>
          <w:i w:val="0"/>
          <w:color w:val="215F52"/>
          <w:sz w:val="18"/>
        </w:rPr>
        <w:t>Separate stocks, annual flows and cumulative changes; carbon, carbon dioxide and CO2-equivalent quantities; modeled and observed outcomes. Distinguish uncertainty, prior liabilities and prospective reserve. No default rate, period or denomination is supplied by this template.</w:t>
      </w:r>
    </w:p>
    <w:p>
      <w:pPr>
        <w:pStyle w:val="Heading2"/>
        <w:keepNext/>
      </w:pPr>
      <w:r>
        <w:t>Unquantified scope</w:t>
      </w:r>
    </w:p>
    <w:p>
      <w:pPr>
        <w:keepNext/>
        <w:spacing w:after="100" w:line="259" w:lineRule="auto"/>
      </w:pPr>
      <w:r>
        <w:rPr>
          <w:rFonts w:ascii="Arial" w:hAnsi="Arial"/>
          <w:b w:val="0"/>
          <w:i w:val="0"/>
          <w:color w:val="62716E"/>
          <w:sz w:val="18"/>
        </w:rPr>
        <w:t>Identify quantities that remain unsupported and the implications for the next decision.</w:t>
      </w:r>
    </w:p>
    <w:tbl>
      <w:tblPr>
        <w:tblW w:type="auto" w:w="0"/>
        <w:tblLook w:firstColumn="1" w:firstRow="1" w:lastColumn="0" w:lastRow="0" w:noHBand="0" w:noVBand="1" w:val="04A0"/>
      </w:tblPr>
      <w:tblGrid>
        <w:gridCol w:w="9746"/>
      </w:tblGrid>
      <w:tr>
        <w:trPr>
          <w:trHeight w:val="475"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r>
        <w:br w:type="page"/>
      </w:r>
    </w:p>
    <w:p>
      <w:bookmarkStart w:id="106" w:name="Section_6"/>
      <w:pPr>
        <w:pStyle w:val="Heading1"/>
        <w:keepNext/>
      </w:pPr>
      <w:r>
        <w:t>06  Rights, safeguards, overlap and migration screening</w:t>
      </w:r>
      <w:bookmarkEnd w:id="106"/>
    </w:p>
    <w:p>
      <w:pPr>
        <w:keepNext/>
        <w:spacing w:after="180" w:line="259" w:lineRule="auto"/>
      </w:pPr>
      <w:r>
        <w:rPr>
          <w:rFonts w:ascii="Arial" w:hAnsi="Arial"/>
          <w:b w:val="0"/>
          <w:i w:val="0"/>
          <w:color w:val="62716E"/>
          <w:sz w:val="15"/>
        </w:rPr>
        <w:t>[1] Basis: S-04; S-05; S-12; S-13; AO-01; AO-04; AO-11; MIG-02; MIG-03</w:t>
      </w:r>
    </w:p>
    <w:p>
      <w:pPr>
        <w:pStyle w:val="Heading2"/>
        <w:keepNext/>
      </w:pPr>
      <w:r>
        <w:t>Rights and safeguard work plan</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120"/>
        <w:gridCol w:w="3412"/>
        <w:gridCol w:w="3217"/>
      </w:tblGrid>
      <w:tr>
        <w:trPr>
          <w:trHeight w:val="446" w:hRule="atLeast"/>
          <w:tblHeader/>
        </w:trPr>
        <w:tc>
          <w:tcPr>
            <w:tcW w:type="dxa" w:w="312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Right / affected group / issue</w:t>
            </w:r>
          </w:p>
        </w:tc>
        <w:tc>
          <w:tcPr>
            <w:tcW w:type="dxa" w:w="341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Evidence and consultation status</w:t>
            </w:r>
          </w:p>
        </w:tc>
        <w:tc>
          <w:tcPr>
            <w:tcW w:type="dxa" w:w="3217"/>
            <w:vAlign w:val="center"/>
            <w:tcMar>
              <w:top w:w="70" w:type="dxa"/>
              <w:start w:w="85" w:type="dxa"/>
              <w:bottom w:w="70" w:type="dxa"/>
              <w:end w:w="85" w:type="dxa"/>
            </w:tcMar>
            <w:shd w:fill="215F52"/>
          </w:tcPr>
          <w:p>
            <w:pPr>
              <w:spacing w:after="0" w:line="250" w:lineRule="auto"/>
            </w:pPr>
            <w:r>
              <w:rPr>
                <w:rFonts w:ascii="Arial" w:hAnsi="Arial"/>
                <w:b/>
                <w:i w:val="0"/>
                <w:color w:val="FFFFFF"/>
                <w:sz w:val="16"/>
              </w:rPr>
              <w:t>Action, owner and timing</w:t>
            </w:r>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Overlap and historical-account screening</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022"/>
        <w:gridCol w:w="3315"/>
        <w:gridCol w:w="3412"/>
      </w:tblGrid>
      <w:tr>
        <w:trPr>
          <w:trHeight w:val="446" w:hRule="atLeast"/>
          <w:tblHeader/>
        </w:trPr>
        <w:tc>
          <w:tcPr>
            <w:tcW w:type="dxa" w:w="302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Initiative / area / period</w:t>
            </w:r>
          </w:p>
        </w:tc>
        <w:tc>
          <w:tcPr>
            <w:tcW w:type="dxa" w:w="331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Earlier interventions and claims</w:t>
            </w:r>
          </w:p>
        </w:tc>
        <w:tc>
          <w:tcPr>
            <w:tcW w:type="dxa" w:w="341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Disposition / required reconciliation</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Migration applicability and next evidence</w:t>
      </w:r>
    </w:p>
    <w:p>
      <w:pPr>
        <w:keepNext/>
        <w:spacing w:after="100" w:line="259" w:lineRule="auto"/>
      </w:pPr>
      <w:r>
        <w:rPr>
          <w:rFonts w:ascii="Arial" w:hAnsi="Arial"/>
          <w:b w:val="0"/>
          <w:i w:val="0"/>
          <w:color w:val="62716E"/>
          <w:sz w:val="18"/>
        </w:rPr>
        <w:t>Identify originating program and method versions, rights, monitoring and verification history, other external carbon units, reversals and reserve obligations where applicable. Preserve original records.</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r>
        <w:br w:type="page"/>
      </w:r>
    </w:p>
    <w:p>
      <w:bookmarkStart w:id="107" w:name="Section_7"/>
      <w:pPr>
        <w:pStyle w:val="Heading1"/>
        <w:keepNext/>
      </w:pPr>
      <w:r>
        <w:t>07  Risk, resources and implementation constraints</w:t>
      </w:r>
      <w:bookmarkEnd w:id="107"/>
    </w:p>
    <w:p>
      <w:pPr>
        <w:keepNext/>
        <w:spacing w:after="180" w:line="259" w:lineRule="auto"/>
      </w:pPr>
      <w:r>
        <w:rPr>
          <w:rFonts w:ascii="Arial" w:hAnsi="Arial"/>
          <w:b w:val="0"/>
          <w:i w:val="0"/>
          <w:color w:val="62716E"/>
          <w:sz w:val="15"/>
        </w:rPr>
        <w:t>[1] Basis: S-11; S-13; S-25; T-17; T-18; T-20; FRM-09</w:t>
      </w:r>
    </w:p>
    <w:p>
      <w:pPr>
        <w:pStyle w:val="Heading2"/>
        <w:keepNext/>
      </w:pPr>
      <w:r>
        <w:t>Preliminary risk register</w:t>
      </w:r>
    </w:p>
    <w:p>
      <w:pPr>
        <w:keepNext/>
        <w:spacing w:before="40" w:after="60"/>
      </w:pPr>
      <w:r>
        <w:rPr>
          <w:rFonts w:ascii="Lato" w:hAnsi="Lato"/>
          <w:color w:val="315B50"/>
          <w:sz w:val="18"/>
        </w:rPr>
        <w:t>PREFEASIBILITY-T13 / Calculation notation</w:t>
      </w:r>
    </w:p>
    <w:p>
      <w:pPr>
        <w:keepNext/>
        <w:spacing w:before="40" w:after="60"/>
      </w:pPr>
      <m:oMath>
        <m:sSup>
          <m:e>
            <m:r>
              <w:rPr>
                <w:sz w:val="18"/>
              </w:rPr>
              <m:t>B</m:t>
            </m:r>
          </m:e>
          <m:sup>
            <m:r>
              <w:rPr>
                <w:sz w:val="18"/>
              </w:rPr>
              <m:rPr>
                <m:sty m:val="p"/>
              </m:rPr>
              <m:t>r</m:t>
            </m:r>
            <m:r>
              <w:rPr>
                <w:sz w:val="18"/>
              </w:rPr>
              <m:rPr>
                <m:sty m:val="p"/>
              </m:rPr>
              <m:t>e</m:t>
            </m:r>
            <m:r>
              <w:rPr>
                <w:sz w:val="18"/>
              </w:rPr>
              <m:rPr>
                <m:sty m:val="p"/>
              </m:rPr>
              <m:t>q</m:t>
            </m:r>
          </m:sup>
        </m:sSup>
        <m:r>
          <w:rPr>
            <w:sz w:val="18"/>
          </w:rPr>
          <m:rPr>
            <m:sty m:val="p"/>
          </m:rPr>
          <m:t>=</m:t>
        </m:r>
        <m:r>
          <w:rPr>
            <w:sz w:val="18"/>
          </w:rPr>
          <m:rPr>
            <m:sty m:val="p"/>
          </m:rPr>
          <m:t>inf</m:t>
        </m:r>
        <m:r>
          <w:rPr>
            <w:sz w:val="18"/>
          </w:rPr>
          <m:rPr>
            <m:sty m:val="p"/>
          </m:rPr>
          <m:t>{</m:t>
        </m:r>
        <m:r>
          <w:rPr>
            <w:sz w:val="18"/>
          </w:rPr>
          <m:rPr>
            <m:sty m:val="p"/>
          </m:rPr>
          <m:t>ℓ</m:t>
        </m:r>
        <m:r>
          <w:rPr>
            <w:sz w:val="18"/>
          </w:rPr>
          <m:rPr>
            <m:sty m:val="p"/>
          </m:rPr>
          <m:t>:</m:t>
        </m:r>
        <m:r>
          <w:rPr>
            <w:sz w:val="18"/>
          </w:rPr>
          <m:rPr>
            <m:sty m:val="p"/>
          </m:rPr>
          <m:t>Pr</m:t>
        </m:r>
        <m:d>
          <m:dPr>
            <m:begChr m:val="("/>
            <m:endChr m:val=")"/>
            <m:sepChr m:val=""/>
            <m:grow/>
          </m:dPr>
          <m:e>
            <m:sSub>
              <m:e>
                <m:r>
                  <w:rPr>
                    <w:sz w:val="18"/>
                  </w:rPr>
                  <m:t>L</m:t>
                </m:r>
              </m:e>
              <m:sub>
                <m:r>
                  <w:rPr>
                    <w:sz w:val="18"/>
                  </w:rPr>
                  <m:t>H</m:t>
                </m:r>
              </m:sub>
            </m:sSub>
            <m:r>
              <w:rPr>
                <w:sz w:val="18"/>
              </w:rPr>
              <m:rPr>
                <m:sty m:val="p"/>
              </m:rPr>
              <m:t>≤</m:t>
            </m:r>
            <m:r>
              <w:rPr>
                <w:sz w:val="18"/>
              </w:rPr>
              <m:rPr>
                <m:sty m:val="p"/>
              </m:rPr>
              <m:t>ℓ</m:t>
            </m:r>
            <m:r>
              <w:rPr>
                <w:sz w:val="18"/>
              </w:rPr>
              <m:rPr>
                <m:sty m:val="p"/>
              </m:rPr>
              <m:t>∣</m:t>
            </m:r>
            <m:sSub>
              <m:e>
                <m:r>
                  <w:rPr>
                    <w:sz w:val="18"/>
                  </w:rPr>
                  <m:rPr>
                    <m:sty m:val="p"/>
                    <m:scr m:val="script"/>
                  </m:rPr>
                  <m:t>D</m:t>
                </m:r>
              </m:e>
              <m:sub>
                <m:r>
                  <w:rPr>
                    <w:sz w:val="18"/>
                  </w:rPr>
                  <m:t>v</m:t>
                </m:r>
              </m:sub>
            </m:sSub>
          </m:e>
        </m:d>
        <m:r>
          <w:rPr>
            <w:sz w:val="18"/>
          </w:rPr>
          <m:rPr>
            <m:sty m:val="p"/>
          </m:rPr>
          <m:t>≥</m:t>
        </m:r>
        <m:r>
          <w:rPr>
            <w:sz w:val="18"/>
          </w:rPr>
          <m:t>γ</m:t>
        </m:r>
        <m:r>
          <w:rPr>
            <w:sz w:val="18"/>
          </w:rPr>
          <m:rPr>
            <m:sty m:val="p"/>
          </m:rPr>
          <m:t>}</m:t>
        </m:r>
      </m:oMath>
    </w:p>
    <w:p>
      <w:pPr>
        <w:keepNext/>
        <w:spacing w:before="40" w:after="60"/>
      </w:pPr>
      <m:oMath>
        <m:sSup>
          <m:e>
            <m:r>
              <w:rPr>
                <w:sz w:val="18"/>
              </w:rPr>
              <m:t>B</m:t>
            </m:r>
          </m:e>
          <m:sup>
            <m:r>
              <w:rPr>
                <w:sz w:val="18"/>
              </w:rPr>
              <m:rPr>
                <m:sty m:val="p"/>
              </m:rPr>
              <m:t>a</m:t>
            </m:r>
            <m:r>
              <w:rPr>
                <w:sz w:val="18"/>
              </w:rPr>
              <m:rPr>
                <m:sty m:val="p"/>
              </m:rPr>
              <m:t>d</m:t>
            </m:r>
            <m:r>
              <w:rPr>
                <w:sz w:val="18"/>
              </w:rPr>
              <m:rPr>
                <m:sty m:val="p"/>
              </m:rPr>
              <m:t>d</m:t>
            </m:r>
          </m:sup>
        </m:sSup>
        <m:r>
          <w:rPr>
            <w:sz w:val="18"/>
          </w:rPr>
          <m:rPr>
            <m:sty m:val="p"/>
          </m:rPr>
          <m:t>=</m:t>
        </m:r>
        <m:r>
          <w:rPr>
            <w:sz w:val="18"/>
          </w:rPr>
          <m:rPr>
            <m:sty m:val="p"/>
          </m:rPr>
          <m:t>max</m:t>
        </m:r>
        <m:d>
          <m:dPr>
            <m:begChr m:val="("/>
            <m:endChr m:val=")"/>
            <m:sepChr m:val=""/>
            <m:grow/>
          </m:dPr>
          <m:e>
            <m:r>
              <w:rPr>
                <w:sz w:val="18"/>
              </w:rPr>
              <m:t>0</m:t>
            </m:r>
            <m:r>
              <w:rPr>
                <w:sz w:val="18"/>
              </w:rPr>
              <m:rPr>
                <m:sty m:val="p"/>
              </m:rPr>
              <m:t>,</m:t>
            </m:r>
            <m:sSup>
              <m:e>
                <m:r>
                  <w:rPr>
                    <w:sz w:val="18"/>
                  </w:rPr>
                  <m:t>B</m:t>
                </m:r>
              </m:e>
              <m:sup>
                <m:r>
                  <w:rPr>
                    <w:sz w:val="18"/>
                  </w:rPr>
                  <m:rPr>
                    <m:sty m:val="p"/>
                  </m:rPr>
                  <m:t>r</m:t>
                </m:r>
                <m:r>
                  <w:rPr>
                    <w:sz w:val="18"/>
                  </w:rPr>
                  <m:rPr>
                    <m:sty m:val="p"/>
                  </m:rPr>
                  <m:t>e</m:t>
                </m:r>
                <m:r>
                  <w:rPr>
                    <w:sz w:val="18"/>
                  </w:rPr>
                  <m:rPr>
                    <m:sty m:val="p"/>
                  </m:rPr>
                  <m:t>q</m:t>
                </m:r>
              </m:sup>
            </m:sSup>
            <m:r>
              <w:rPr>
                <w:sz w:val="18"/>
              </w:rPr>
              <m:rPr>
                <m:sty m:val="p"/>
              </m:rPr>
              <m:t>−</m:t>
            </m:r>
            <m:sSup>
              <m:e>
                <m:r>
                  <w:rPr>
                    <w:sz w:val="18"/>
                  </w:rPr>
                  <m:t>B</m:t>
                </m:r>
              </m:e>
              <m:sup>
                <m:r>
                  <w:rPr>
                    <w:sz w:val="18"/>
                  </w:rPr>
                  <m:rPr>
                    <m:sty m:val="p"/>
                  </m:rPr>
                  <m:t>a</m:t>
                </m:r>
                <m:r>
                  <w:rPr>
                    <w:sz w:val="18"/>
                  </w:rPr>
                  <m:rPr>
                    <m:sty m:val="p"/>
                  </m:rPr>
                  <m:t>v</m:t>
                </m:r>
                <m:r>
                  <w:rPr>
                    <w:sz w:val="18"/>
                  </w:rPr>
                  <m:rPr>
                    <m:sty m:val="p"/>
                  </m:rPr>
                  <m:t>a</m:t>
                </m:r>
                <m:r>
                  <w:rPr>
                    <w:sz w:val="18"/>
                  </w:rPr>
                  <m:rPr>
                    <m:sty m:val="p"/>
                  </m:rPr>
                  <m:t>i</m:t>
                </m:r>
                <m:r>
                  <w:rPr>
                    <w:sz w:val="18"/>
                  </w:rPr>
                  <m:rPr>
                    <m:sty m:val="p"/>
                  </m:rPr>
                  <m:t>l</m:t>
                </m:r>
              </m:sup>
            </m:sSup>
          </m:e>
        </m:d>
      </m:oMath>
    </w:p>
    <w:p>
      <w:pPr>
        <w:keepNext/>
        <w:spacing w:before="40" w:after="60"/>
      </w:pPr>
      <w:r>
        <w:rPr>
          <w:rFonts w:ascii="Lato" w:hAnsi="Lato"/>
          <w:color w:val="315B50"/>
          <w:sz w:val="16"/>
        </w:rPr>
        <w:t>This is conditional F-A04, not a default probability model. Record the adopted horizon, protection level and loss distribution, or the separately justified stress route. Distinguish total required protection, available compatible reserve and new contribution. No rate is prefilled.</w:t>
      </w:r>
    </w:p>
    <w:p>
      <w:pPr>
        <w:keepNext/>
        <w:spacing w:before="40" w:after="60"/>
      </w:pPr>
      <w:r>
        <w:rPr>
          <w:rFonts w:ascii="Lato" w:hAnsi="Lato"/>
          <w:color w:val="315B50"/>
          <w:sz w:val="14"/>
        </w:rPr>
        <w:t>Basis: F-A04; F-A05; T-17–T-20; AP-09 | Workbook: Qualified risk schedule; Settlement!J; FRM-09</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022"/>
        <w:gridCol w:w="3315"/>
        <w:gridCol w:w="3412"/>
      </w:tblGrid>
      <w:tr>
        <w:trPr>
          <w:trHeight w:val="446" w:hRule="atLeast"/>
          <w:tblHeader/>
        </w:trPr>
        <w:tc>
          <w:tcPr>
            <w:tcW w:type="dxa" w:w="302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Risk / exposed scope</w:t>
            </w:r>
          </w:p>
          <w:p>
            <w:pPr>
              <w:spacing w:before="40" w:after="40"/>
            </w:pPr>
            <m:oMath>
              <m:sSub>
                <m:e>
                  <m:r>
                    <w:rPr>
                      <w:sz w:val="16"/>
                      <w:color w:val="173E34"/>
                    </w:rPr>
                    <m:t>L</m:t>
                  </m:r>
                </m:e>
                <m:sub>
                  <m:r>
                    <w:rPr>
                      <w:sz w:val="16"/>
                      <w:color w:val="173E34"/>
                    </w:rPr>
                    <m:t>H</m:t>
                  </m:r>
                </m:sub>
              </m:sSub>
              <m:r>
                <w:rPr>
                  <w:sz w:val="16"/>
                  <w:color w:val="173E34"/>
                </w:rPr>
                <m:rPr>
                  <m:sty m:val="p"/>
                </m:rPr>
                <m:t>,</m:t>
              </m:r>
              <m:r>
                <w:rPr>
                  <w:sz w:val="16"/>
                  <w:color w:val="173E34"/>
                </w:rPr>
                <m:t> </m:t>
              </m:r>
              <m:r>
                <w:rPr>
                  <w:sz w:val="16"/>
                  <w:color w:val="173E34"/>
                </w:rPr>
                <m:t>H</m:t>
              </m:r>
            </m:oMath>
          </w:p>
        </w:tc>
        <w:tc>
          <w:tcPr>
            <w:tcW w:type="dxa" w:w="331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Evidence and plausible consequence</w:t>
            </w:r>
          </w:p>
          <w:p>
            <w:pPr>
              <w:spacing w:before="40" w:after="40"/>
            </w:pPr>
            <m:oMath>
              <m:r>
                <w:rPr>
                  <w:sz w:val="16"/>
                  <w:color w:val="173E34"/>
                </w:rPr>
                <m:t>γ</m:t>
              </m:r>
              <m:r>
                <w:rPr>
                  <w:sz w:val="16"/>
                  <w:color w:val="173E34"/>
                </w:rPr>
                <m:rPr>
                  <m:sty m:val="p"/>
                </m:rPr>
                <m:t>,</m:t>
              </m:r>
              <m:r>
                <w:rPr>
                  <w:sz w:val="16"/>
                  <w:color w:val="173E34"/>
                </w:rPr>
                <m:t> </m:t>
              </m:r>
              <m:sSup>
                <m:e>
                  <m:r>
                    <w:rPr>
                      <w:sz w:val="16"/>
                      <w:color w:val="173E34"/>
                    </w:rPr>
                    <m:t>B</m:t>
                  </m:r>
                </m:e>
                <m:sup>
                  <m:r>
                    <w:rPr>
                      <w:sz w:val="16"/>
                      <w:color w:val="173E34"/>
                    </w:rPr>
                    <m:rPr>
                      <m:sty m:val="p"/>
                    </m:rPr>
                    <m:t>r</m:t>
                  </m:r>
                  <m:r>
                    <w:rPr>
                      <w:sz w:val="16"/>
                      <w:color w:val="173E34"/>
                    </w:rPr>
                    <m:rPr>
                      <m:sty m:val="p"/>
                    </m:rPr>
                    <m:t>e</m:t>
                  </m:r>
                  <m:r>
                    <w:rPr>
                      <w:sz w:val="16"/>
                      <w:color w:val="173E34"/>
                    </w:rPr>
                    <m:rPr>
                      <m:sty m:val="p"/>
                    </m:rPr>
                    <m:t>q</m:t>
                  </m:r>
                </m:sup>
              </m:sSup>
              <m:r>
                <w:rPr>
                  <w:sz w:val="16"/>
                  <w:color w:val="173E34"/>
                </w:rPr>
                <m:rPr>
                  <m:sty m:val="p"/>
                </m:rPr>
                <m:t>,</m:t>
              </m:r>
              <m:r>
                <w:rPr>
                  <w:sz w:val="16"/>
                  <w:color w:val="173E34"/>
                </w:rPr>
                <m:t> </m:t>
              </m:r>
              <m:sSup>
                <m:e>
                  <m:r>
                    <w:rPr>
                      <w:sz w:val="16"/>
                      <w:color w:val="173E34"/>
                    </w:rPr>
                    <m:t>B</m:t>
                  </m:r>
                </m:e>
                <m:sup>
                  <m:r>
                    <w:rPr>
                      <w:sz w:val="16"/>
                      <w:color w:val="173E34"/>
                    </w:rPr>
                    <m:rPr>
                      <m:sty m:val="p"/>
                    </m:rPr>
                    <m:t>a</m:t>
                  </m:r>
                  <m:r>
                    <w:rPr>
                      <w:sz w:val="16"/>
                      <w:color w:val="173E34"/>
                    </w:rPr>
                    <m:rPr>
                      <m:sty m:val="p"/>
                    </m:rPr>
                    <m:t>v</m:t>
                  </m:r>
                  <m:r>
                    <w:rPr>
                      <w:sz w:val="16"/>
                      <w:color w:val="173E34"/>
                    </w:rPr>
                    <m:rPr>
                      <m:sty m:val="p"/>
                    </m:rPr>
                    <m:t>a</m:t>
                  </m:r>
                  <m:r>
                    <w:rPr>
                      <w:sz w:val="16"/>
                      <w:color w:val="173E34"/>
                    </w:rPr>
                    <m:rPr>
                      <m:sty m:val="p"/>
                    </m:rPr>
                    <m:t>i</m:t>
                  </m:r>
                  <m:r>
                    <w:rPr>
                      <w:sz w:val="16"/>
                      <w:color w:val="173E34"/>
                    </w:rPr>
                    <m:rPr>
                      <m:sty m:val="p"/>
                    </m:rPr>
                    <m:t>l</m:t>
                  </m:r>
                </m:sup>
              </m:sSup>
            </m:oMath>
          </w:p>
        </w:tc>
        <w:tc>
          <w:tcPr>
            <w:tcW w:type="dxa" w:w="341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Proposed control / responsible entity</w:t>
            </w:r>
          </w:p>
          <w:p>
            <w:pPr>
              <w:spacing w:before="40" w:after="40"/>
            </w:pPr>
            <m:oMath>
              <m:sSup>
                <m:e>
                  <m:r>
                    <w:rPr>
                      <w:sz w:val="16"/>
                      <w:color w:val="173E34"/>
                    </w:rPr>
                    <m:t>B</m:t>
                  </m:r>
                </m:e>
                <m:sup>
                  <m:r>
                    <w:rPr>
                      <w:sz w:val="16"/>
                      <w:color w:val="173E34"/>
                    </w:rPr>
                    <m:rPr>
                      <m:sty m:val="p"/>
                    </m:rPr>
                    <m:t>a</m:t>
                  </m:r>
                  <m:r>
                    <w:rPr>
                      <w:sz w:val="16"/>
                      <w:color w:val="173E34"/>
                    </w:rPr>
                    <m:rPr>
                      <m:sty m:val="p"/>
                    </m:rPr>
                    <m:t>d</m:t>
                  </m:r>
                  <m:r>
                    <w:rPr>
                      <w:sz w:val="16"/>
                      <w:color w:val="173E34"/>
                    </w:rPr>
                    <m:rPr>
                      <m:sty m:val="p"/>
                    </m:rPr>
                    <m:t>d</m:t>
                  </m:r>
                </m:sup>
              </m:sSup>
            </m:oMath>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Resource and cost assumptions</w:t>
      </w:r>
    </w:p>
    <w:p>
      <w:pPr>
        <w:keepNext/>
        <w:spacing w:before="40" w:after="60"/>
      </w:pPr>
      <w:r>
        <w:rPr>
          <w:rFonts w:ascii="Lato" w:hAnsi="Lato"/>
          <w:color w:val="315B50"/>
          <w:sz w:val="18"/>
        </w:rPr>
        <w:t>PREFEASIBILITY-T14 / Calculation notation</w:t>
      </w:r>
    </w:p>
    <w:p>
      <w:pPr>
        <w:keepNext/>
        <w:spacing w:before="40" w:after="60"/>
      </w:pPr>
      <m:oMath>
        <m:sSub>
          <m:e>
            <m:r>
              <w:rPr>
                <w:sz w:val="18"/>
              </w:rPr>
              <m:t>c</m:t>
            </m:r>
          </m:e>
          <m:sub>
            <m:r>
              <w:rPr>
                <w:sz w:val="18"/>
              </w:rPr>
              <m:t>j</m:t>
            </m:r>
            <m:r>
              <w:rPr>
                <w:sz w:val="18"/>
              </w:rPr>
              <m:rPr>
                <m:sty m:val="p"/>
              </m:rPr>
              <m:t>,</m:t>
            </m:r>
            <m:r>
              <w:rPr>
                <w:sz w:val="18"/>
              </w:rPr>
              <m:t>t</m:t>
            </m:r>
          </m:sub>
        </m:sSub>
        <m:r>
          <w:rPr>
            <w:sz w:val="18"/>
          </w:rPr>
          <m:t> </m:t>
        </m:r>
        <m:d>
          <m:dPr>
            <m:begChr m:val="["/>
            <m:endChr m:val="]"/>
            <m:sepChr m:val=""/>
            <m:grow/>
          </m:dPr>
          <m:e>
            <m:sSub>
              <m:e>
                <m:r>
                  <w:rPr>
                    <w:sz w:val="18"/>
                  </w:rPr>
                  <m:t>u</m:t>
                </m:r>
              </m:e>
              <m:sub>
                <m:r>
                  <w:rPr>
                    <w:sz w:val="18"/>
                  </w:rPr>
                  <m:t>c</m:t>
                </m:r>
              </m:sub>
            </m:sSub>
          </m:e>
        </m:d>
      </m:oMath>
    </w:p>
    <w:p>
      <w:pPr>
        <w:keepNext/>
        <w:spacing w:before="40" w:after="60"/>
      </w:pPr>
      <w:r>
        <w:rPr>
          <w:rFonts w:ascii="Lato" w:hAnsi="Lato"/>
          <w:color w:val="315B50"/>
          <w:sz w:val="16"/>
        </w:rPr>
        <w:t>c is the recorded cost or resource amount in the explicitly identified currency and price date. Enter the actual budgeting equation and its data source if calculated. This label supplies no price, discount rate, financial formula, or emission factor.</w:t>
      </w:r>
    </w:p>
    <w:p>
      <w:pPr>
        <w:keepNext/>
        <w:spacing w:before="40" w:after="60"/>
      </w:pPr>
      <w:r>
        <w:rPr>
          <w:rFonts w:ascii="Lato" w:hAnsi="Lato"/>
          <w:color w:val="315B50"/>
          <w:sz w:val="14"/>
        </w:rPr>
        <w:t>Basis: CYC-03; CYC-04; CYC-05; data label | Workbook: Project budget attachment; Evidence!G</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925"/>
        <w:gridCol w:w="3802"/>
        <w:gridCol w:w="3022"/>
      </w:tblGrid>
      <w:tr>
        <w:trPr>
          <w:trHeight w:val="446" w:hRule="atLeast"/>
          <w:tblHeader/>
        </w:trPr>
        <w:tc>
          <w:tcPr>
            <w:tcW w:type="dxa" w:w="292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Task / cost category</w:t>
            </w:r>
          </w:p>
          <w:p>
            <w:pPr>
              <w:spacing w:before="40" w:after="40"/>
            </w:pPr>
            <m:oMath>
              <m:r>
                <w:rPr>
                  <w:sz w:val="16"/>
                  <w:color w:val="173E34"/>
                </w:rPr>
                <m:t>j</m:t>
              </m:r>
              <m:r>
                <w:rPr>
                  <w:sz w:val="16"/>
                  <w:color w:val="173E34"/>
                </w:rPr>
                <m:rPr>
                  <m:sty m:val="p"/>
                </m:rPr>
                <m:t>,</m:t>
              </m:r>
              <m:r>
                <w:rPr>
                  <w:sz w:val="16"/>
                  <w:color w:val="173E34"/>
                </w:rPr>
                <m:t> </m:t>
              </m:r>
              <m:r>
                <w:rPr>
                  <w:sz w:val="16"/>
                  <w:color w:val="173E34"/>
                </w:rPr>
                <m:t>t</m:t>
              </m:r>
            </m:oMath>
          </w:p>
        </w:tc>
        <w:tc>
          <w:tcPr>
            <w:tcW w:type="dxa" w:w="380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Amount, currency, date and basis</w:t>
            </w:r>
          </w:p>
          <w:p>
            <w:pPr>
              <w:spacing w:before="40" w:after="40"/>
            </w:pPr>
            <m:oMath>
              <m:sSub>
                <m:e>
                  <m:r>
                    <w:rPr>
                      <w:sz w:val="16"/>
                      <w:color w:val="173E34"/>
                    </w:rPr>
                    <m:t>c</m:t>
                  </m:r>
                </m:e>
                <m:sub>
                  <m:r>
                    <w:rPr>
                      <w:sz w:val="16"/>
                      <w:color w:val="173E34"/>
                    </w:rPr>
                    <m:t>j</m:t>
                  </m:r>
                  <m:r>
                    <w:rPr>
                      <w:sz w:val="16"/>
                      <w:color w:val="173E34"/>
                    </w:rPr>
                    <m:rPr>
                      <m:sty m:val="p"/>
                    </m:rPr>
                    <m:t>,</m:t>
                  </m:r>
                  <m:r>
                    <w:rPr>
                      <w:sz w:val="16"/>
                      <w:color w:val="173E34"/>
                    </w:rPr>
                    <m:t>t</m:t>
                  </m:r>
                </m:sub>
              </m:sSub>
            </m:oMath>
          </w:p>
        </w:tc>
        <w:tc>
          <w:tcPr>
            <w:tcW w:type="dxa" w:w="302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Funding status / sensitivity</w:t>
            </w:r>
          </w:p>
          <w:p>
            <w:pPr>
              <w:spacing w:before="40" w:after="40"/>
            </w:pPr>
            <m:oMath>
              <m:r>
                <w:rPr>
                  <w:sz w:val="16"/>
                  <w:color w:val="173E34"/>
                </w:rPr>
                <m:rPr>
                  <m:nor/>
                  <m:sty m:val="p"/>
                </m:rPr>
                <m:t>source</m:t>
              </m:r>
              <m:d>
                <m:dPr>
                  <m:begChr m:val="("/>
                  <m:endChr m:val=")"/>
                  <m:sepChr m:val=""/>
                  <m:grow/>
                </m:dPr>
                <m:e>
                  <m:sSub>
                    <m:e>
                      <m:r>
                        <w:rPr>
                          <w:sz w:val="16"/>
                          <w:color w:val="173E34"/>
                        </w:rPr>
                        <m:t>c</m:t>
                      </m:r>
                    </m:e>
                    <m:sub>
                      <m:r>
                        <w:rPr>
                          <w:sz w:val="16"/>
                          <w:color w:val="173E34"/>
                        </w:rPr>
                        <m:t>j</m:t>
                      </m:r>
                      <m:r>
                        <w:rPr>
                          <w:sz w:val="16"/>
                          <w:color w:val="173E34"/>
                        </w:rPr>
                        <m:rPr>
                          <m:sty m:val="p"/>
                        </m:rPr>
                        <m:t>,</m:t>
                      </m:r>
                      <m:r>
                        <w:rPr>
                          <w:sz w:val="16"/>
                          <w:color w:val="173E34"/>
                        </w:rPr>
                        <m:t>t</m:t>
                      </m:r>
                    </m:sub>
                  </m:sSub>
                </m:e>
              </m:d>
            </m:oMath>
          </w:p>
        </w:tc>
      </w:tr>
      <w:tr>
        <w:trPr>
          <w:trHeight w:val="446"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80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80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80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80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Implementability constraints</w:t>
      </w:r>
    </w:p>
    <w:p>
      <w:pPr>
        <w:keepNext/>
        <w:spacing w:after="100" w:line="259" w:lineRule="auto"/>
      </w:pPr>
      <w:r>
        <w:rPr>
          <w:rFonts w:ascii="Arial" w:hAnsi="Arial"/>
          <w:b w:val="0"/>
          <w:i w:val="0"/>
          <w:color w:val="62716E"/>
          <w:sz w:val="18"/>
        </w:rPr>
        <w:t>Describe access, safety, capacity, seasonal constraints, maintenance, benefit-sharing and monitoring funding. Do not present assumed revenue, fees or risk probabilities as approved values.</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r>
        <w:br w:type="page"/>
      </w:r>
    </w:p>
    <w:p>
      <w:bookmarkStart w:id="108" w:name="Section_8"/>
      <w:pPr>
        <w:pStyle w:val="Heading1"/>
        <w:keepNext/>
      </w:pPr>
      <w:r>
        <w:t>08  Feasibility work program and recommendations</w:t>
      </w:r>
      <w:bookmarkEnd w:id="108"/>
    </w:p>
    <w:p>
      <w:pPr>
        <w:keepNext/>
        <w:spacing w:after="180" w:line="259" w:lineRule="auto"/>
      </w:pPr>
      <w:r>
        <w:rPr>
          <w:rFonts w:ascii="Arial" w:hAnsi="Arial"/>
          <w:b w:val="0"/>
          <w:i w:val="0"/>
          <w:color w:val="62716E"/>
          <w:sz w:val="15"/>
        </w:rPr>
        <w:t>[1] Basis: CYC-03; CYC-04; S-16; S-18; FRM-05</w:t>
      </w:r>
    </w:p>
    <w:p>
      <w:pPr>
        <w:pStyle w:val="Heading2"/>
        <w:keepNext/>
      </w:pPr>
      <w:r>
        <w:t>Material gaps and closure plan</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022"/>
        <w:gridCol w:w="3802"/>
        <w:gridCol w:w="2925"/>
      </w:tblGrid>
      <w:tr>
        <w:trPr>
          <w:trHeight w:val="446" w:hRule="atLeast"/>
          <w:tblHeader/>
        </w:trPr>
        <w:tc>
          <w:tcPr>
            <w:tcW w:type="dxa" w:w="302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Gap / blocked decision</w:t>
            </w:r>
          </w:p>
        </w:tc>
        <w:tc>
          <w:tcPr>
            <w:tcW w:type="dxa" w:w="380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Investigation and acceptance evidence</w:t>
            </w:r>
          </w:p>
        </w:tc>
        <w:tc>
          <w:tcPr>
            <w:tcW w:type="dxa" w:w="292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Owner / sequence / resources</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80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80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80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80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80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Recommended design and alternatives retained</w:t>
      </w:r>
    </w:p>
    <w:p>
      <w:pPr>
        <w:keepNext/>
        <w:spacing w:after="100" w:line="259" w:lineRule="auto"/>
      </w:pPr>
      <w:r>
        <w:rPr>
          <w:rFonts w:ascii="Arial" w:hAnsi="Arial"/>
          <w:b w:val="0"/>
          <w:i w:val="0"/>
          <w:color w:val="62716E"/>
          <w:sz w:val="18"/>
        </w:rPr>
        <w:t>State the supported route to feasibility, what would lead to redesign or termination, and which quantities, rights or safeguards remain unresolved.</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pPr>
        <w:pStyle w:val="Heading2"/>
        <w:keepNext/>
      </w:pPr>
      <w:r>
        <w:t>Feasibility mandate</w:t>
      </w:r>
    </w:p>
    <w:p>
      <w:pPr>
        <w:keepNext/>
        <w:spacing w:after="100" w:line="259" w:lineRule="auto"/>
      </w:pPr>
      <w:r>
        <w:rPr>
          <w:rFonts w:ascii="Arial" w:hAnsi="Arial"/>
          <w:b w:val="0"/>
          <w:i w:val="0"/>
          <w:color w:val="62716E"/>
          <w:sz w:val="18"/>
        </w:rPr>
        <w:t>Define deliverables, responsible parties, access permissions, budget basis and intended review. Approval of the study scope is not approval of future environmental quantities.</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r>
        <w:br w:type="page"/>
      </w:r>
    </w:p>
    <w:p>
      <w:bookmarkStart w:id="109" w:name="Section_9"/>
      <w:pPr>
        <w:pStyle w:val="Heading1"/>
        <w:keepNext/>
      </w:pPr>
      <w:r>
        <w:t>09  Evidence, annexes and references</w:t>
      </w:r>
      <w:bookmarkEnd w:id="109"/>
    </w:p>
    <w:p>
      <w:pPr>
        <w:keepNext/>
        <w:spacing w:after="180" w:line="259" w:lineRule="auto"/>
      </w:pPr>
      <w:r>
        <w:rPr>
          <w:rFonts w:ascii="Arial" w:hAnsi="Arial"/>
          <w:b w:val="0"/>
          <w:i w:val="0"/>
          <w:color w:val="62716E"/>
          <w:sz w:val="15"/>
        </w:rPr>
        <w:t>[1] Basis: F-01; S-17; P-04; A-05</w:t>
      </w:r>
    </w:p>
    <w:p>
      <w:pPr>
        <w:keepNext w:val="0"/>
        <w:spacing w:after="160" w:line="259" w:lineRule="auto"/>
        <w:shd w:fill="F1F5F2"/>
      </w:pPr>
      <w:r>
        <w:rPr>
          <w:rFonts w:ascii="Arial" w:hAnsi="Arial"/>
          <w:b w:val="0"/>
          <w:i w:val="0"/>
          <w:color w:val="215F52"/>
          <w:sz w:val="18"/>
        </w:rPr>
        <w:t>Give every annex an identifier, version, date, custodian and exact location. Cite the source of every material input. Keep restricted supporting evidence separately accessible to authorized reviewers; do not hide the methodological basis of a claim.</w:t>
      </w:r>
    </w:p>
    <w:p>
      <w:pPr>
        <w:pStyle w:val="Heading2"/>
        <w:keepNext/>
      </w:pPr>
      <w:r>
        <w:t>Annex register</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340"/>
        <w:gridCol w:w="4484"/>
        <w:gridCol w:w="2925"/>
      </w:tblGrid>
      <w:tr>
        <w:trPr>
          <w:trHeight w:val="446" w:hRule="atLeast"/>
          <w:tblHeader/>
        </w:trPr>
        <w:tc>
          <w:tcPr>
            <w:tcW w:type="dxa" w:w="234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Annex / evidence ID</w:t>
            </w:r>
          </w:p>
        </w:tc>
        <w:tc>
          <w:tcPr>
            <w:tcW w:type="dxa" w:w="4484"/>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Contents and linked section</w:t>
            </w:r>
          </w:p>
        </w:tc>
        <w:tc>
          <w:tcPr>
            <w:tcW w:type="dxa" w:w="292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Custodian / access / version</w:t>
            </w:r>
          </w:p>
        </w:tc>
      </w:tr>
      <w:tr>
        <w:trPr>
          <w:trHeight w:val="446" w:hRule="atLeast"/>
        </w:trPr>
        <w:tc>
          <w:tcPr>
            <w:tcW w:type="dxa" w:w="234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448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234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4484"/>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234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448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234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4484"/>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234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448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Project-specific references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1755"/>
        <w:gridCol w:w="4874"/>
        <w:gridCol w:w="3120"/>
      </w:tblGrid>
      <w:tr>
        <w:trPr>
          <w:trHeight w:val="446" w:hRule="atLeast"/>
          <w:tblHeader/>
        </w:trPr>
        <w:tc>
          <w:tcPr>
            <w:tcW w:type="dxa" w:w="175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Reference ID</w:t>
            </w:r>
          </w:p>
        </w:tc>
        <w:tc>
          <w:tcPr>
            <w:tcW w:type="dxa" w:w="4874"/>
            <w:vAlign w:val="center"/>
            <w:tcMar>
              <w:top w:w="70" w:type="dxa"/>
              <w:start w:w="85" w:type="dxa"/>
              <w:bottom w:w="70" w:type="dxa"/>
              <w:end w:w="85" w:type="dxa"/>
            </w:tcMar>
            <w:shd w:fill="215F52"/>
          </w:tcPr>
          <w:p>
            <w:pPr>
              <w:spacing w:after="0" w:line="250" w:lineRule="auto"/>
            </w:pPr>
            <w:r>
              <w:rPr>
                <w:rFonts w:ascii="Arial" w:hAnsi="Arial"/>
                <w:b/>
                <w:i w:val="0"/>
                <w:color w:val="FFFFFF"/>
                <w:sz w:val="16"/>
              </w:rPr>
              <w:t>Full citation / exact version</w:t>
            </w:r>
          </w:p>
        </w:tc>
        <w:tc>
          <w:tcPr>
            <w:tcW w:type="dxa" w:w="312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Use in this dossier</w:t>
            </w:r>
          </w:p>
        </w:tc>
      </w:tr>
      <w:tr>
        <w:trPr>
          <w:trHeight w:val="446" w:hRule="atLeast"/>
        </w:trPr>
        <w:tc>
          <w:tcPr>
            <w:tcW w:type="dxa" w:w="175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487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175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4874"/>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175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487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Reproducibility and transfer</w:t>
      </w:r>
    </w:p>
    <w:p>
      <w:pPr>
        <w:keepNext/>
        <w:spacing w:after="100" w:line="259" w:lineRule="auto"/>
      </w:pPr>
      <w:r>
        <w:rPr>
          <w:rFonts w:ascii="Arial" w:hAnsi="Arial"/>
          <w:b w:val="0"/>
          <w:i w:val="0"/>
          <w:color w:val="62716E"/>
          <w:sz w:val="18"/>
        </w:rPr>
        <w:t>Identify the approved evidence package, calculation files, access arrangements and responsible custodian. Resolve all broken references before submission.</w:t>
      </w:r>
    </w:p>
    <w:tbl>
      <w:tblPr>
        <w:tblW w:type="auto" w:w="0"/>
        <w:tblLook w:firstColumn="1" w:firstRow="1" w:lastColumn="0" w:lastRow="0" w:noHBand="0" w:noVBand="1" w:val="04A0"/>
      </w:tblPr>
      <w:tblGrid>
        <w:gridCol w:w="9746"/>
      </w:tblGrid>
      <w:tr>
        <w:trPr>
          <w:trHeight w:val="475"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r>
        <w:br w:type="page"/>
      </w:r>
    </w:p>
    <w:p>
      <w:bookmarkStart w:id="110" w:name="Section_10"/>
      <w:pPr>
        <w:pStyle w:val="Heading1"/>
        <w:keepNext/>
      </w:pPr>
      <w:r>
        <w:t>10  Submission, review and stage decision</w:t>
      </w:r>
      <w:bookmarkEnd w:id="110"/>
    </w:p>
    <w:p>
      <w:pPr>
        <w:keepNext/>
        <w:spacing w:after="180" w:line="259" w:lineRule="auto"/>
      </w:pPr>
      <w:r>
        <w:rPr>
          <w:rFonts w:ascii="Arial" w:hAnsi="Arial"/>
          <w:b w:val="0"/>
          <w:i w:val="0"/>
          <w:color w:val="62716E"/>
          <w:sz w:val="15"/>
        </w:rPr>
        <w:t>[1] Basis: CYC-01; CYC-03; S-16; S-22; S-23; FRM-03; FRM-06; A-12; A-13</w:t>
      </w:r>
    </w:p>
    <w:p>
      <w:pPr>
        <w:keepNext w:val="0"/>
        <w:spacing w:after="160" w:line="259" w:lineRule="auto"/>
        <w:shd w:fill="F1F5F2"/>
      </w:pPr>
      <w:r>
        <w:rPr>
          <w:rFonts w:ascii="Arial" w:hAnsi="Arial"/>
          <w:b w:val="0"/>
          <w:i w:val="0"/>
          <w:color w:val="215F52"/>
          <w:sz w:val="18"/>
        </w:rPr>
        <w:t>Prefeasibility supports a decision on detailed investigation. Its estimates remain indicative and do not replace field or qualified secondary evidence, validation or verification.</w:t>
      </w:r>
    </w:p>
    <w:p>
      <w:pPr>
        <w:pStyle w:val="Heading2"/>
        <w:keepNext/>
      </w:pPr>
      <w:r>
        <w:t>Stage-exit review</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4777"/>
        <w:gridCol w:w="2535"/>
        <w:gridCol w:w="2437"/>
      </w:tblGrid>
      <w:tr>
        <w:trPr>
          <w:trHeight w:val="446" w:hRule="atLeast"/>
          <w:tblHeader/>
        </w:trPr>
        <w:tc>
          <w:tcPr>
            <w:tcW w:type="dxa" w:w="4777"/>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Criterion</w:t>
            </w:r>
          </w:p>
        </w:tc>
        <w:tc>
          <w:tcPr>
            <w:tcW w:type="dxa" w:w="253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Evidence / section</w:t>
            </w:r>
          </w:p>
        </w:tc>
        <w:tc>
          <w:tcPr>
            <w:tcW w:type="dxa" w:w="2437"/>
            <w:vAlign w:val="center"/>
            <w:tcMar>
              <w:top w:w="70" w:type="dxa"/>
              <w:start w:w="85" w:type="dxa"/>
              <w:bottom w:w="70" w:type="dxa"/>
              <w:end w:w="85" w:type="dxa"/>
            </w:tcMar>
            <w:shd w:fill="215F52"/>
          </w:tcPr>
          <w:p>
            <w:pPr>
              <w:spacing w:after="0" w:line="250" w:lineRule="auto"/>
            </w:pPr>
            <w:r>
              <w:rPr>
                <w:rFonts w:ascii="Arial" w:hAnsi="Arial"/>
                <w:b/>
                <w:i w:val="0"/>
                <w:color w:val="FFFFFF"/>
                <w:sz w:val="16"/>
              </w:rPr>
              <w:t>Review finding</w:t>
            </w:r>
          </w:p>
        </w:tc>
      </w:tr>
      <w:tr>
        <w:trPr>
          <w:trHeight w:val="446" w:hRule="atLeast"/>
        </w:trPr>
        <w:tc>
          <w:tcPr>
            <w:tcW w:type="dxa" w:w="477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NIP conditions and study scope reconciled</w:t>
            </w:r>
          </w:p>
        </w:tc>
        <w:tc>
          <w:tcPr>
            <w:tcW w:type="dxa" w:w="253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43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[Not assessed]</w:t>
            </w:r>
          </w:p>
        </w:tc>
      </w:tr>
      <w:tr>
        <w:trPr>
          <w:trHeight w:val="446" w:hRule="atLeast"/>
        </w:trPr>
        <w:tc>
          <w:tcPr>
            <w:tcW w:type="dxa" w:w="4777"/>
            <w:vAlign w:val="center"/>
            <w:tcMar>
              <w:top w:w="70" w:type="dxa"/>
              <w:start w:w="85" w:type="dxa"/>
              <w:bottom w:w="70" w:type="dxa"/>
              <w:end w:w="85" w:type="dxa"/>
            </w:tcMar>
          </w:tcPr>
          <w:p>
            <w:pPr>
              <w:spacing w:after="0" w:line="250" w:lineRule="auto"/>
            </w:pPr>
            <w:r>
              <w:rPr>
                <w:rFonts w:ascii="Arial" w:hAnsi="Arial"/>
                <w:b w:val="0"/>
                <w:i w:val="0"/>
                <w:color w:val="243A36"/>
                <w:sz w:val="16"/>
              </w:rPr>
              <w:t>Plausible alternatives and drivers assessed</w:t>
            </w:r>
          </w:p>
        </w:tc>
        <w:tc>
          <w:tcPr>
            <w:tcW w:type="dxa" w:w="253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2437"/>
            <w:vAlign w:val="center"/>
            <w:tcMar>
              <w:top w:w="70" w:type="dxa"/>
              <w:start w:w="85" w:type="dxa"/>
              <w:bottom w:w="70" w:type="dxa"/>
              <w:end w:w="85" w:type="dxa"/>
            </w:tcMar>
          </w:tcPr>
          <w:p>
            <w:pPr>
              <w:spacing w:after="0" w:line="250" w:lineRule="auto"/>
            </w:pPr>
            <w:r>
              <w:rPr>
                <w:rFonts w:ascii="Arial" w:hAnsi="Arial"/>
                <w:b w:val="0"/>
                <w:i/>
                <w:color w:val="62716E"/>
                <w:sz w:val="16"/>
              </w:rPr>
              <w:t>[Not assessed]</w:t>
            </w:r>
          </w:p>
        </w:tc>
      </w:tr>
      <w:tr>
        <w:trPr>
          <w:trHeight w:val="446" w:hRule="atLeast"/>
        </w:trPr>
        <w:tc>
          <w:tcPr>
            <w:tcW w:type="dxa" w:w="477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Evidence routes and feasibility tests specified</w:t>
            </w:r>
          </w:p>
        </w:tc>
        <w:tc>
          <w:tcPr>
            <w:tcW w:type="dxa" w:w="253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43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[Not assessed]</w:t>
            </w:r>
          </w:p>
        </w:tc>
      </w:tr>
      <w:tr>
        <w:trPr>
          <w:trHeight w:val="446" w:hRule="atLeast"/>
        </w:trPr>
        <w:tc>
          <w:tcPr>
            <w:tcW w:type="dxa" w:w="4777"/>
            <w:vAlign w:val="center"/>
            <w:tcMar>
              <w:top w:w="70" w:type="dxa"/>
              <w:start w:w="85" w:type="dxa"/>
              <w:bottom w:w="70" w:type="dxa"/>
              <w:end w:w="85" w:type="dxa"/>
            </w:tcMar>
          </w:tcPr>
          <w:p>
            <w:pPr>
              <w:spacing w:after="0" w:line="250" w:lineRule="auto"/>
            </w:pPr>
            <w:r>
              <w:rPr>
                <w:rFonts w:ascii="Arial" w:hAnsi="Arial"/>
                <w:b w:val="0"/>
                <w:i w:val="0"/>
                <w:color w:val="243A36"/>
                <w:sz w:val="16"/>
              </w:rPr>
              <w:t>Rights, safeguards, risks and overlaps recorded</w:t>
            </w:r>
          </w:p>
        </w:tc>
        <w:tc>
          <w:tcPr>
            <w:tcW w:type="dxa" w:w="253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2437"/>
            <w:vAlign w:val="center"/>
            <w:tcMar>
              <w:top w:w="70" w:type="dxa"/>
              <w:start w:w="85" w:type="dxa"/>
              <w:bottom w:w="70" w:type="dxa"/>
              <w:end w:w="85" w:type="dxa"/>
            </w:tcMar>
          </w:tcPr>
          <w:p>
            <w:pPr>
              <w:spacing w:after="0" w:line="250" w:lineRule="auto"/>
            </w:pPr>
            <w:r>
              <w:rPr>
                <w:rFonts w:ascii="Arial" w:hAnsi="Arial"/>
                <w:b w:val="0"/>
                <w:i/>
                <w:color w:val="62716E"/>
                <w:sz w:val="16"/>
              </w:rPr>
              <w:t>[Not assessed]</w:t>
            </w:r>
          </w:p>
        </w:tc>
      </w:tr>
      <w:tr>
        <w:trPr>
          <w:trHeight w:val="446" w:hRule="atLeast"/>
        </w:trPr>
        <w:tc>
          <w:tcPr>
            <w:tcW w:type="dxa" w:w="477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Credible gap-closure and resource plan provided</w:t>
            </w:r>
          </w:p>
        </w:tc>
        <w:tc>
          <w:tcPr>
            <w:tcW w:type="dxa" w:w="253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43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[Not assessed]</w:t>
            </w:r>
          </w:p>
        </w:tc>
      </w:tr>
    </w:tbl>
    <w:p>
      <w:pPr>
        <w:keepNext w:val="0"/>
        <w:spacing w:after="60" w:line="259" w:lineRule="auto"/>
      </w:pPr>
      <w:r>
        <w:rPr>
          <w:rFonts w:ascii="Arial" w:hAnsi="Arial"/>
          <w:b w:val="0"/>
          <w:i w:val="0"/>
          <w:color w:val="243A36"/>
          <w:sz w:val="2"/>
        </w:rPr>
      </w:r>
    </w:p>
    <w:p>
      <w:pPr>
        <w:pStyle w:val="Heading2"/>
        <w:keepNext/>
      </w:pPr>
      <w:r>
        <w:t>Separate records and signatures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022"/>
        <w:gridCol w:w="3315"/>
        <w:gridCol w:w="3412"/>
      </w:tblGrid>
      <w:tr>
        <w:trPr>
          <w:trHeight w:val="446" w:hRule="atLeast"/>
          <w:tblHeader/>
        </w:trPr>
        <w:tc>
          <w:tcPr>
            <w:tcW w:type="dxa" w:w="302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Action / accountable role</w:t>
            </w:r>
          </w:p>
        </w:tc>
        <w:tc>
          <w:tcPr>
            <w:tcW w:type="dxa" w:w="331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Name, date and signature</w:t>
            </w:r>
          </w:p>
        </w:tc>
        <w:tc>
          <w:tcPr>
            <w:tcW w:type="dxa" w:w="341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Decision / scope / record</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Submission / proponent</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val="0"/>
                <w:color w:val="243A36"/>
                <w:sz w:val="16"/>
              </w:rPr>
              <w:t>Technical preparation</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Unconflicted review</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val="0"/>
                <w:color w:val="243A36"/>
                <w:sz w:val="16"/>
              </w:rPr>
              <w:t>Authorized stage decision</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[Advance / correct / defer / decline]</w:t>
            </w:r>
          </w:p>
        </w:tc>
      </w:tr>
    </w:tbl>
    <w:p>
      <w:pPr>
        <w:keepNext w:val="0"/>
        <w:spacing w:after="60" w:line="259" w:lineRule="auto"/>
      </w:pPr>
      <w:r>
        <w:rPr>
          <w:rFonts w:ascii="Arial" w:hAnsi="Arial"/>
          <w:b w:val="0"/>
          <w:i w:val="0"/>
          <w:color w:val="243A36"/>
          <w:sz w:val="2"/>
        </w:rPr>
      </w:r>
    </w:p>
    <w:p>
      <w:pPr>
        <w:pStyle w:val="Heading2"/>
        <w:keepNext/>
      </w:pPr>
      <w:r>
        <w:t>Conditions, unresolved findings and next-stage handover</w:t>
      </w:r>
    </w:p>
    <w:p>
      <w:pPr>
        <w:keepNext/>
        <w:spacing w:after="100" w:line="259" w:lineRule="auto"/>
      </w:pPr>
      <w:r>
        <w:rPr>
          <w:rFonts w:ascii="Arial" w:hAnsi="Arial"/>
          <w:b w:val="0"/>
          <w:i w:val="0"/>
          <w:color w:val="62716E"/>
          <w:sz w:val="18"/>
        </w:rPr>
        <w:t>State the permitted scope, blocked activities or claims, corrective-action owner, evidence required, deadline under the approved profile and receiving party. A blank signature is not approval.</w:t>
      </w:r>
    </w:p>
    <w:tbl>
      <w:tblPr>
        <w:tblW w:type="auto" w:w="0"/>
        <w:tblLook w:firstColumn="1" w:firstRow="1" w:lastColumn="0" w:lastRow="0" w:noHBand="0" w:noVBand="1" w:val="04A0"/>
      </w:tblPr>
      <w:tblGrid>
        <w:gridCol w:w="9746"/>
      </w:tblGrid>
      <w:tr>
        <w:trPr>
          <w:trHeight w:val="475"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bookmarkStart w:id="3999" w:name="account_annex"/>
      <w:pPr>
        <w:pStyle w:val="Heading1"/>
        <w:keepNext/>
        <w:pageBreakBefore/>
      </w:pPr>
      <w:r>
        <w:t>A  Ex-ante, ex-post and migration account attachments</w:t>
      </w:r>
      <w:bookmarkEnd w:id="3999"/>
    </w:p>
    <w:p>
      <w:pPr>
        <w:spacing w:after="120"/>
      </w:pPr>
      <w:r>
        <w:rPr>
          <w:rFonts w:ascii="Lato" w:hAnsi="Lato"/>
          <w:b w:val="0"/>
          <w:color w:val="62716E"/>
          <w:sz w:val="16"/>
        </w:rPr>
        <w:t>[1] Basis: CYC-01; CYC-05; F-01; F-03; P-13; MIG-05; FRM-02; FRM-04; FRM-05</w:t>
      </w:r>
    </w:p>
    <w:p>
      <w:pPr>
        <w:pStyle w:val="Heading2"/>
        <w:keepNext/>
      </w:pPr>
      <w:r>
        <w:t>Stage-specific use</w:t>
      </w:r>
    </w:p>
    <w:p>
      <w:pPr>
        <w:spacing w:after="80"/>
      </w:pPr>
      <w:r>
        <w:rPr>
          <w:rFonts w:ascii="Lato" w:hAnsi="Lato"/>
          <w:b w:val="0"/>
          <w:color w:val="62716E"/>
          <w:sz w:val="18"/>
        </w:rPr>
        <w:t>Use the Ex-Ante Estimate for supported alternatives and sensitivities. Map existing ex-post or migrated records to the evidence plan; do not require a current result where only a forecast exists.</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account_annex-0-EN"/>
                <w:tag w:val="account_annex-0-EN"/>
                <w:text/>
              </w:sdtPr>
              <w:sdtContent>
                <w:r>
                  <w:rPr>
                    <w:rFonts w:ascii="Lato" w:hAnsi="Lato"/>
                    <w:sz w:val="18"/>
                    <w:color w:val="62716E"/>
                  </w:rPr>
                  <w:t>[Enter response and exact evidence references.]</w:t>
                </w:r>
              </w:sdtContent>
            </w:sdt>
          </w:p>
        </w:tc>
      </w:tr>
    </w:tbl>
    <w:p>
      <w:pPr>
        <w:spacing w:after="20" w:before="0" w:line="96" w:lineRule="auto"/>
      </w:pPr>
    </w:p>
    <w:p>
      <w:pPr>
        <w:pStyle w:val="Heading2"/>
        <w:keepNext/>
      </w:pPr>
      <w:r>
        <w:t>Account attachment register</w:t>
      </w:r>
    </w:p>
    <w:p>
      <w:pPr>
        <w:keepNext/>
        <w:spacing w:before="40" w:after="60"/>
      </w:pPr>
      <w:r>
        <w:rPr>
          <w:rFonts w:ascii="Lato" w:hAnsi="Lato"/>
          <w:color w:val="315B50"/>
          <w:sz w:val="18"/>
        </w:rPr>
        <w:t>PREFEASIBILITY-T20 / Calculation notation</w:t>
      </w:r>
    </w:p>
    <w:p>
      <w:pPr>
        <w:keepNext/>
        <w:spacing w:before="40" w:after="60"/>
      </w:pPr>
      <m:oMath>
        <m:sSub>
          <m:e>
            <m:r>
              <w:rPr>
                <w:sz w:val="18"/>
              </w:rPr>
              <m:t>x</m:t>
            </m:r>
          </m:e>
          <m:sub>
            <m:r>
              <w:rPr>
                <w:sz w:val="18"/>
              </w:rPr>
              <m:rPr>
                <m:sty m:val="p"/>
              </m:rPr>
              <m:t>ℓ</m:t>
            </m:r>
          </m:sub>
        </m:sSub>
        <m:r>
          <w:rPr>
            <w:sz w:val="18"/>
          </w:rPr>
          <m:t> </m:t>
        </m:r>
        <m:d>
          <m:dPr>
            <m:begChr m:val="["/>
            <m:endChr m:val="]"/>
            <m:sepChr m:val=""/>
            <m:grow/>
          </m:dPr>
          <m:e>
            <m:sSub>
              <m:e>
                <m:r>
                  <w:rPr>
                    <w:sz w:val="18"/>
                  </w:rPr>
                  <m:t>u</m:t>
                </m:r>
              </m:e>
              <m:sub>
                <m:r>
                  <w:rPr>
                    <w:sz w:val="18"/>
                  </w:rPr>
                  <m:rPr>
                    <m:sty m:val="p"/>
                  </m:rPr>
                  <m:t>ℓ</m:t>
                </m:r>
              </m:sub>
            </m:sSub>
          </m:e>
        </m:d>
      </m:oMath>
    </w:p>
    <w:p>
      <w:pPr>
        <w:keepNext/>
        <w:spacing w:before="40" w:after="60"/>
      </w:pPr>
      <w:r>
        <w:rPr>
          <w:rFonts w:ascii="Lato" w:hAnsi="Lato"/>
          <w:color w:val="315B50"/>
          <w:sz w:val="16"/>
        </w:rPr>
        <w:t>x_l is the identified observation, input, or output; u_l is its declared unit. Record the exact equation and source file, worksheet, cell/range, period, and status. This notation does not prescribe an estimator.</w:t>
      </w:r>
    </w:p>
    <w:p>
      <w:pPr>
        <w:keepNext/>
        <w:spacing w:before="40" w:after="60"/>
      </w:pPr>
      <w:r>
        <w:rPr>
          <w:rFonts w:ascii="Lato" w:hAnsi="Lato"/>
          <w:color w:val="315B50"/>
          <w:sz w:val="14"/>
        </w:rPr>
        <w:t>Basis: F-01; T-01 | Workbook: Evidence!A:J; Components!F:L</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Product / applicable scope</w:t>
            </w:r>
          </w:p>
          <w:p>
            <w:pPr>
              <w:spacing w:before="40" w:after="40"/>
            </w:pPr>
            <m:oMath>
              <m:sSub>
                <m:e>
                  <m:r>
                    <w:rPr>
                      <w:sz w:val="16"/>
                      <w:color w:val="173E34"/>
                    </w:rPr>
                    <m:t>x</m:t>
                  </m:r>
                </m:e>
                <m:sub>
                  <m:r>
                    <w:rPr>
                      <w:sz w:val="16"/>
                      <w:color w:val="173E34"/>
                    </w:rPr>
                    <m:rPr>
                      <m:sty m:val="p"/>
                    </m:rPr>
                    <m:t>ℓ</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Version, workbook and evidence location</w:t>
            </w:r>
          </w:p>
          <w:p>
            <w:pPr>
              <w:spacing w:before="40" w:after="40"/>
            </w:pPr>
            <m:oMath>
              <m:sSub>
                <m:e>
                  <m:r>
                    <w:rPr>
                      <w:sz w:val="16"/>
                      <w:color w:val="173E34"/>
                    </w:rPr>
                    <m:t>u</m:t>
                  </m:r>
                </m:e>
                <m:sub>
                  <m:r>
                    <w:rPr>
                      <w:sz w:val="16"/>
                      <w:color w:val="173E34"/>
                    </w:rPr>
                    <m:rPr>
                      <m:sty m:val="p"/>
                    </m:rPr>
                    <m:t>ℓ</m:t>
                  </m:r>
                </m:sub>
              </m:sSub>
              <m:r>
                <w:rPr>
                  <w:sz w:val="16"/>
                  <w:color w:val="173E34"/>
                </w:rPr>
                <m:rPr>
                  <m:sty m:val="p"/>
                </m:rPr>
                <m:t>,</m:t>
              </m:r>
              <m:r>
                <w:rPr>
                  <w:sz w:val="16"/>
                  <w:color w:val="173E34"/>
                </w:rPr>
                <m:t> </m:t>
              </m:r>
              <m:r>
                <w:rPr>
                  <w:sz w:val="16"/>
                  <w:color w:val="173E34"/>
                </w:rPr>
                <m:t>t</m:t>
              </m:r>
            </m:oMath>
          </w:p>
        </w:tc>
        <w:tc>
          <w:tcPr>
            <w:tcW w:type="dxa" w:w="3250"/>
            <w:tcMar>
              <w:top w:w="90" w:type="dxa"/>
              <w:bottom w:w="90" w:type="dxa"/>
              <w:left w:w="100" w:type="dxa"/>
              <w:right w:w="100" w:type="dxa"/>
            </w:tcMar>
            <w:vAlign w:val="center"/>
            <w:shd w:fill="E6F0EB"/>
          </w:tcPr>
          <w:p>
            <w:r>
              <w:rPr>
                <w:rFonts w:ascii="Lato" w:hAnsi="Lato"/>
                <w:b/>
                <w:color w:val="173E34"/>
                <w:sz w:val="17"/>
              </w:rPr>
              <w:t>Status / reviewer / unresolved restriction</w:t>
            </w:r>
          </w:p>
          <w:p>
            <w:pPr>
              <w:spacing w:before="40" w:after="40"/>
            </w:pPr>
            <m:oMath>
              <m:r>
                <w:rPr>
                  <w:sz w:val="16"/>
                  <w:color w:val="173E34"/>
                </w:rPr>
                <m:rPr>
                  <m:nor/>
                  <m:sty m:val="p"/>
                </m:rPr>
                <m:t>source</m:t>
              </m:r>
              <m:d>
                <m:dPr>
                  <m:begChr m:val="("/>
                  <m:endChr m:val=")"/>
                  <m:sepChr m:val=""/>
                  <m:grow/>
                </m:dPr>
                <m:e>
                  <m:sSub>
                    <m:e>
                      <m:r>
                        <w:rPr>
                          <w:sz w:val="16"/>
                          <w:color w:val="173E34"/>
                        </w:rPr>
                        <m:t>x</m:t>
                      </m:r>
                    </m:e>
                    <m:sub>
                      <m:r>
                        <w:rPr>
                          <w:sz w:val="16"/>
                          <w:color w:val="173E34"/>
                        </w:rPr>
                        <m:rPr>
                          <m:sty m:val="p"/>
                        </m:rPr>
                        <m:t>ℓ</m:t>
                      </m:r>
                    </m:sub>
                  </m:sSub>
                </m:e>
              </m:d>
            </m:oMath>
          </w:p>
        </w:tc>
      </w:tr>
      <w:tr>
        <w:trPr>
          <w:trHeight w:val="510"/>
        </w:trPr>
        <w:tc>
          <w:tcPr>
            <w:tcW w:type="dxa" w:w="3250"/>
            <w:tcMar>
              <w:top w:w="90" w:type="dxa"/>
              <w:bottom w:w="90" w:type="dxa"/>
              <w:left w:w="100" w:type="dxa"/>
              <w:right w:w="100" w:type="dxa"/>
            </w:tcMar>
            <w:shd w:fill="F1F5F2"/>
          </w:tcPr>
          <w:p>
            <w:pPr>
              <w:spacing w:after="20"/>
            </w:pPr>
            <w:sdt>
              <w:sdtPr>
                <w:alias w:val="account_annex-1-EN-1-1"/>
                <w:tag w:val="account_annex-1-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account_annex-1-EN-1-2"/>
                <w:tag w:val="account_annex-1-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account_annex-1-EN-1-3"/>
                <w:tag w:val="account_annex-1-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account_annex-1-EN-2-1"/>
                <w:tag w:val="account_annex-1-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account_annex-1-EN-2-2"/>
                <w:tag w:val="account_annex-1-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account_annex-1-EN-2-3"/>
                <w:tag w:val="account_annex-1-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account_annex-1-EN-3-1"/>
                <w:tag w:val="account_annex-1-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account_annex-1-EN-3-2"/>
                <w:tag w:val="account_annex-1-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account_annex-1-EN-3-3"/>
                <w:tag w:val="account_annex-1-EN-3-3"/>
                <w:text/>
              </w:sdtPr>
              <w:sdtContent>
                <w:r>
                  <w:rPr>
                    <w:rFonts w:ascii="Lato" w:hAnsi="Lato"/>
                    <w:sz w:val="18"/>
                    <w:color w:val="62716E"/>
                  </w:rPr>
                  <w:t>[Complete]</w:t>
                </w:r>
              </w:sdtContent>
            </w:sdt>
          </w:p>
        </w:tc>
      </w:tr>
    </w:tbl>
    <w:p>
      <w:pPr>
        <w:spacing w:after="0"/>
      </w:pPr>
    </w:p>
    <w:p>
      <w:pPr>
        <w:pStyle w:val="Heading2"/>
        <w:keepNext/>
      </w:pPr>
      <w:r>
        <w:t>Common account contract</w:t>
      </w:r>
    </w:p>
    <w:p>
      <w:pPr>
        <w:spacing w:after="80"/>
      </w:pPr>
      <w:r>
        <w:rPr>
          <w:rFonts w:ascii="Lato" w:hAnsi="Lato"/>
          <w:b w:val="0"/>
          <w:color w:val="62716E"/>
          <w:sz w:val="18"/>
        </w:rPr>
        <w:t>Use the bilingual Ex-Ante Estimate, Ex-Post Outcome Report and Migration Reconciliation formats with the calculation workbook as applicable. Identify periods, bands, units, missing data and exact source cells. Keep forecasts, monitored inputs, the counterfactual, verified results and authorized NVEUs distinct. No template rate or blank field establishes policy, zero emissions or issuance.</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account_annex-2-EN"/>
                <w:tag w:val="account_annex-2-EN"/>
                <w:text/>
              </w:sdtPr>
              <w:sdtContent>
                <w:r>
                  <w:rPr>
                    <w:rFonts w:ascii="Lato" w:hAnsi="Lato"/>
                    <w:sz w:val="18"/>
                    <w:color w:val="62716E"/>
                  </w:rPr>
                  <w:t>[Enter response and exact evidence references.]</w:t>
                </w:r>
              </w:sdtContent>
            </w:sdt>
          </w:p>
        </w:tc>
      </w:tr>
    </w:tbl>
    <w:p>
      <w:pPr>
        <w:spacing w:after="20" w:before="0" w:line="96" w:lineRule="auto"/>
      </w:pPr>
    </w:p>
    <w:p>
      <w:pPr>
        <w:pStyle w:val="Heading2"/>
        <w:keepNext/>
      </w:pPr>
      <w:r>
        <w:t>Required reconciliation</w:t>
      </w:r>
    </w:p>
    <w:p>
      <w:pPr>
        <w:keepNext/>
        <w:spacing w:before="40" w:after="60"/>
      </w:pPr>
      <w:r>
        <w:rPr>
          <w:rFonts w:ascii="Lato" w:hAnsi="Lato"/>
          <w:color w:val="315B50"/>
          <w:sz w:val="18"/>
        </w:rPr>
        <w:t>PREFEASIBILITY-T21 / Calculation notation</w:t>
      </w:r>
    </w:p>
    <w:p>
      <w:pPr>
        <w:keepNext/>
        <w:spacing w:before="40" w:after="60"/>
      </w:pPr>
      <m:oMath>
        <m:r>
          <w:rPr>
            <w:sz w:val="18"/>
          </w:rPr>
          <m:t>Δ</m:t>
        </m:r>
        <m:sSub>
          <m:e>
            <m:r>
              <w:rPr>
                <w:sz w:val="18"/>
              </w:rPr>
              <m:t>q</m:t>
            </m:r>
          </m:e>
          <m:sub>
            <m:r>
              <w:rPr>
                <w:sz w:val="18"/>
              </w:rPr>
              <m:rPr>
                <m:sty m:val="p"/>
              </m:rPr>
              <m:t>b</m:t>
            </m:r>
            <m:r>
              <w:rPr>
                <w:sz w:val="18"/>
              </w:rPr>
              <m:rPr>
                <m:sty m:val="p"/>
              </m:rPr>
              <m:t>a</m:t>
            </m:r>
            <m:r>
              <w:rPr>
                <w:sz w:val="18"/>
              </w:rPr>
              <m:rPr>
                <m:sty m:val="p"/>
              </m:rPr>
              <m:t>s</m:t>
            </m:r>
            <m:r>
              <w:rPr>
                <w:sz w:val="18"/>
              </w:rPr>
              <m:rPr>
                <m:sty m:val="p"/>
              </m:rPr>
              <m:t>i</m:t>
            </m:r>
            <m:r>
              <w:rPr>
                <w:sz w:val="18"/>
              </w:rPr>
              <m:rPr>
                <m:sty m:val="p"/>
              </m:rPr>
              <m:t>s</m:t>
            </m:r>
          </m:sub>
        </m:sSub>
        <m:r>
          <w:rPr>
            <w:sz w:val="18"/>
          </w:rPr>
          <m:rPr>
            <m:sty m:val="p"/>
          </m:rPr>
          <m:t>=</m:t>
        </m:r>
        <m:sSup>
          <m:e>
            <m:r>
              <w:rPr>
                <w:sz w:val="18"/>
              </w:rPr>
              <m:t>q</m:t>
            </m:r>
          </m:e>
          <m:sup>
            <m:r>
              <w:rPr>
                <w:sz w:val="18"/>
              </w:rPr>
              <m:rPr>
                <m:sty m:val="p"/>
              </m:rPr>
              <m:t>h</m:t>
            </m:r>
            <m:r>
              <w:rPr>
                <w:sz w:val="18"/>
              </w:rPr>
              <m:rPr>
                <m:sty m:val="p"/>
              </m:rPr>
              <m:t>a</m:t>
            </m:r>
            <m:r>
              <w:rPr>
                <w:sz w:val="18"/>
              </w:rPr>
              <m:rPr>
                <m:sty m:val="p"/>
              </m:rPr>
              <m:t>r</m:t>
            </m:r>
            <m:r>
              <w:rPr>
                <w:sz w:val="18"/>
              </w:rPr>
              <m:rPr>
                <m:sty m:val="p"/>
              </m:rPr>
              <m:t>m</m:t>
            </m:r>
          </m:sup>
        </m:sSup>
        <m:r>
          <w:rPr>
            <w:sz w:val="18"/>
          </w:rPr>
          <m:rPr>
            <m:sty m:val="p"/>
          </m:rPr>
          <m:t>−</m:t>
        </m:r>
        <m:sSup>
          <m:e>
            <m:r>
              <w:rPr>
                <w:sz w:val="18"/>
              </w:rPr>
              <m:t>q</m:t>
            </m:r>
          </m:e>
          <m:sup>
            <m:r>
              <w:rPr>
                <w:sz w:val="18"/>
              </w:rPr>
              <m:rPr>
                <m:sty m:val="p"/>
              </m:rPr>
              <m:t>s</m:t>
            </m:r>
            <m:r>
              <w:rPr>
                <w:sz w:val="18"/>
              </w:rPr>
              <m:rPr>
                <m:sty m:val="p"/>
              </m:rPr>
              <m:t>r</m:t>
            </m:r>
            <m:r>
              <w:rPr>
                <w:sz w:val="18"/>
              </w:rPr>
              <m:rPr>
                <m:sty m:val="p"/>
              </m:rPr>
              <m:t>c</m:t>
            </m:r>
          </m:sup>
        </m:sSup>
        <m:r>
          <w:rPr>
            <w:sz w:val="18"/>
          </w:rPr>
          <m:rPr>
            <m:sty m:val="p"/>
          </m:rPr>
          <m:t>,</m:t>
        </m:r>
        <m:r>
          <w:rPr>
            <w:sz w:val="18"/>
          </w:rPr>
          <m:t> </m:t>
        </m:r>
        <m:r>
          <w:rPr>
            <w:sz w:val="18"/>
          </w:rPr>
          <m:t>Δ</m:t>
        </m:r>
        <m:sSub>
          <m:e>
            <m:r>
              <w:rPr>
                <w:sz w:val="18"/>
              </w:rPr>
              <m:t>q</m:t>
            </m:r>
          </m:e>
          <m:sub>
            <m:r>
              <w:rPr>
                <w:sz w:val="18"/>
              </w:rPr>
              <m:rPr>
                <m:sty m:val="p"/>
              </m:rPr>
              <m:t>m</m:t>
            </m:r>
            <m:r>
              <w:rPr>
                <w:sz w:val="18"/>
              </w:rPr>
              <m:rPr>
                <m:sty m:val="p"/>
              </m:rPr>
              <m:t>e</m:t>
            </m:r>
            <m:r>
              <w:rPr>
                <w:sz w:val="18"/>
              </w:rPr>
              <m:rPr>
                <m:sty m:val="p"/>
              </m:rPr>
              <m:t>t</m:t>
            </m:r>
            <m:r>
              <w:rPr>
                <w:sz w:val="18"/>
              </w:rPr>
              <m:rPr>
                <m:sty m:val="p"/>
              </m:rPr>
              <m:t>h</m:t>
            </m:r>
            <m:r>
              <w:rPr>
                <w:sz w:val="18"/>
              </w:rPr>
              <m:rPr>
                <m:sty m:val="p"/>
              </m:rPr>
              <m:t>o</m:t>
            </m:r>
            <m:r>
              <w:rPr>
                <w:sz w:val="18"/>
              </w:rPr>
              <m:rPr>
                <m:sty m:val="p"/>
              </m:rPr>
              <m:t>d</m:t>
            </m:r>
          </m:sub>
        </m:sSub>
        <m:r>
          <w:rPr>
            <w:sz w:val="18"/>
          </w:rPr>
          <m:rPr>
            <m:sty m:val="p"/>
          </m:rPr>
          <m:t>=</m:t>
        </m:r>
        <m:sSup>
          <m:e>
            <m:r>
              <w:rPr>
                <w:sz w:val="18"/>
              </w:rPr>
              <m:t>q</m:t>
            </m:r>
          </m:e>
          <m:sup>
            <m:r>
              <w:rPr>
                <w:sz w:val="18"/>
              </w:rPr>
              <m:rPr>
                <m:sty m:val="p"/>
              </m:rPr>
              <m:t>N</m:t>
            </m:r>
            <m:r>
              <w:rPr>
                <w:sz w:val="18"/>
              </w:rPr>
              <m:rPr>
                <m:sty m:val="p"/>
              </m:rPr>
              <m:t>E</m:t>
            </m:r>
            <m:r>
              <w:rPr>
                <w:sz w:val="18"/>
              </w:rPr>
              <m:rPr>
                <m:sty m:val="p"/>
              </m:rPr>
              <m:t>B</m:t>
            </m:r>
          </m:sup>
        </m:sSup>
        <m:r>
          <w:rPr>
            <w:sz w:val="18"/>
          </w:rPr>
          <m:rPr>
            <m:sty m:val="p"/>
          </m:rPr>
          <m:t>−</m:t>
        </m:r>
        <m:sSup>
          <m:e>
            <m:r>
              <w:rPr>
                <w:sz w:val="18"/>
              </w:rPr>
              <m:t>q</m:t>
            </m:r>
          </m:e>
          <m:sup>
            <m:r>
              <w:rPr>
                <w:sz w:val="18"/>
              </w:rPr>
              <m:rPr>
                <m:sty m:val="p"/>
              </m:rPr>
              <m:t>h</m:t>
            </m:r>
            <m:r>
              <w:rPr>
                <w:sz w:val="18"/>
              </w:rPr>
              <m:rPr>
                <m:sty m:val="p"/>
              </m:rPr>
              <m:t>a</m:t>
            </m:r>
            <m:r>
              <w:rPr>
                <w:sz w:val="18"/>
              </w:rPr>
              <m:rPr>
                <m:sty m:val="p"/>
              </m:rPr>
              <m:t>r</m:t>
            </m:r>
            <m:r>
              <w:rPr>
                <w:sz w:val="18"/>
              </w:rPr>
              <m:rPr>
                <m:sty m:val="p"/>
              </m:rPr>
              <m:t>m</m:t>
            </m:r>
          </m:sup>
        </m:sSup>
      </m:oMath>
    </w:p>
    <w:p>
      <w:pPr>
        <w:keepNext/>
        <w:spacing w:before="40" w:after="60"/>
      </w:pPr>
      <m:oMath>
        <m:sSup>
          <m:e>
            <m:r>
              <w:rPr>
                <w:sz w:val="18"/>
              </w:rPr>
              <m:t>q</m:t>
            </m:r>
          </m:e>
          <m:sup>
            <m:r>
              <w:rPr>
                <w:sz w:val="18"/>
              </w:rPr>
              <m:rPr>
                <m:sty m:val="p"/>
              </m:rPr>
              <m:t>N</m:t>
            </m:r>
            <m:r>
              <w:rPr>
                <w:sz w:val="18"/>
              </w:rPr>
              <m:rPr>
                <m:sty m:val="p"/>
              </m:rPr>
              <m:t>E</m:t>
            </m:r>
            <m:r>
              <w:rPr>
                <w:sz w:val="18"/>
              </w:rPr>
              <m:rPr>
                <m:sty m:val="p"/>
              </m:rPr>
              <m:t>B</m:t>
            </m:r>
          </m:sup>
        </m:sSup>
        <m:r>
          <w:rPr>
            <w:sz w:val="18"/>
          </w:rPr>
          <m:rPr>
            <m:sty m:val="p"/>
          </m:rPr>
          <m:t>−</m:t>
        </m:r>
        <m:sSup>
          <m:e>
            <m:r>
              <w:rPr>
                <w:sz w:val="18"/>
              </w:rPr>
              <m:t>q</m:t>
            </m:r>
          </m:e>
          <m:sup>
            <m:r>
              <w:rPr>
                <w:sz w:val="18"/>
              </w:rPr>
              <m:rPr>
                <m:sty m:val="p"/>
              </m:rPr>
              <m:t>s</m:t>
            </m:r>
            <m:r>
              <w:rPr>
                <w:sz w:val="18"/>
              </w:rPr>
              <m:rPr>
                <m:sty m:val="p"/>
              </m:rPr>
              <m:t>r</m:t>
            </m:r>
            <m:r>
              <w:rPr>
                <w:sz w:val="18"/>
              </w:rPr>
              <m:rPr>
                <m:sty m:val="p"/>
              </m:rPr>
              <m:t>c</m:t>
            </m:r>
          </m:sup>
        </m:sSup>
        <m:r>
          <w:rPr>
            <w:sz w:val="18"/>
          </w:rPr>
          <m:rPr>
            <m:sty m:val="p"/>
          </m:rPr>
          <m:t>=</m:t>
        </m:r>
        <m:r>
          <w:rPr>
            <w:sz w:val="18"/>
          </w:rPr>
          <m:t>Δ</m:t>
        </m:r>
        <m:sSub>
          <m:e>
            <m:r>
              <w:rPr>
                <w:sz w:val="18"/>
              </w:rPr>
              <m:t>q</m:t>
            </m:r>
          </m:e>
          <m:sub>
            <m:r>
              <w:rPr>
                <w:sz w:val="18"/>
              </w:rPr>
              <m:rPr>
                <m:sty m:val="p"/>
              </m:rPr>
              <m:t>b</m:t>
            </m:r>
            <m:r>
              <w:rPr>
                <w:sz w:val="18"/>
              </w:rPr>
              <m:rPr>
                <m:sty m:val="p"/>
              </m:rPr>
              <m:t>a</m:t>
            </m:r>
            <m:r>
              <w:rPr>
                <w:sz w:val="18"/>
              </w:rPr>
              <m:rPr>
                <m:sty m:val="p"/>
              </m:rPr>
              <m:t>s</m:t>
            </m:r>
            <m:r>
              <w:rPr>
                <w:sz w:val="18"/>
              </w:rPr>
              <m:rPr>
                <m:sty m:val="p"/>
              </m:rPr>
              <m:t>i</m:t>
            </m:r>
            <m:r>
              <w:rPr>
                <w:sz w:val="18"/>
              </w:rPr>
              <m:rPr>
                <m:sty m:val="p"/>
              </m:rPr>
              <m:t>s</m:t>
            </m:r>
          </m:sub>
        </m:sSub>
        <m:r>
          <w:rPr>
            <w:sz w:val="18"/>
          </w:rPr>
          <m:rPr>
            <m:sty m:val="p"/>
          </m:rPr>
          <m:t>+</m:t>
        </m:r>
        <m:r>
          <w:rPr>
            <w:sz w:val="18"/>
          </w:rPr>
          <m:t>Δ</m:t>
        </m:r>
        <m:sSub>
          <m:e>
            <m:r>
              <w:rPr>
                <w:sz w:val="18"/>
              </w:rPr>
              <m:t>q</m:t>
            </m:r>
          </m:e>
          <m:sub>
            <m:r>
              <w:rPr>
                <w:sz w:val="18"/>
              </w:rPr>
              <m:rPr>
                <m:sty m:val="p"/>
              </m:rPr>
              <m:t>m</m:t>
            </m:r>
            <m:r>
              <w:rPr>
                <w:sz w:val="18"/>
              </w:rPr>
              <m:rPr>
                <m:sty m:val="p"/>
              </m:rPr>
              <m:t>e</m:t>
            </m:r>
            <m:r>
              <w:rPr>
                <w:sz w:val="18"/>
              </w:rPr>
              <m:rPr>
                <m:sty m:val="p"/>
              </m:rPr>
              <m:t>t</m:t>
            </m:r>
            <m:r>
              <w:rPr>
                <w:sz w:val="18"/>
              </w:rPr>
              <m:rPr>
                <m:sty m:val="p"/>
              </m:rPr>
              <m:t>h</m:t>
            </m:r>
            <m:r>
              <w:rPr>
                <w:sz w:val="18"/>
              </w:rPr>
              <m:rPr>
                <m:sty m:val="p"/>
              </m:rPr>
              <m:t>o</m:t>
            </m:r>
            <m:r>
              <w:rPr>
                <w:sz w:val="18"/>
              </w:rPr>
              <m:rPr>
                <m:sty m:val="p"/>
              </m:rPr>
              <m:t>d</m:t>
            </m:r>
          </m:sub>
        </m:sSub>
      </m:oMath>
    </w:p>
    <w:p>
      <w:pPr>
        <w:keepNext/>
        <w:spacing w:before="40" w:after="60"/>
      </w:pPr>
      <w:r>
        <w:rPr>
          <w:rFonts w:ascii="Lato" w:hAnsi="Lato"/>
          <w:color w:val="315B50"/>
          <w:sz w:val="16"/>
        </w:rPr>
        <w:t>src retains the original result; harm is the original method on the agreed comparable basis; NEB is the receiving-method result on that basis. This telescoping identity explains differences, not eligibility. Do not force the methodological difference to zero.</w:t>
      </w:r>
    </w:p>
    <w:p>
      <w:pPr>
        <w:keepNext/>
        <w:spacing w:before="40" w:after="60"/>
      </w:pPr>
      <w:r>
        <w:rPr>
          <w:rFonts w:ascii="Lato" w:hAnsi="Lato"/>
          <w:color w:val="315B50"/>
          <w:sz w:val="14"/>
        </w:rPr>
        <w:t>Basis: MIG-05; P-13; reconciliation identity | Workbook: Migration!E:K</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pPr>
              <w:keepNext/>
            </w:pPr>
            <w:r>
              <w:rPr>
                <w:rFonts w:ascii="Lato" w:hAnsi="Lato"/>
                <w:b/>
                <w:color w:val="173E34"/>
                <w:sz w:val="17"/>
              </w:rPr>
              <w:t>Dimension / original record</w:t>
            </w:r>
          </w:p>
          <w:p>
            <w:pPr>
              <w:keepNext/>
              <w:spacing w:before="40" w:after="40"/>
            </w:pPr>
            <m:oMath>
              <m:r>
                <w:rPr>
                  <w:sz w:val="16"/>
                  <w:color w:val="173E34"/>
                </w:rPr>
                <m:t>t</m:t>
              </m:r>
              <m:r>
                <w:rPr>
                  <w:sz w:val="16"/>
                  <w:color w:val="173E34"/>
                </w:rPr>
                <m:rPr>
                  <m:sty m:val="p"/>
                </m:rPr>
                <m:t>,</m:t>
              </m:r>
              <m:r>
                <w:rPr>
                  <w:sz w:val="16"/>
                  <w:color w:val="173E34"/>
                </w:rPr>
                <m:t> </m:t>
              </m:r>
              <m:r>
                <w:rPr>
                  <w:sz w:val="16"/>
                  <w:color w:val="173E34"/>
                </w:rPr>
                <m:t>u</m:t>
              </m:r>
            </m:oMath>
          </w:p>
        </w:tc>
        <w:tc>
          <w:tcPr>
            <w:tcW w:type="dxa" w:w="3250"/>
            <w:tcMar>
              <w:top w:w="90" w:type="dxa"/>
              <w:bottom w:w="90" w:type="dxa"/>
              <w:left w:w="100" w:type="dxa"/>
              <w:right w:w="100" w:type="dxa"/>
            </w:tcMar>
            <w:vAlign w:val="center"/>
            <w:shd w:fill="E6F0EB"/>
          </w:tcPr>
          <w:p>
            <w:pPr>
              <w:keepNext/>
            </w:pPr>
            <w:r>
              <w:rPr>
                <w:rFonts w:ascii="Lato" w:hAnsi="Lato"/>
                <w:b/>
                <w:color w:val="173E34"/>
                <w:sz w:val="17"/>
              </w:rPr>
              <w:t>Receiving or monitored treatment</w:t>
            </w:r>
          </w:p>
          <w:p>
            <w:pPr>
              <w:keepNext/>
              <w:spacing w:before="40" w:after="40"/>
            </w:pPr>
            <m:oMath>
              <m:sSup>
                <m:e>
                  <m:r>
                    <w:rPr>
                      <w:sz w:val="16"/>
                      <w:color w:val="173E34"/>
                    </w:rPr>
                    <m:t>q</m:t>
                  </m:r>
                </m:e>
                <m:sup>
                  <m:r>
                    <w:rPr>
                      <w:sz w:val="16"/>
                      <w:color w:val="173E34"/>
                    </w:rPr>
                    <m:rPr>
                      <m:sty m:val="p"/>
                    </m:rPr>
                    <m:t>s</m:t>
                  </m:r>
                  <m:r>
                    <w:rPr>
                      <w:sz w:val="16"/>
                      <w:color w:val="173E34"/>
                    </w:rPr>
                    <m:rPr>
                      <m:sty m:val="p"/>
                    </m:rPr>
                    <m:t>r</m:t>
                  </m:r>
                  <m:r>
                    <w:rPr>
                      <w:sz w:val="16"/>
                      <w:color w:val="173E34"/>
                    </w:rPr>
                    <m:rPr>
                      <m:sty m:val="p"/>
                    </m:rPr>
                    <m:t>c</m:t>
                  </m:r>
                </m:sup>
              </m:sSup>
              <m:r>
                <w:rPr>
                  <w:sz w:val="16"/>
                  <w:color w:val="173E34"/>
                </w:rPr>
                <m:rPr>
                  <m:sty m:val="p"/>
                </m:rPr>
                <m:t>,</m:t>
              </m:r>
              <m:r>
                <w:rPr>
                  <w:sz w:val="16"/>
                  <w:color w:val="173E34"/>
                </w:rPr>
                <m:t> </m:t>
              </m:r>
              <m:sSup>
                <m:e>
                  <m:r>
                    <w:rPr>
                      <w:sz w:val="16"/>
                      <w:color w:val="173E34"/>
                    </w:rPr>
                    <m:t>q</m:t>
                  </m:r>
                </m:e>
                <m:sup>
                  <m:r>
                    <w:rPr>
                      <w:sz w:val="16"/>
                      <w:color w:val="173E34"/>
                    </w:rPr>
                    <m:rPr>
                      <m:sty m:val="p"/>
                    </m:rPr>
                    <m:t>h</m:t>
                  </m:r>
                  <m:r>
                    <w:rPr>
                      <w:sz w:val="16"/>
                      <w:color w:val="173E34"/>
                    </w:rPr>
                    <m:rPr>
                      <m:sty m:val="p"/>
                    </m:rPr>
                    <m:t>a</m:t>
                  </m:r>
                  <m:r>
                    <w:rPr>
                      <w:sz w:val="16"/>
                      <w:color w:val="173E34"/>
                    </w:rPr>
                    <m:rPr>
                      <m:sty m:val="p"/>
                    </m:rPr>
                    <m:t>r</m:t>
                  </m:r>
                  <m:r>
                    <w:rPr>
                      <w:sz w:val="16"/>
                      <w:color w:val="173E34"/>
                    </w:rPr>
                    <m:rPr>
                      <m:sty m:val="p"/>
                    </m:rPr>
                    <m:t>m</m:t>
                  </m:r>
                </m:sup>
              </m:sSup>
              <m:r>
                <w:rPr>
                  <w:sz w:val="16"/>
                  <w:color w:val="173E34"/>
                </w:rPr>
                <m:rPr>
                  <m:sty m:val="p"/>
                </m:rPr>
                <m:t>,</m:t>
              </m:r>
              <m:r>
                <w:rPr>
                  <w:sz w:val="16"/>
                  <w:color w:val="173E34"/>
                </w:rPr>
                <m:t> </m:t>
              </m:r>
              <m:sSup>
                <m:e>
                  <m:r>
                    <w:rPr>
                      <w:sz w:val="16"/>
                      <w:color w:val="173E34"/>
                    </w:rPr>
                    <m:t>q</m:t>
                  </m:r>
                </m:e>
                <m:sup>
                  <m:r>
                    <w:rPr>
                      <w:sz w:val="16"/>
                      <w:color w:val="173E34"/>
                    </w:rPr>
                    <m:rPr>
                      <m:sty m:val="p"/>
                    </m:rPr>
                    <m:t>N</m:t>
                  </m:r>
                  <m:r>
                    <w:rPr>
                      <w:sz w:val="16"/>
                      <w:color w:val="173E34"/>
                    </w:rPr>
                    <m:rPr>
                      <m:sty m:val="p"/>
                    </m:rPr>
                    <m:t>E</m:t>
                  </m:r>
                  <m:r>
                    <w:rPr>
                      <w:sz w:val="16"/>
                      <w:color w:val="173E34"/>
                    </w:rPr>
                    <m:rPr>
                      <m:sty m:val="p"/>
                    </m:rPr>
                    <m:t>B</m:t>
                  </m:r>
                </m:sup>
              </m:sSup>
            </m:oMath>
          </w:p>
        </w:tc>
        <w:tc>
          <w:tcPr>
            <w:tcW w:type="dxa" w:w="3250"/>
            <w:tcMar>
              <w:top w:w="90" w:type="dxa"/>
              <w:bottom w:w="90" w:type="dxa"/>
              <w:left w:w="100" w:type="dxa"/>
              <w:right w:w="100" w:type="dxa"/>
            </w:tcMar>
            <w:vAlign w:val="center"/>
            <w:shd w:fill="E6F0EB"/>
          </w:tcPr>
          <w:p>
            <w:pPr>
              <w:keepNext/>
            </w:pPr>
            <w:r>
              <w:rPr>
                <w:rFonts w:ascii="Lato" w:hAnsi="Lato"/>
                <w:b/>
                <w:color w:val="173E34"/>
                <w:sz w:val="17"/>
              </w:rPr>
              <w:t>Evidence and decision reference</w:t>
            </w:r>
          </w:p>
          <w:p>
            <w:pPr>
              <w:keepNext/>
              <w:spacing w:before="40" w:after="40"/>
            </w:pPr>
            <m:oMath>
              <m:r>
                <w:rPr>
                  <w:sz w:val="16"/>
                  <w:color w:val="173E34"/>
                </w:rPr>
                <m:t>Δ</m:t>
              </m:r>
              <m:sSub>
                <m:e>
                  <m:r>
                    <w:rPr>
                      <w:sz w:val="16"/>
                      <w:color w:val="173E34"/>
                    </w:rPr>
                    <m:t>q</m:t>
                  </m:r>
                </m:e>
                <m:sub>
                  <m:r>
                    <w:rPr>
                      <w:sz w:val="16"/>
                      <w:color w:val="173E34"/>
                    </w:rPr>
                    <m:rPr>
                      <m:sty m:val="p"/>
                    </m:rPr>
                    <m:t>b</m:t>
                  </m:r>
                  <m:r>
                    <w:rPr>
                      <w:sz w:val="16"/>
                      <w:color w:val="173E34"/>
                    </w:rPr>
                    <m:rPr>
                      <m:sty m:val="p"/>
                    </m:rPr>
                    <m:t>a</m:t>
                  </m:r>
                  <m:r>
                    <w:rPr>
                      <w:sz w:val="16"/>
                      <w:color w:val="173E34"/>
                    </w:rPr>
                    <m:rPr>
                      <m:sty m:val="p"/>
                    </m:rPr>
                    <m:t>s</m:t>
                  </m:r>
                  <m:r>
                    <w:rPr>
                      <w:sz w:val="16"/>
                      <w:color w:val="173E34"/>
                    </w:rPr>
                    <m:rPr>
                      <m:sty m:val="p"/>
                    </m:rPr>
                    <m:t>i</m:t>
                  </m:r>
                  <m:r>
                    <w:rPr>
                      <w:sz w:val="16"/>
                      <w:color w:val="173E34"/>
                    </w:rPr>
                    <m:rPr>
                      <m:sty m:val="p"/>
                    </m:rPr>
                    <m:t>s</m:t>
                  </m:r>
                </m:sub>
              </m:sSub>
              <m:r>
                <w:rPr>
                  <w:sz w:val="16"/>
                  <w:color w:val="173E34"/>
                </w:rPr>
                <m:rPr>
                  <m:sty m:val="p"/>
                </m:rPr>
                <m:t>,</m:t>
              </m:r>
              <m:r>
                <w:rPr>
                  <w:sz w:val="16"/>
                  <w:color w:val="173E34"/>
                </w:rPr>
                <m:t> </m:t>
              </m:r>
              <m:r>
                <w:rPr>
                  <w:sz w:val="16"/>
                  <w:color w:val="173E34"/>
                </w:rPr>
                <m:t>Δ</m:t>
              </m:r>
              <m:sSub>
                <m:e>
                  <m:r>
                    <w:rPr>
                      <w:sz w:val="16"/>
                      <w:color w:val="173E34"/>
                    </w:rPr>
                    <m:t>q</m:t>
                  </m:r>
                </m:e>
                <m:sub>
                  <m:r>
                    <w:rPr>
                      <w:sz w:val="16"/>
                      <w:color w:val="173E34"/>
                    </w:rPr>
                    <m:rPr>
                      <m:sty m:val="p"/>
                    </m:rPr>
                    <m:t>m</m:t>
                  </m:r>
                  <m:r>
                    <w:rPr>
                      <w:sz w:val="16"/>
                      <w:color w:val="173E34"/>
                    </w:rPr>
                    <m:rPr>
                      <m:sty m:val="p"/>
                    </m:rPr>
                    <m:t>e</m:t>
                  </m:r>
                  <m:r>
                    <w:rPr>
                      <w:sz w:val="16"/>
                      <w:color w:val="173E34"/>
                    </w:rPr>
                    <m:rPr>
                      <m:sty m:val="p"/>
                    </m:rPr>
                    <m:t>t</m:t>
                  </m:r>
                  <m:r>
                    <w:rPr>
                      <w:sz w:val="16"/>
                      <w:color w:val="173E34"/>
                    </w:rPr>
                    <m:rPr>
                      <m:sty m:val="p"/>
                    </m:rPr>
                    <m:t>h</m:t>
                  </m:r>
                  <m:r>
                    <w:rPr>
                      <w:sz w:val="16"/>
                      <w:color w:val="173E34"/>
                    </w:rPr>
                    <m:rPr>
                      <m:sty m:val="p"/>
                    </m:rPr>
                    <m:t>o</m:t>
                  </m:r>
                  <m:r>
                    <w:rPr>
                      <w:sz w:val="16"/>
                      <w:color w:val="173E34"/>
                    </w:rPr>
                    <m:rPr>
                      <m:sty m:val="p"/>
                    </m:rPr>
                    <m:t>d</m:t>
                  </m:r>
                </m:sub>
              </m:sSub>
            </m:oMath>
          </w:p>
        </w:tc>
      </w:tr>
      <w:tr>
        <w:trPr>
          <w:trHeight w:val="510"/>
        </w:trPr>
        <w:tc>
          <w:tcPr>
            <w:tcW w:type="dxa" w:w="3250"/>
            <w:tcMar>
              <w:top w:w="90" w:type="dxa"/>
              <w:bottom w:w="90" w:type="dxa"/>
              <w:left w:w="100" w:type="dxa"/>
              <w:right w:w="100" w:type="dxa"/>
            </w:tcMar>
            <w:shd w:fill="F1F5F2"/>
          </w:tcPr>
          <w:p>
            <w:pPr>
              <w:keepNext/>
              <w:spacing w:after="20"/>
            </w:pPr>
            <w:sdt>
              <w:sdtPr>
                <w:alias w:val="account_annex-3-EN-1-1"/>
                <w:tag w:val="account_annex-3-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keepNext/>
              <w:spacing w:after="20"/>
            </w:pPr>
            <w:sdt>
              <w:sdtPr>
                <w:alias w:val="account_annex-3-EN-1-2"/>
                <w:tag w:val="account_annex-3-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keepNext/>
              <w:spacing w:after="20"/>
            </w:pPr>
            <w:sdt>
              <w:sdtPr>
                <w:alias w:val="account_annex-3-EN-1-3"/>
                <w:tag w:val="account_annex-3-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keepNext w:val="0"/>
              <w:spacing w:after="20"/>
            </w:pPr>
            <w:sdt>
              <w:sdtPr>
                <w:alias w:val="account_annex-3-EN-2-1"/>
                <w:tag w:val="account_annex-3-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keepNext w:val="0"/>
              <w:spacing w:after="20"/>
            </w:pPr>
            <w:sdt>
              <w:sdtPr>
                <w:alias w:val="account_annex-3-EN-2-2"/>
                <w:tag w:val="account_annex-3-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keepNext w:val="0"/>
              <w:spacing w:after="20"/>
            </w:pPr>
            <w:sdt>
              <w:sdtPr>
                <w:alias w:val="account_annex-3-EN-2-3"/>
                <w:tag w:val="account_annex-3-EN-2-3"/>
                <w:text/>
              </w:sdtPr>
              <w:sdtContent>
                <w:r>
                  <w:rPr>
                    <w:rFonts w:ascii="Lato" w:hAnsi="Lato"/>
                    <w:sz w:val="18"/>
                    <w:color w:val="62716E"/>
                  </w:rPr>
                  <w:t>[Complete]</w:t>
                </w:r>
              </w:sdtContent>
            </w:sdt>
          </w:p>
        </w:tc>
      </w:tr>
    </w:tbl>
    <w:p>
      <w:bookmarkStart w:id="99001" w:name="calc_register"/>
      <w:pPr>
        <w:pStyle w:val="Heading1"/>
        <w:keepNext/>
        <w:pageBreakBefore/>
      </w:pPr>
      <w:r>
        <w:t>CALC — Calculation traceability and notation</w:t>
      </w:r>
      <w:bookmarkEnd w:id="99001"/>
    </w:p>
    <w:p>
      <w:pPr>
        <w:spacing w:after="100"/>
      </w:pPr>
      <w:r>
        <w:t>Record each calculated quantity as a uniquely identified row. Retain the exact source expression and a separate expression for any NEBIOT adaptation. A translated label does not change a formula. Units, included pools, sign convention, observation period, input status, and mathematical domain are part of the calculation record. An administrative table does not need an invented equation. Source-defined variables that remain ambiguous require clarification rather than an assumed meaning.</w:t>
      </w:r>
    </w:p>
    <w:p>
      <w:pPr>
        <w:pStyle w:val="Heading2"/>
        <w:keepNext/>
        <w:spacing w:after="100"/>
      </w:pPr>
      <w:r>
        <w:t>Indices and status</w:t>
      </w:r>
    </w:p>
    <w:p>
      <w:pPr>
        <w:spacing w:after="100"/>
      </w:pPr>
      <w:r>
        <w:t>EA = dated forecast; EP = reporting-period account; t = interval; i,j = declared strata or classes; o = disjoint organ or pool; g = gas; tau = disturbance cohort; l = calculation/component row.</w:t>
      </w:r>
    </w:p>
    <w:p>
      <w:pPr>
        <w:pStyle w:val="Heading2"/>
        <w:keepNext/>
        <w:spacing w:after="100"/>
      </w:pPr>
      <w:r>
        <w:t>One calculation record — repeat for each result</w:t>
      </w:r>
    </w:p>
    <w:tbl>
      <w:tblPr>
        <w:tblW w:type="auto" w:w="0"/>
        <w:tblLayout w:type="fixed"/>
        <w:tblLook w:firstColumn="1" w:firstRow="1" w:lastColumn="0" w:lastRow="0" w:noHBand="0" w:noVBand="1" w:val="04A0"/>
      </w:tblPr>
      <w:tblGrid>
        <w:gridCol w:w="3240"/>
        <w:gridCol w:w="6120"/>
      </w:tblGrid>
      <w:tr>
        <w:trPr/>
        <w:tc>
          <w:tcPr>
            <w:tcW w:type="dxa" w:w="4873"/>
            <w:shd w:fill="215F52"/>
          </w:tcPr>
          <w:p>
            <w:pPr>
              <w:spacing w:after="80"/>
            </w:pPr>
            <w:r>
              <w:rPr>
                <w:rFonts w:ascii="Lato" w:hAnsi="Lato"/>
                <w:b/>
                <w:color w:val="FFFFFF"/>
                <w:sz w:val="18"/>
              </w:rPr>
              <w:t>Field</w:t>
            </w:r>
          </w:p>
        </w:tc>
        <w:tc>
          <w:tcPr>
            <w:tcW w:type="dxa" w:w="4873"/>
            <w:shd w:fill="215F52"/>
          </w:tcPr>
          <w:p>
            <w:pPr>
              <w:spacing w:after="80"/>
            </w:pPr>
            <w:r>
              <w:rPr>
                <w:rFonts w:ascii="Lato" w:hAnsi="Lato"/>
                <w:b/>
                <w:color w:val="FFFFFF"/>
                <w:sz w:val="18"/>
              </w:rPr>
              <w:t>Record</w:t>
            </w:r>
          </w:p>
        </w:tc>
      </w:tr>
      <w:tr>
        <w:trPr/>
        <w:tc>
          <w:tcPr>
            <w:tcW w:type="dxa" w:w="3240"/>
          </w:tcPr>
          <w:p>
            <w:pPr>
              <w:spacing w:after="80"/>
            </w:pPr>
            <w:r>
              <w:rPr>
                <w:rFonts w:ascii="Lato" w:hAnsi="Lato"/>
                <w:sz w:val="18"/>
              </w:rPr>
              <w:t>Calculation row / symbol</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Definition and intended use</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Exact source file / version / fingerprint</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Worksheet / cell or raw record ID</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Original expression and original unit</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Inputs: symbols, values, units and periods</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Receiving equation / standard identifier</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Transformation, conversion and rationale</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Unrounded intermediate and final values</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Report table / row / output location</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Recalculation difference / tolerance basis</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Independent reviewer / finding / disposition</w:t>
            </w:r>
          </w:p>
        </w:tc>
        <w:tc>
          <w:tcPr>
            <w:tcW w:type="dxa" w:w="6120"/>
          </w:tcPr>
          <w:p>
            <w:pPr>
              <w:spacing w:after="80"/>
            </w:pPr>
            <w:r>
              <w:rPr>
                <w:rFonts w:ascii="Lato" w:hAnsi="Lato"/>
                <w:sz w:val="18"/>
              </w:rPr>
              <w:t>[Complete]</w:t>
            </w:r>
          </w:p>
        </w:tc>
      </w:tr>
    </w:tbl>
    <w:p>
      <w:pPr>
        <w:pStyle w:val="Heading2"/>
        <w:keepNext/>
        <w:spacing w:after="100"/>
      </w:pPr>
      <w:r>
        <w:t>Arithmetic comparison, not materiality</w:t>
      </w:r>
    </w:p>
    <w:p>
      <w:pPr>
        <w:spacing w:after="100"/>
      </w:pPr>
      <m:oMath>
        <m:sSub>
          <m:e>
            <m:r>
              <w:rPr>
                <w:sz w:val="20"/>
              </w:rPr>
              <m:t>δ</m:t>
            </m:r>
          </m:e>
          <m:sub>
            <m:r>
              <w:rPr>
                <w:sz w:val="20"/>
              </w:rPr>
              <m:rPr>
                <m:sty m:val="p"/>
              </m:rPr>
              <m:t>ℓ</m:t>
            </m:r>
          </m:sub>
        </m:sSub>
        <m:r>
          <w:rPr>
            <w:sz w:val="20"/>
          </w:rPr>
          <m:rPr>
            <m:sty m:val="p"/>
          </m:rPr>
          <m:t>=</m:t>
        </m:r>
        <m:sSubSup>
          <m:e>
            <m:r>
              <w:rPr>
                <w:sz w:val="20"/>
              </w:rPr>
              <m:t>v</m:t>
            </m:r>
          </m:e>
          <m:sub>
            <m:r>
              <w:rPr>
                <w:sz w:val="20"/>
              </w:rPr>
              <m:rPr>
                <m:sty m:val="p"/>
              </m:rPr>
              <m:t>ℓ</m:t>
            </m:r>
          </m:sub>
          <m:sup>
            <m:r>
              <w:rPr>
                <w:sz w:val="20"/>
              </w:rPr>
              <m:rPr>
                <m:sty m:val="p"/>
              </m:rPr>
              <m:t>r</m:t>
            </m:r>
            <m:r>
              <w:rPr>
                <w:sz w:val="20"/>
              </w:rPr>
              <m:rPr>
                <m:sty m:val="p"/>
              </m:rPr>
              <m:t>e</m:t>
            </m:r>
            <m:r>
              <w:rPr>
                <w:sz w:val="20"/>
              </w:rPr>
              <m:rPr>
                <m:sty m:val="p"/>
              </m:rPr>
              <m:t>c</m:t>
            </m:r>
            <m:r>
              <w:rPr>
                <w:sz w:val="20"/>
              </w:rPr>
              <m:rPr>
                <m:sty m:val="p"/>
              </m:rPr>
              <m:t>a</m:t>
            </m:r>
            <m:r>
              <w:rPr>
                <w:sz w:val="20"/>
              </w:rPr>
              <m:rPr>
                <m:sty m:val="p"/>
              </m:rPr>
              <m:t>l</m:t>
            </m:r>
            <m:r>
              <w:rPr>
                <w:sz w:val="20"/>
              </w:rPr>
              <m:rPr>
                <m:sty m:val="p"/>
              </m:rPr>
              <m:t>c</m:t>
            </m:r>
          </m:sup>
        </m:sSubSup>
        <m:r>
          <w:rPr>
            <w:sz w:val="20"/>
          </w:rPr>
          <m:rPr>
            <m:sty m:val="p"/>
          </m:rPr>
          <m:t>−</m:t>
        </m:r>
        <m:sSubSup>
          <m:e>
            <m:r>
              <w:rPr>
                <w:sz w:val="20"/>
              </w:rPr>
              <m:t>v</m:t>
            </m:r>
          </m:e>
          <m:sub>
            <m:r>
              <w:rPr>
                <w:sz w:val="20"/>
              </w:rPr>
              <m:rPr>
                <m:sty m:val="p"/>
              </m:rPr>
              <m:t>ℓ</m:t>
            </m:r>
          </m:sub>
          <m:sup>
            <m:r>
              <w:rPr>
                <w:sz w:val="20"/>
              </w:rPr>
              <m:rPr>
                <m:sty m:val="p"/>
              </m:rPr>
              <m:t>r</m:t>
            </m:r>
            <m:r>
              <w:rPr>
                <w:sz w:val="20"/>
              </w:rPr>
              <m:rPr>
                <m:sty m:val="p"/>
              </m:rPr>
              <m:t>e</m:t>
            </m:r>
            <m:r>
              <w:rPr>
                <w:sz w:val="20"/>
              </w:rPr>
              <m:rPr>
                <m:sty m:val="p"/>
              </m:rPr>
              <m:t>f</m:t>
            </m:r>
            <m:r>
              <w:rPr>
                <w:sz w:val="20"/>
              </w:rPr>
              <m:rPr>
                <m:sty m:val="p"/>
              </m:rPr>
              <m:t>e</m:t>
            </m:r>
            <m:r>
              <w:rPr>
                <w:sz w:val="20"/>
              </w:rPr>
              <m:rPr>
                <m:sty m:val="p"/>
              </m:rPr>
              <m:t>r</m:t>
            </m:r>
            <m:r>
              <w:rPr>
                <w:sz w:val="20"/>
              </w:rPr>
              <m:rPr>
                <m:sty m:val="p"/>
              </m:rPr>
              <m:t>e</m:t>
            </m:r>
            <m:r>
              <w:rPr>
                <w:sz w:val="20"/>
              </w:rPr>
              <m:rPr>
                <m:sty m:val="p"/>
              </m:rPr>
              <m:t>n</m:t>
            </m:r>
            <m:r>
              <w:rPr>
                <w:sz w:val="20"/>
              </w:rPr>
              <m:rPr>
                <m:sty m:val="p"/>
              </m:rPr>
              <m:t>c</m:t>
            </m:r>
            <m:r>
              <w:rPr>
                <w:sz w:val="20"/>
              </w:rPr>
              <m:rPr>
                <m:sty m:val="p"/>
              </m:rPr>
              <m:t>e</m:t>
            </m:r>
          </m:sup>
        </m:sSubSup>
      </m:oMath>
    </w:p>
    <w:p>
      <w:pPr>
        <w:spacing w:after="100"/>
      </w:pPr>
      <m:oMath>
        <m:d>
          <m:dPr>
            <m:begChr m:val="|"/>
            <m:endChr m:val="|"/>
            <m:sepChr m:val=""/>
            <m:grow/>
          </m:dPr>
          <m:e>
            <m:sSub>
              <m:e>
                <m:r>
                  <w:rPr>
                    <w:sz w:val="20"/>
                  </w:rPr>
                  <m:t>δ</m:t>
                </m:r>
              </m:e>
              <m:sub>
                <m:r>
                  <w:rPr>
                    <w:sz w:val="20"/>
                  </w:rPr>
                  <m:rPr>
                    <m:sty m:val="p"/>
                  </m:rPr>
                  <m:t>ℓ</m:t>
                </m:r>
              </m:sub>
            </m:sSub>
          </m:e>
        </m:d>
        <m:r>
          <w:rPr>
            <w:sz w:val="20"/>
          </w:rPr>
          <m:rPr>
            <m:sty m:val="p"/>
          </m:rPr>
          <m:t>≤</m:t>
        </m:r>
        <m:sSub>
          <m:e>
            <m:r>
              <w:rPr>
                <w:sz w:val="20"/>
              </w:rPr>
              <m:t>ε</m:t>
            </m:r>
          </m:e>
          <m:sub>
            <m:r>
              <w:rPr>
                <w:sz w:val="20"/>
              </w:rPr>
              <m:t>a</m:t>
            </m:r>
          </m:sub>
        </m:sSub>
        <m:r>
          <w:rPr>
            <w:sz w:val="20"/>
          </w:rPr>
          <m:rPr>
            <m:sty m:val="p"/>
          </m:rPr>
          <m:t>+</m:t>
        </m:r>
        <m:sSub>
          <m:e>
            <m:r>
              <w:rPr>
                <w:sz w:val="20"/>
              </w:rPr>
              <m:t>ε</m:t>
            </m:r>
          </m:e>
          <m:sub>
            <m:r>
              <w:rPr>
                <w:sz w:val="20"/>
              </w:rPr>
              <m:t>r</m:t>
            </m:r>
          </m:sub>
        </m:sSub>
        <m:d>
          <m:dPr>
            <m:begChr m:val="|"/>
            <m:endChr m:val="|"/>
            <m:sepChr m:val=""/>
            <m:grow/>
          </m:dPr>
          <m:e>
            <m:sSubSup>
              <m:e>
                <m:r>
                  <w:rPr>
                    <w:sz w:val="20"/>
                  </w:rPr>
                  <m:t>v</m:t>
                </m:r>
              </m:e>
              <m:sub>
                <m:r>
                  <w:rPr>
                    <w:sz w:val="20"/>
                  </w:rPr>
                  <m:rPr>
                    <m:sty m:val="p"/>
                  </m:rPr>
                  <m:t>ℓ</m:t>
                </m:r>
              </m:sub>
              <m:sup>
                <m:r>
                  <w:rPr>
                    <w:sz w:val="20"/>
                  </w:rPr>
                  <m:rPr>
                    <m:sty m:val="p"/>
                  </m:rPr>
                  <m:t>r</m:t>
                </m:r>
                <m:r>
                  <w:rPr>
                    <w:sz w:val="20"/>
                  </w:rPr>
                  <m:rPr>
                    <m:sty m:val="p"/>
                  </m:rPr>
                  <m:t>e</m:t>
                </m:r>
                <m:r>
                  <w:rPr>
                    <w:sz w:val="20"/>
                  </w:rPr>
                  <m:rPr>
                    <m:sty m:val="p"/>
                  </m:rPr>
                  <m:t>f</m:t>
                </m:r>
                <m:r>
                  <w:rPr>
                    <w:sz w:val="20"/>
                  </w:rPr>
                  <m:rPr>
                    <m:sty m:val="p"/>
                  </m:rPr>
                  <m:t>e</m:t>
                </m:r>
                <m:r>
                  <w:rPr>
                    <w:sz w:val="20"/>
                  </w:rPr>
                  <m:rPr>
                    <m:sty m:val="p"/>
                  </m:rPr>
                  <m:t>r</m:t>
                </m:r>
                <m:r>
                  <w:rPr>
                    <w:sz w:val="20"/>
                  </w:rPr>
                  <m:rPr>
                    <m:sty m:val="p"/>
                  </m:rPr>
                  <m:t>e</m:t>
                </m:r>
                <m:r>
                  <w:rPr>
                    <w:sz w:val="20"/>
                  </w:rPr>
                  <m:rPr>
                    <m:sty m:val="p"/>
                  </m:rPr>
                  <m:t>n</m:t>
                </m:r>
                <m:r>
                  <w:rPr>
                    <w:sz w:val="20"/>
                  </w:rPr>
                  <m:rPr>
                    <m:sty m:val="p"/>
                  </m:rPr>
                  <m:t>c</m:t>
                </m:r>
                <m:r>
                  <w:rPr>
                    <w:sz w:val="20"/>
                  </w:rPr>
                  <m:rPr>
                    <m:sty m:val="p"/>
                  </m:rPr>
                  <m:t>e</m:t>
                </m:r>
              </m:sup>
            </m:sSubSup>
          </m:e>
        </m:d>
      </m:oMath>
    </w:p>
    <w:p>
      <w:pPr>
        <w:spacing w:after="100"/>
      </w:pPr>
      <w:r>
        <w:t>The absolute tolerance has the result unit; the relative tolerance is dimensionless. These are software-comparison settings, not materiality thresholds. Compare unrounded values. Reproduce the source method first, and record any harmonization or methodological change separately.</w:t>
      </w:r>
    </w:p>
    <w:sectPr w:rsidR="00FC693F" w:rsidRPr="0006063C" w:rsidSect="00034616">
      <w:headerReference w:type="default" r:id="rId9"/>
      <w:footerReference w:type="default" r:id="rId10"/>
      <w:pgSz w:w="11906" w:h="16838"/>
      <w:pgMar w:top="936" w:right="1080" w:bottom="950" w:left="1080"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49" w:val="right"/>
      </w:tabs>
      <w:spacing w:before="60"/>
      <w:pBdr>
        <w:top w:val="single" w:sz="4" w:color="C9D5CE" w:space="5"/>
      </w:pBdr>
    </w:pPr>
    <w:r>
      <w:rPr>
        <w:rFonts w:ascii="Arial" w:hAnsi="Arial"/>
        <w:b w:val="0"/>
        <w:i w:val="0"/>
        <w:color w:val="62716E"/>
        <w:sz w:val="14"/>
      </w:rPr>
      <w:t>TEMPLATE 1.2  /  PREFEASIBILITY  /  NEBIOT 0.8.2</w:t>
    </w:r>
    <w:r>
      <w:tab/>
    </w:r>
    <w:r>
      <w:rPr>
        <w:rFonts w:ascii="Arial" w:hAnsi="Arial"/>
        <w:b w:val="0"/>
        <w:i w:val="0"/>
        <w:color w:val="62716E"/>
        <w:sz w:val="14"/>
      </w:rPr>
      <w:t xml:space="preserve">Page </w:t>
    </w:r>
    <w:fldSimple w:instr="PAGE">
      <w:r>
        <w:t>1</w:t>
      </w:r>
    </w:fldSimple>
    <w:r>
      <w:t xml:space="preserve"> /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749" w:val="right"/>
      </w:tabs>
      <w:spacing w:after="60"/>
      <w:pBdr>
        <w:bottom w:val="single" w:sz="4" w:color="C9D5CE" w:space="5"/>
      </w:pBdr>
    </w:pPr>
    <w:r>
      <w:rPr>
        <w:rFonts w:ascii="Arial" w:hAnsi="Arial"/>
        <w:b/>
        <w:i w:val="0"/>
        <w:color w:val="215F52"/>
        <w:sz w:val="16"/>
      </w:rPr>
      <w:t>NEBIOT   /   PREFEASIBILITY STUDY</w:t>
    </w:r>
    <w:r>
      <w:tab/>
    </w:r>
    <w:r>
      <w:rPr>
        <w:rFonts w:ascii="Arial" w:hAnsi="Arial"/>
        <w:b w:val="0"/>
        <w:i w:val="0"/>
        <w:color w:val="62716E"/>
        <w:sz w:val="16"/>
      </w:rPr>
      <w:t>EN   |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heme="majorHAnsi" w:eastAsiaTheme="majorEastAsia" w:hAnsiTheme="majorHAnsi" w:cstheme="majorBidi" w:ascii="Georgia" w:hAnsi="Georgia"/>
      <w:b/>
      <w:bCs/>
      <w:color w:val="215F52"/>
      <w:sz w:val="38"/>
      <w:szCs w:val="28"/>
    </w:rPr>
  </w:style>
  <w:style w:type="paragraph" w:styleId="Heading2">
    <w:name w:val="heading 2"/>
    <w:basedOn w:val="Normal"/>
    <w:next w:val="Normal"/>
    <w:link w:val="Heading2Char"/>
    <w:uiPriority w:val="9"/>
    <w:unhideWhenUsed/>
    <w:qFormat/>
    <w:rsid w:val="00FC693F"/>
    <w:pPr>
      <w:keepNext/>
      <w:keepLines/>
      <w:spacing w:before="140" w:after="140"/>
      <w:outlineLvl w:val="1"/>
    </w:pPr>
    <w:rPr>
      <w:rFonts w:asciiTheme="majorHAnsi" w:eastAsiaTheme="majorEastAsia" w:hAnsiTheme="majorHAnsi" w:cstheme="majorBidi" w:ascii="Arial" w:hAnsi="Arial"/>
      <w:b/>
      <w:bCs/>
      <w:color w:val="215F52"/>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140"/>
      <w:contextualSpacing/>
    </w:pPr>
    <w:rPr>
      <w:rFonts w:asciiTheme="majorHAnsi" w:eastAsiaTheme="majorEastAsia" w:hAnsiTheme="majorHAnsi" w:cstheme="majorBidi" w:ascii="Georgia" w:hAnsi="Georgia"/>
      <w:color w:val="215F5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Prefeasibility Study — NEBIOT template 1.0</dc:title>
  <dc:subject>NEBIOT Standard 0.8.2 — Prefeasibility — EN</dc:subject>
  <dc:creator>Henry Arellano-Peña</dc:creator>
  <cp:keywords>NEBIOT, Prefeasibility, template</cp:keywords>
  <dc:description/>
  <cp:lastModifiedBy>NEBIOT</cp:lastModifiedBy>
  <cp:revision>1</cp:revision>
  <dcterms:created xsi:type="dcterms:W3CDTF">2026-09-25T00:00:00Z</dcterms:created>
  <dcterms:modified xsi:type="dcterms:W3CDTF">2026-09-25T00:00:00Z</dcterms:modified>
  <cp:category>Project documentation template</cp:category>
  <cp:version>1.2</cp:version>
</cp:coreProperties>
</file>