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Estudio de prefactibilidad</w:t>
      </w:r>
    </w:p>
    <w:p>
      <w:pPr>
        <w:keepNext w:val="0"/>
        <w:spacing w:after="180" w:line="259" w:lineRule="auto"/>
      </w:pPr>
      <w:r>
        <w:rPr>
          <w:rFonts w:ascii="Arial" w:hAnsi="Arial"/>
          <w:b w:val="0"/>
          <w:i/>
          <w:color w:val="215F52"/>
          <w:sz w:val="21"/>
        </w:rPr>
        <w:t>PREFACTIBILIDAD • Alternativas y diseño del estudio</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Descripción del Proyecto.</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Prefeasibility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CYC-03</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line="252" w:lineRule="auto"/>
      </w:pPr>
      <w:hyperlink w:anchor="Section_1">
        <w:r>
          <w:rPr>
            <w:rFonts w:ascii="Arial" w:hAnsi="Arial"/>
            <w:sz w:val="19"/>
            <w:color w:val="215F52"/>
          </w:rPr>
          <w:t>01  Entrega NIP y alcance del estudio</w:t>
        </w:r>
      </w:hyperlink>
    </w:p>
    <w:p>
      <w:pPr>
        <w:spacing w:after="60" w:line="252" w:lineRule="auto"/>
      </w:pPr>
      <w:hyperlink w:anchor="Section_2">
        <w:r>
          <w:rPr>
            <w:rFonts w:ascii="Arial" w:hAnsi="Arial"/>
            <w:sz w:val="19"/>
            <w:color w:val="215F52"/>
          </w:rPr>
          <w:t>02  Territorio, condición inicial y evidencia espacial</w:t>
        </w:r>
      </w:hyperlink>
    </w:p>
    <w:p>
      <w:pPr>
        <w:spacing w:after="60" w:line="252" w:lineRule="auto"/>
      </w:pPr>
      <w:hyperlink w:anchor="Section_3">
        <w:r>
          <w:rPr>
            <w:rFonts w:ascii="Arial" w:hAnsi="Arial"/>
            <w:sz w:val="19"/>
            <w:color w:val="215F52"/>
          </w:rPr>
          <w:t>03  Alternativas, causas y adicionalidad inicial</w:t>
        </w:r>
      </w:hyperlink>
    </w:p>
    <w:p>
      <w:pPr>
        <w:spacing w:after="60" w:line="252" w:lineRule="auto"/>
      </w:pPr>
      <w:hyperlink w:anchor="Section_4">
        <w:r>
          <w:rPr>
            <w:rFonts w:ascii="Arial" w:hAnsi="Arial"/>
            <w:sz w:val="19"/>
            <w:color w:val="215F52"/>
          </w:rPr>
          <w:t>04  Selección metodológica e investigación de factibilidad</w:t>
        </w:r>
      </w:hyperlink>
    </w:p>
    <w:p>
      <w:pPr>
        <w:spacing w:after="60" w:line="252" w:lineRule="auto"/>
      </w:pPr>
      <w:hyperlink w:anchor="Section_5">
        <w:r>
          <w:rPr>
            <w:rFonts w:ascii="Arial" w:hAnsi="Arial"/>
            <w:sz w:val="19"/>
            <w:color w:val="215F52"/>
          </w:rPr>
          <w:t>05  Cuenta ambiental indicativa y sensibilidad</w:t>
        </w:r>
      </w:hyperlink>
    </w:p>
    <w:p>
      <w:pPr>
        <w:spacing w:after="60" w:line="252" w:lineRule="auto"/>
      </w:pPr>
      <w:hyperlink w:anchor="Section_6">
        <w:r>
          <w:rPr>
            <w:rFonts w:ascii="Arial" w:hAnsi="Arial"/>
            <w:sz w:val="19"/>
            <w:color w:val="215F52"/>
          </w:rPr>
          <w:t>06  Derechos, salvaguardas, traslapes y revisión de migración</w:t>
        </w:r>
      </w:hyperlink>
    </w:p>
    <w:p>
      <w:pPr>
        <w:spacing w:after="60" w:line="252" w:lineRule="auto"/>
      </w:pPr>
      <w:hyperlink w:anchor="Section_7">
        <w:r>
          <w:rPr>
            <w:rFonts w:ascii="Arial" w:hAnsi="Arial"/>
            <w:sz w:val="19"/>
            <w:color w:val="215F52"/>
          </w:rPr>
          <w:t>07  Riesgos, recursos y restricciones de ejecución</w:t>
        </w:r>
      </w:hyperlink>
    </w:p>
    <w:p>
      <w:pPr>
        <w:spacing w:after="60" w:line="252" w:lineRule="auto"/>
      </w:pPr>
      <w:hyperlink w:anchor="Section_8">
        <w:r>
          <w:rPr>
            <w:rFonts w:ascii="Arial" w:hAnsi="Arial"/>
            <w:sz w:val="19"/>
            <w:color w:val="215F52"/>
          </w:rPr>
          <w:t>08  Programa de factibilidad y recomendaciones</w:t>
        </w:r>
      </w:hyperlink>
    </w:p>
    <w:p>
      <w:pPr>
        <w:spacing w:after="60" w:line="252" w:lineRule="auto"/>
      </w:pPr>
      <w:hyperlink w:anchor="Section_9">
        <w:r>
          <w:rPr>
            <w:rFonts w:ascii="Arial" w:hAnsi="Arial"/>
            <w:sz w:val="19"/>
            <w:color w:val="215F52"/>
          </w:rPr>
          <w:t>09  Evidencia, anexos y referencias</w:t>
        </w:r>
      </w:hyperlink>
    </w:p>
    <w:p>
      <w:pPr>
        <w:spacing w:after="60" w:line="252" w:lineRule="auto"/>
      </w:pPr>
      <w:hyperlink w:anchor="Section_10">
        <w:r>
          <w:rPr>
            <w:rFonts w:ascii="Arial" w:hAnsi="Arial"/>
            <w:sz w:val="19"/>
            <w:color w:val="215F52"/>
          </w:rPr>
          <w:t>10  Presentación, revisión y decisión de etapa</w:t>
        </w:r>
      </w:hyperlink>
    </w:p>
    <w:p>
      <w:pPr>
        <w:spacing w:after="60"/>
      </w:pPr>
      <w:hyperlink w:anchor="account_annex">
        <w:r>
          <w:rPr>
            <w:color w:val="215F52"/>
          </w:rPr>
          <w:t>A. Anexos de cuentas ex ante, ex post y migración</w:t>
        </w:r>
      </w:hyperlink>
    </w:p>
    <w:p>
      <w:pPr>
        <w:spacing w:after="80"/>
      </w:pPr>
      <w:hyperlink w:anchor="calc_register" w:history="1">
        <w:r>
          <w:rPr>
            <w:color w:val="215F52"/>
          </w:rPr>
          <w:t>CALC  Trazabilidad y notación del cálculo</w:t>
        </w:r>
      </w:hyperlink>
    </w:p>
    <w:p>
      <w:r>
        <w:br w:type="page"/>
      </w:r>
    </w:p>
    <w:p>
      <w:bookmarkStart w:id="101" w:name="Section_1"/>
      <w:pPr>
        <w:pStyle w:val="Heading1"/>
        <w:keepNext/>
      </w:pPr>
      <w:r>
        <w:t>01  Entrega NIP y alcance del estudio</w:t>
      </w:r>
      <w:bookmarkEnd w:id="101"/>
    </w:p>
    <w:p>
      <w:pPr>
        <w:keepNext/>
        <w:spacing w:after="180" w:line="259" w:lineRule="auto"/>
      </w:pPr>
      <w:r>
        <w:rPr>
          <w:rFonts w:ascii="Arial" w:hAnsi="Arial"/>
          <w:b w:val="0"/>
          <w:i w:val="0"/>
          <w:color w:val="62716E"/>
          <w:sz w:val="15"/>
        </w:rPr>
        <w:t>[1] Referencia: CYC-01; CYC-03; S-18; S-25; FRM-06; FRM-07</w:t>
      </w:r>
    </w:p>
    <w:p>
      <w:pPr>
        <w:pStyle w:val="Heading2"/>
        <w:keepNext/>
      </w:pPr>
      <w:r>
        <w:t>Registro de etapa anterior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2145"/>
        <w:gridCol w:w="4192"/>
      </w:tblGrid>
      <w:tr>
        <w:trPr>
          <w:trHeight w:val="446" w:hRule="atLeast"/>
          <w:tblHeader/>
        </w:trPr>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NIP / decisión / evidencia</w:t>
            </w:r>
          </w:p>
        </w:tc>
        <w:tc>
          <w:tcPr>
            <w:tcW w:type="dxa" w:w="214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 y fecha</w:t>
            </w:r>
          </w:p>
        </w:tc>
        <w:tc>
          <w:tcPr>
            <w:tcW w:type="dxa" w:w="419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Condiciones y evidencia de cierre</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14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14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19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Objetivo, alternativas y exclusiones del estudio</w:t>
      </w:r>
    </w:p>
    <w:p>
      <w:pPr>
        <w:keepNext/>
        <w:spacing w:after="100" w:line="259" w:lineRule="auto"/>
      </w:pPr>
      <w:r>
        <w:rPr>
          <w:rFonts w:ascii="Arial" w:hAnsi="Arial"/>
          <w:b w:val="0"/>
          <w:i w:val="0"/>
          <w:color w:val="62716E"/>
          <w:sz w:val="18"/>
        </w:rPr>
        <w:t>Defina preguntas autorizadas, decisión que se informará, cobertura geográfica y límites de investigación. Explique cambios materiales desde la NIP.</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Registro de responsabilidades y autorizaciones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Función</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Entidad / responsable</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Mandato, alcance y evidencia</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Proponente del proyecto</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Titulares de derechos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Entidad ejecutora</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Responsable técnico NEBIOT</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Alcance del trabajo y facultades de acceso</w:t>
      </w:r>
    </w:p>
    <w:p>
      <w:pPr>
        <w:keepNext/>
        <w:spacing w:after="100" w:line="259" w:lineRule="auto"/>
      </w:pPr>
      <w:r>
        <w:rPr>
          <w:rFonts w:ascii="Arial" w:hAnsi="Arial"/>
          <w:b w:val="0"/>
          <w:i w:val="0"/>
          <w:color w:val="62716E"/>
          <w:sz w:val="18"/>
        </w:rPr>
        <w:t>Registre servicios NEBIOT contratados, información del ejecutor y acceso a evidencia. Los servicios técnicos no transfieren titularidad ni responsabilidad de ejecución.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Territorio, condición inicial y evidencia espacial</w:t>
      </w:r>
      <w:bookmarkEnd w:id="102"/>
    </w:p>
    <w:p>
      <w:pPr>
        <w:keepNext/>
        <w:spacing w:after="180" w:line="259" w:lineRule="auto"/>
      </w:pPr>
      <w:r>
        <w:rPr>
          <w:rFonts w:ascii="Arial" w:hAnsi="Arial"/>
          <w:b w:val="0"/>
          <w:i w:val="0"/>
          <w:color w:val="62716E"/>
          <w:sz w:val="15"/>
        </w:rPr>
        <w:t>[1] Referencia: S-03; S-06; S-07; MIG-13; MIG-14; FRM-04/M</w:t>
      </w:r>
    </w:p>
    <w:p>
      <w:pPr>
        <w:pStyle w:val="Heading2"/>
        <w:keepNext/>
      </w:pPr>
      <w:r>
        <w:t>Mapa del proyecto / evidencia espacial</w:t>
      </w:r>
    </w:p>
    <w:p>
      <w:pPr>
        <w:keepNext/>
        <w:spacing w:after="100" w:line="259" w:lineRule="auto"/>
      </w:pPr>
      <w:r>
        <w:rPr>
          <w:rFonts w:ascii="Arial" w:hAnsi="Arial"/>
          <w:b w:val="0"/>
          <w:i w:val="0"/>
          <w:color w:val="62716E"/>
          <w:sz w:val="17"/>
        </w:rPr>
        <w:t>Inserte un mapa legible. Identifique versión del límite, sistema de coordenadas, escala, fecha de observación, fuente, leyenda y restricciones de divulgación. Un mapa inicial no establece derechos ni el límite de un resultado.</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[INSERTAR MAPA DEL PROYECTO]</w:t>
            </w:r>
          </w:p>
        </w:tc>
      </w:tr>
    </w:tbl>
    <w:p>
      <w:pPr>
        <w:keepNext w:val="0"/>
        <w:spacing w:after="80" w:line="259" w:lineRule="auto"/>
      </w:pPr>
      <w:r>
        <w:rPr>
          <w:rFonts w:ascii="Arial" w:hAnsi="Arial"/>
          <w:b w:val="0"/>
          <w:i w:val="0"/>
          <w:color w:val="243A36"/>
          <w:sz w:val="2"/>
        </w:rPr>
      </w:r>
    </w:p>
    <w:p>
      <w:pPr>
        <w:pStyle w:val="Heading2"/>
        <w:keepNext/>
      </w:pPr>
      <w:r>
        <w:t>Ficha de datos espaciales</w:t>
      </w:r>
    </w:p>
    <w:p>
      <w:pPr>
        <w:keepNext/>
        <w:spacing w:before="40" w:after="60"/>
      </w:pPr>
      <w:r>
        <w:rPr>
          <w:rFonts w:ascii="Lato" w:hAnsi="Lato"/>
          <w:color w:val="315B50"/>
          <w:sz w:val="18"/>
        </w:rPr>
        <w:t>PREFEASIBILITY-T05 / Notación del cálculo</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es conteo de píxeles; a_cell es su área en m2; A es área en ha. La ruta PIXELS usa la conversión geométrica mostrada. El área directa es una entrada documentada. El cambio neto de clase no es deforestación bruta.</w:t>
      </w:r>
    </w:p>
    <w:p>
      <w:pPr>
        <w:keepNext/>
        <w:spacing w:before="40" w:after="60"/>
      </w:pPr>
      <w:r>
        <w:rPr>
          <w:rFonts w:ascii="Lato" w:hAnsi="Lato"/>
          <w:color w:val="315B50"/>
          <w:sz w:val="14"/>
        </w:rPr>
        <w:t>Base: M01; MIG-13; MIG-14 | Libro: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827"/>
        <w:gridCol w:w="3315"/>
        <w:gridCol w:w="3607"/>
      </w:tblGrid>
      <w:tr>
        <w:trPr>
          <w:trHeight w:val="446" w:hRule="atLeast"/>
          <w:tblHeader/>
        </w:trPr>
        <w:tc>
          <w:tcPr>
            <w:tcW w:type="dxa" w:w="282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Producto / versión / banda</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Unidades, ámbito y fechas</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360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Procesamiento, derechos y aplicabilidad</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Definición de bosque, ecosistemas y vacíos temporales</w:t>
      </w:r>
    </w:p>
    <w:p>
      <w:pPr>
        <w:keepNext/>
        <w:spacing w:after="100" w:line="259" w:lineRule="auto"/>
      </w:pPr>
      <w:r>
        <w:rPr>
          <w:rFonts w:ascii="Arial" w:hAnsi="Arial"/>
          <w:b w:val="0"/>
          <w:i w:val="0"/>
          <w:color w:val="62716E"/>
          <w:sz w:val="18"/>
        </w:rPr>
        <w:t>Describa estratos provisionales, definición de bosque, exclusiones y diferencia entre perturbación de cobertura arbórea y deforestación por uso del suelo. Identifique períodos faltantes y evidencia de referencia.</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Alternativas, causas y adicionalidad inicial</w:t>
      </w:r>
      <w:bookmarkEnd w:id="103"/>
    </w:p>
    <w:p>
      <w:pPr>
        <w:keepNext/>
        <w:spacing w:after="180" w:line="259" w:lineRule="auto"/>
      </w:pPr>
      <w:r>
        <w:rPr>
          <w:rFonts w:ascii="Arial" w:hAnsi="Arial"/>
          <w:b w:val="0"/>
          <w:i w:val="0"/>
          <w:color w:val="62716E"/>
          <w:sz w:val="15"/>
        </w:rPr>
        <w:t>[1] Referencia: S-08; S-09; AO-05; AO-06; AO-07; AO-10; FRM-01/AO</w:t>
      </w:r>
    </w:p>
    <w:p>
      <w:pPr>
        <w:pStyle w:val="Heading2"/>
        <w:keepNext/>
      </w:pPr>
      <w:r>
        <w:t>Alternativas plausibles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2925"/>
        <w:gridCol w:w="3510"/>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Alternativa / actividad / ámbito</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Credibilidad jurídica y práctica</w:t>
            </w:r>
          </w:p>
        </w:tc>
        <w:tc>
          <w:tcPr>
            <w:tcW w:type="dxa" w:w="351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barreras y prueba pendiente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Causas y mecanismo de intervención</w:t>
      </w:r>
    </w:p>
    <w:p>
      <w:pPr>
        <w:keepNext/>
        <w:spacing w:after="100" w:line="259" w:lineRule="auto"/>
      </w:pPr>
      <w:r>
        <w:rPr>
          <w:rFonts w:ascii="Arial" w:hAnsi="Arial"/>
          <w:b w:val="0"/>
          <w:i w:val="0"/>
          <w:color w:val="62716E"/>
          <w:sz w:val="18"/>
        </w:rPr>
        <w:t>Vincule cada intervención con la causa o restricción que busca cambiar. Separe uso actual, actividades preparatorias y conversión anticipada. No suponga amenaza uniforme en el territorio.</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Pruebas aplicables de adicionalidad y actividad existente</w:t>
      </w:r>
    </w:p>
    <w:p>
      <w:pPr>
        <w:keepNext/>
        <w:spacing w:after="100" w:line="259" w:lineRule="auto"/>
      </w:pPr>
      <w:r>
        <w:rPr>
          <w:rFonts w:ascii="Arial" w:hAnsi="Arial"/>
          <w:b w:val="0"/>
          <w:i w:val="0"/>
          <w:color w:val="62716E"/>
          <w:sz w:val="18"/>
        </w:rPr>
        <w:t>Identifique pruebas propuestas, práctica común, deberes jurídicos pertinentes, aspectos financieros cuando correspondan e intervenciones previas que afectan el contrafáctico. Indique evidencia necesaria en factibilidad.</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Selección metodológica e investigación de factibilidad</w:t>
      </w:r>
      <w:bookmarkEnd w:id="104"/>
    </w:p>
    <w:p>
      <w:pPr>
        <w:keepNext/>
        <w:spacing w:after="180" w:line="259" w:lineRule="auto"/>
      </w:pPr>
      <w:r>
        <w:rPr>
          <w:rFonts w:ascii="Arial" w:hAnsi="Arial"/>
          <w:b w:val="0"/>
          <w:i w:val="0"/>
          <w:color w:val="62716E"/>
          <w:sz w:val="15"/>
        </w:rPr>
        <w:t>[1] Referencia: S-01; S-02; T-11; T-12; T-13; MIG-15; MIG-16; FRM-08</w:t>
      </w:r>
    </w:p>
    <w:p>
      <w:pPr>
        <w:pStyle w:val="Heading2"/>
        <w:keepNext/>
      </w:pPr>
      <w:r>
        <w:t>Comparación de métodos y rutas de evidencia</w:t>
      </w:r>
    </w:p>
    <w:p>
      <w:pPr>
        <w:keepNext/>
        <w:spacing w:before="40" w:after="60"/>
      </w:pPr>
      <w:r>
        <w:rPr>
          <w:rFonts w:ascii="Lato" w:hAnsi="Lato"/>
          <w:color w:val="315B50"/>
          <w:sz w:val="18"/>
        </w:rPr>
        <w:t>PREFEASIBILITY-T07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Módulo / ruta A, B o C candidata</w:t>
            </w:r>
          </w:p>
          <w:p>
            <w:pPr>
              <w:spacing w:before="40" w:after="40"/>
            </w:pPr>
            <m:oMath>
              <m:sSub>
                <m:e>
                  <m:r>
                    <w:rPr>
                      <w:sz w:val="16"/>
                      <w:color w:val="173E34"/>
                    </w:rPr>
                    <m:t>x</m:t>
                  </m:r>
                </m:e>
                <m:sub>
                  <m:r>
                    <w:rPr>
                      <w:sz w:val="16"/>
                      <w:color w:val="173E34"/>
                    </w:rPr>
                    <m:rPr>
                      <m:sty m:val="p"/>
                    </m:rPr>
                    <m:t>ℓ</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conservada o requerida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Pruebas, limitaciones y recursos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Plan de campo y laboratorio para factibilidad</w:t>
      </w:r>
    </w:p>
    <w:p>
      <w:pPr>
        <w:keepNext/>
        <w:spacing w:before="40" w:after="60"/>
      </w:pPr>
      <w:r>
        <w:rPr>
          <w:rFonts w:ascii="Lato" w:hAnsi="Lato"/>
          <w:color w:val="315B50"/>
          <w:sz w:val="18"/>
        </w:rPr>
        <w:t>PREFEASIBILITY-T08 / Notación del cálculo</w:t>
      </w:r>
    </w:p>
    <w:p>
      <w:pPr>
        <w:keepNext/>
        <w:spacing w:before="40" w:after="60"/>
      </w:pPr>
      <m:oMath>
        <m:sSub>
          <m:e>
            <m:r>
              <w:rPr>
                <w:sz w:val="18"/>
              </w:rPr>
              <m:t>W</m:t>
            </m:r>
          </m:e>
          <m:sub>
            <m:r>
              <w:rPr>
                <w:sz w:val="18"/>
              </w:rPr>
              <m:t>i</m:t>
            </m:r>
          </m:sub>
        </m:sSub>
        <m:r>
          <w:rPr>
            <w:sz w:val="18"/>
          </w:rPr>
          <m:rPr>
            <m:sty m:val="p"/>
          </m:rPr>
          <m:t>=</m:t>
        </m:r>
        <m:f>
          <m:fPr>
            <m:type m:val="bar"/>
          </m:fPr>
          <m:num>
            <m:sSub>
              <m:e>
                <m:r>
                  <w:rPr>
                    <w:sz w:val="18"/>
                  </w:rPr>
                  <m:t>A</m:t>
                </m:r>
              </m:e>
              <m:sub>
                <m:r>
                  <w:rPr>
                    <w:sz w:val="18"/>
                  </w:rPr>
                  <m:t>i</m:t>
                </m:r>
              </m:sub>
            </m:sSub>
          </m:num>
          <m:den>
            <m:r>
              <w:rPr>
                <w:sz w:val="18"/>
              </w:rPr>
              <m:t>A</m:t>
            </m:r>
          </m:den>
        </m:f>
        <m:r>
          <w:rPr>
            <w:sz w:val="18"/>
          </w:rPr>
          <m:rPr>
            <m:sty m:val="p"/>
          </m:rPr>
          <m:t>,</m:t>
        </m:r>
        <m:r>
          <w:rPr>
            <w:sz w:val="18"/>
          </w:rPr>
          <m:t> </m:t>
        </m:r>
        <m:sSub>
          <m:e>
            <m:acc>
              <m:accPr>
                <m:chr m:val="̂"/>
              </m:accPr>
              <m:e>
                <m:r>
                  <w:rPr>
                    <w:sz w:val="18"/>
                  </w:rPr>
                  <m:t>p</m:t>
                </m:r>
              </m:e>
            </m:acc>
          </m:e>
          <m:sub>
            <m:r>
              <w:rPr>
                <w:sz w:val="18"/>
              </w:rPr>
              <m:t>i</m:t>
            </m:r>
            <m:r>
              <w:rPr>
                <w:sz w:val="18"/>
              </w:rPr>
              <m:t>j</m:t>
            </m:r>
          </m:sub>
        </m:sSub>
        <m:r>
          <w:rPr>
            <w:sz w:val="18"/>
          </w:rPr>
          <m:rPr>
            <m:sty m:val="p"/>
          </m:rPr>
          <m:t>=</m:t>
        </m:r>
        <m:f>
          <m:fPr>
            <m:type m:val="bar"/>
          </m:fPr>
          <m:num>
            <m:sSub>
              <m:e>
                <m:r>
                  <w:rPr>
                    <w:sz w:val="18"/>
                  </w:rPr>
                  <m:t>n</m:t>
                </m:r>
              </m:e>
              <m:sub>
                <m:r>
                  <w:rPr>
                    <w:sz w:val="18"/>
                  </w:rPr>
                  <m:t>i</m:t>
                </m:r>
                <m:r>
                  <w:rPr>
                    <w:sz w:val="18"/>
                  </w:rPr>
                  <m:t>j</m:t>
                </m:r>
              </m:sub>
            </m:sSub>
          </m:num>
          <m:den>
            <m:sSub>
              <m:e>
                <m:r>
                  <w:rPr>
                    <w:sz w:val="18"/>
                  </w:rPr>
                  <m:t>n</m:t>
                </m:r>
              </m:e>
              <m:sub>
                <m:r>
                  <w:rPr>
                    <w:sz w:val="18"/>
                  </w:rPr>
                  <m:t>i</m:t>
                </m:r>
              </m:sub>
            </m:sSub>
          </m:den>
        </m:f>
        <m:r>
          <w:rPr>
            <w:sz w:val="18"/>
          </w:rPr>
          <m:rPr>
            <m:sty m:val="p"/>
          </m:rPr>
          <m:t>,</m:t>
        </m:r>
        <m:r>
          <w:rPr>
            <w:sz w:val="18"/>
          </w:rPr>
          <m:t> </m:t>
        </m:r>
        <m:sSub>
          <m:e>
            <m:acc>
              <m:accPr>
                <m:chr m:val="̂"/>
              </m:accPr>
              <m:e>
                <m:r>
                  <w:rPr>
                    <w:sz w:val="18"/>
                  </w:rPr>
                  <m:t>A</m:t>
                </m:r>
              </m:e>
            </m:acc>
          </m:e>
          <m:sub>
            <m:r>
              <w:rPr>
                <w:sz w:val="18"/>
              </w:rPr>
              <m:t>j</m:t>
            </m:r>
          </m:sub>
        </m:sSub>
        <m:r>
          <w:rPr>
            <w:sz w:val="18"/>
          </w:rPr>
          <m:rPr>
            <m:sty m:val="p"/>
          </m:rPr>
          <m:t>=</m:t>
        </m:r>
        <m:r>
          <w:rPr>
            <w:sz w:val="18"/>
          </w:rPr>
          <m:t>A</m:t>
        </m:r>
        <m:nary>
          <m:naryPr>
            <m:chr m:val="∑"/>
            <m:limLoc m:val="undOvr"/>
            <m:subHide m:val="off"/>
            <m:supHide m:val="on"/>
          </m:naryPr>
          <m:sub>
            <m:r>
              <w:rPr>
                <w:sz w:val="18"/>
              </w:rPr>
              <m:t>i</m:t>
            </m:r>
          </m:sub>
          <m:sup>
            <m:r>
              <w:rPr>
                <w:sz w:val="18"/>
              </w:rPr>
              <m:t>​</m:t>
            </m:r>
          </m:sup>
          <m:e>
            <m:sSub>
              <m:e>
                <m:r>
                  <w:rPr>
                    <w:sz w:val="18"/>
                  </w:rPr>
                  <m:t>W</m:t>
                </m:r>
              </m:e>
              <m:sub>
                <m:r>
                  <w:rPr>
                    <w:sz w:val="18"/>
                  </w:rPr>
                  <m:t>i</m:t>
                </m:r>
              </m:sub>
            </m:sSub>
          </m:e>
        </m:nary>
        <m:sSub>
          <m:e>
            <m:acc>
              <m:accPr>
                <m:chr m:val="̂"/>
              </m:accPr>
              <m:e>
                <m:r>
                  <w:rPr>
                    <w:sz w:val="18"/>
                  </w:rPr>
                  <m:t>p</m:t>
                </m:r>
              </m:e>
            </m:acc>
          </m:e>
          <m:sub>
            <m:r>
              <w:rPr>
                <w:sz w:val="18"/>
              </w:rPr>
              <m:t>i</m:t>
            </m:r>
            <m:r>
              <w:rPr>
                <w:sz w:val="18"/>
              </w:rPr>
              <m:t>j</m:t>
            </m:r>
          </m:sub>
        </m:sSub>
      </m:oMath>
    </w:p>
    <w:p>
      <w:pPr>
        <w:keepNext/>
        <w:spacing w:before="40" w:after="60"/>
      </w:pPr>
      <w:r>
        <w:rPr>
          <w:rFonts w:ascii="Lato" w:hAnsi="Lato"/>
          <w:color w:val="315B50"/>
          <w:sz w:val="16"/>
        </w:rPr>
        <w:t>Aplicar diseño y dominio de M01.4. W_i es peso cartográfico del estrato, no peso estimado por defecto; n_ij y n_i son conteos de referencia. El libro contable no ajusta este estimador previo.</w:t>
      </w:r>
    </w:p>
    <w:p>
      <w:pPr>
        <w:keepNext/>
        <w:spacing w:before="40" w:after="60"/>
      </w:pPr>
      <w:r>
        <w:rPr>
          <w:rFonts w:ascii="Lato" w:hAnsi="Lato"/>
          <w:color w:val="315B50"/>
          <w:sz w:val="14"/>
        </w:rPr>
        <w:t>Base: M01.4; M01.5; T-03 | Libro: Evidence!G; Spatial!I; cálculo previo calificado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315"/>
        <w:gridCol w:w="3315"/>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Variable / población / estrato</w:t>
            </w:r>
          </w:p>
          <w:p>
            <w:pPr>
              <w:spacing w:before="40" w:after="40"/>
            </w:pPr>
            <m:oMath>
              <m:r>
                <w:rPr>
                  <w:sz w:val="16"/>
                  <w:color w:val="173E34"/>
                </w:rPr>
                <m:t>i</m:t>
              </m:r>
              <m:r>
                <w:rPr>
                  <w:sz w:val="16"/>
                  <w:color w:val="173E34"/>
                </w:rPr>
                <m:rPr>
                  <m:sty m:val="p"/>
                </m:rPr>
                <m:t>,</m:t>
              </m:r>
              <m:r>
                <w:rPr>
                  <w:sz w:val="16"/>
                  <w:color w:val="173E34"/>
                </w:rPr>
                <m:t> </m:t>
              </m:r>
              <m:r>
                <w:rPr>
                  <w:sz w:val="16"/>
                  <w:color w:val="173E34"/>
                </w:rPr>
                <m:t>j</m:t>
              </m:r>
              <m:r>
                <w:rPr>
                  <w:sz w:val="16"/>
                  <w:color w:val="173E34"/>
                </w:rPr>
                <m:rPr>
                  <m:sty m:val="p"/>
                </m:rPr>
                <m:t>,</m:t>
              </m:r>
              <m:r>
                <w:rPr>
                  <w:sz w:val="16"/>
                  <w:color w:val="173E34"/>
                </w:rPr>
                <m:t> </m:t>
              </m:r>
              <m:sSub>
                <m:e>
                  <m:r>
                    <w:rPr>
                      <w:sz w:val="16"/>
                      <w:color w:val="173E34"/>
                    </w:rPr>
                    <m:t>n</m:t>
                  </m:r>
                </m:e>
                <m:sub>
                  <m:r>
                    <w:rPr>
                      <w:sz w:val="16"/>
                      <w:color w:val="173E34"/>
                    </w:rPr>
                    <m:t>i</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Muestreo o reutilización calificada</w:t>
            </w:r>
          </w:p>
          <w:p>
            <w:pPr>
              <w:spacing w:before="40" w:after="40"/>
            </w:pPr>
            <m:oMath>
              <m:sSub>
                <m:e>
                  <m:r>
                    <w:rPr>
                      <w:sz w:val="16"/>
                      <w:color w:val="173E34"/>
                    </w:rPr>
                    <m:t>W</m:t>
                  </m:r>
                </m:e>
                <m:sub>
                  <m:r>
                    <w:rPr>
                      <w:sz w:val="16"/>
                      <w:color w:val="173E34"/>
                    </w:rPr>
                    <m:t>i</m:t>
                  </m:r>
                </m:sub>
              </m:sSub>
              <m:r>
                <w:rPr>
                  <w:sz w:val="16"/>
                  <w:color w:val="173E34"/>
                </w:rPr>
                <m:rPr>
                  <m:sty m:val="p"/>
                </m:rPr>
                <m:t>,</m:t>
              </m:r>
              <m:r>
                <w:rPr>
                  <w:sz w:val="16"/>
                  <w:color w:val="173E34"/>
                </w:rPr>
                <m:t> </m:t>
              </m:r>
              <m:sSub>
                <m:e>
                  <m:acc>
                    <m:accPr>
                      <m:chr m:val="̂"/>
                    </m:accPr>
                    <m:e>
                      <m:r>
                        <w:rPr>
                          <w:sz w:val="16"/>
                          <w:color w:val="173E34"/>
                        </w:rPr>
                        <m:t>p</m:t>
                      </m:r>
                    </m:e>
                  </m:acc>
                </m:e>
                <m:sub>
                  <m:r>
                    <w:rPr>
                      <w:sz w:val="16"/>
                      <w:color w:val="173E34"/>
                    </w:rPr>
                    <m:t>i</m:t>
                  </m:r>
                  <m:r>
                    <w:rPr>
                      <w:sz w:val="16"/>
                      <w:color w:val="173E34"/>
                    </w:rPr>
                    <m:t>j</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Controles / prueba independiente</w:t>
            </w:r>
          </w:p>
          <w:p>
            <w:pPr>
              <w:spacing w:before="40" w:after="40"/>
            </w:pPr>
            <m:oMath>
              <m:sSub>
                <m:e>
                  <m:acc>
                    <m:accPr>
                      <m:chr m:val="̂"/>
                    </m:accPr>
                    <m:e>
                      <m:r>
                        <w:rPr>
                          <w:sz w:val="16"/>
                          <w:color w:val="173E34"/>
                        </w:rPr>
                        <m:t>A</m:t>
                      </m:r>
                    </m:e>
                  </m:acc>
                </m:e>
                <m:sub>
                  <m:r>
                    <w:rPr>
                      <w:sz w:val="16"/>
                      <w:color w:val="173E34"/>
                    </w:rPr>
                    <m:t>j</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La ruta A corresponde a referencia material nueva; B a biblioteca reutilizable calificada; C a evidencia secundaria calificada o cuenta conservadora sustentada. La afirmación y evidencia determinan el trabajo; no se repite automáticamente toda la investigación.</w:t>
      </w:r>
    </w:p>
    <w:p>
      <w:pPr>
        <w:pStyle w:val="Heading2"/>
        <w:keepNext/>
      </w:pPr>
      <w:r>
        <w:t>Opción recomendada para investigación detallada</w:t>
      </w:r>
    </w:p>
    <w:p>
      <w:pPr>
        <w:keepNext/>
        <w:spacing w:after="100" w:line="259" w:lineRule="auto"/>
      </w:pPr>
      <w:r>
        <w:rPr>
          <w:rFonts w:ascii="Arial" w:hAnsi="Arial"/>
          <w:b w:val="0"/>
          <w:i w:val="0"/>
          <w:color w:val="62716E"/>
          <w:sz w:val="18"/>
        </w:rPr>
        <w:t>Explique opción preferida y alternativa si falla la evidencia. Registre trabajo previo a una estimación defendible.</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5" w:name="Section_5"/>
      <w:pPr>
        <w:pStyle w:val="Heading1"/>
        <w:keepNext/>
      </w:pPr>
      <w:r>
        <w:t>05  Cuenta ambiental indicativa y sensibilidad</w:t>
      </w:r>
      <w:bookmarkEnd w:id="105"/>
    </w:p>
    <w:p>
      <w:pPr>
        <w:keepNext/>
        <w:spacing w:after="180" w:line="259" w:lineRule="auto"/>
      </w:pPr>
      <w:r>
        <w:rPr>
          <w:rFonts w:ascii="Arial" w:hAnsi="Arial"/>
          <w:b w:val="0"/>
          <w:i w:val="0"/>
          <w:color w:val="62716E"/>
          <w:sz w:val="15"/>
        </w:rPr>
        <w:t>[1] Referencia: F-01; F-02; S-10; S-11; T-09; T-14; U-01; U-02</w:t>
      </w:r>
    </w:p>
    <w:p>
      <w:pPr>
        <w:pStyle w:val="Heading2"/>
        <w:keepNext/>
      </w:pPr>
      <w:r>
        <w:t>Cuenta de escenarios</w:t>
      </w:r>
    </w:p>
    <w:p>
      <w:pPr>
        <w:keepNext/>
        <w:spacing w:before="40" w:after="60"/>
      </w:pPr>
      <w:r>
        <w:rPr>
          <w:rFonts w:ascii="Lato" w:hAnsi="Lato"/>
          <w:color w:val="315B50"/>
          <w:sz w:val="18"/>
        </w:rPr>
        <w:t>PREFEASIBILITY-T09 / Notación del cálculo</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denota pronóstico fechado; EP denota cuenta del período reportado, no verificación automática. Todos los términos son masas del período con signo y soporte comparable. La cantidad precede incertidumbre, obligaciones previas, reserva y denominación.</w:t>
      </w:r>
    </w:p>
    <w:p>
      <w:pPr>
        <w:keepNext/>
        <w:spacing w:before="40" w:after="60"/>
      </w:pPr>
      <w:r>
        <w:rPr>
          <w:rFonts w:ascii="Lato" w:hAnsi="Lato"/>
          <w:color w:val="315B50"/>
          <w:sz w:val="14"/>
        </w:rPr>
        <w:t>Base: M04.5; F-R01 | Libro: ExAnte!F:I; ExPost!F:I</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2925"/>
        <w:gridCol w:w="380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Componente / ID de ecuación</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Valor o rango, unidad y período</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supuestos y estado</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Factores de sensibilidad e incertidumbre</w:t>
      </w:r>
    </w:p>
    <w:p>
      <w:pPr>
        <w:keepNext/>
        <w:spacing w:before="40" w:after="60"/>
      </w:pPr>
      <w:r>
        <w:rPr>
          <w:rFonts w:ascii="Lato" w:hAnsi="Lato"/>
          <w:color w:val="315B50"/>
          <w:sz w:val="18"/>
        </w:rPr>
        <w:t>PREFEASIBILITY-T10 / Notación del cálculo</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y L en esta identidad de varianza denotan estimadores de línea base, proyecto y fugas, no reserva B_t. Incertidumbres estándar en t CO2e; varianzas y covarianzas en unidades al cuadrado. Conservar dependencia compartida y matriz válida.</w:t>
      </w:r>
    </w:p>
    <w:p>
      <w:pPr>
        <w:keepNext/>
        <w:spacing w:before="40" w:after="60"/>
      </w:pPr>
      <w:r>
        <w:rPr>
          <w:rFonts w:ascii="Lato" w:hAnsi="Lato"/>
          <w:color w:val="315B50"/>
          <w:sz w:val="14"/>
        </w:rPr>
        <w:t>Base: F-U01; M05.1; M05.2 | Libro: Cálculo calificado de incertidumbre; ExAnte!J:L; ExPost!J:L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315"/>
        <w:gridCol w:w="3315"/>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Entrada o supuesto estructural</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Alternativa sustentada / efecto</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requerida / consecuencia</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Separe existencias, flujos anuales y cambios acumulados; carbono, dióxido de carbono y CO2 equivalente; resultados modelados y observados. Distinga incertidumbre, pasivos previos y reserva futura. Esta plantilla no fija tasas, períodos ni denominaciones.</w:t>
      </w:r>
    </w:p>
    <w:p>
      <w:pPr>
        <w:pStyle w:val="Heading2"/>
        <w:keepNext/>
      </w:pPr>
      <w:r>
        <w:t>Alcance sin cuantificar</w:t>
      </w:r>
    </w:p>
    <w:p>
      <w:pPr>
        <w:keepNext/>
        <w:spacing w:after="100" w:line="259" w:lineRule="auto"/>
      </w:pPr>
      <w:r>
        <w:rPr>
          <w:rFonts w:ascii="Arial" w:hAnsi="Arial"/>
          <w:b w:val="0"/>
          <w:i w:val="0"/>
          <w:color w:val="62716E"/>
          <w:sz w:val="18"/>
        </w:rPr>
        <w:t>Identifique cantidades sin sustento y consecuencias para la decisión siguiente.</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6" w:name="Section_6"/>
      <w:pPr>
        <w:pStyle w:val="Heading1"/>
        <w:keepNext/>
      </w:pPr>
      <w:r>
        <w:t>06  Derechos, salvaguardas, traslapes y revisión de migración</w:t>
      </w:r>
      <w:bookmarkEnd w:id="106"/>
    </w:p>
    <w:p>
      <w:pPr>
        <w:keepNext/>
        <w:spacing w:after="180" w:line="259" w:lineRule="auto"/>
      </w:pPr>
      <w:r>
        <w:rPr>
          <w:rFonts w:ascii="Arial" w:hAnsi="Arial"/>
          <w:b w:val="0"/>
          <w:i w:val="0"/>
          <w:color w:val="62716E"/>
          <w:sz w:val="15"/>
        </w:rPr>
        <w:t>[1] Referencia: S-04; S-05; S-12; S-13; AO-01; AO-04; AO-11; MIG-02; MIG-03</w:t>
      </w:r>
    </w:p>
    <w:p>
      <w:pPr>
        <w:pStyle w:val="Heading2"/>
        <w:keepNext/>
      </w:pPr>
      <w:r>
        <w:t>Plan de derechos y salvaguardas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Derecho / grupo / asunto</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y estado de consulta</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Acción, responsable y plazo</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Revisión de traslapes e historia contable</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Iniciativa / área / período</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Intervenciones previas y afirmaciones</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Tratamiento / conciliación requerida</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Aplicabilidad de migración y evidencia siguiente</w:t>
      </w:r>
    </w:p>
    <w:p>
      <w:pPr>
        <w:keepNext/>
        <w:spacing w:after="100" w:line="259" w:lineRule="auto"/>
      </w:pPr>
      <w:r>
        <w:rPr>
          <w:rFonts w:ascii="Arial" w:hAnsi="Arial"/>
          <w:b w:val="0"/>
          <w:i w:val="0"/>
          <w:color w:val="62716E"/>
          <w:sz w:val="18"/>
        </w:rPr>
        <w:t>Identifique programa y métodos de origen, derechos, historia de monitoreo y verificación, otras unidades de carbono externas, reversiones y obligaciones de reserva cuando correspondan. Conserve originales.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Riesgos, recursos y restricciones de ejecución</w:t>
      </w:r>
      <w:bookmarkEnd w:id="107"/>
    </w:p>
    <w:p>
      <w:pPr>
        <w:keepNext/>
        <w:spacing w:after="180" w:line="259" w:lineRule="auto"/>
      </w:pPr>
      <w:r>
        <w:rPr>
          <w:rFonts w:ascii="Arial" w:hAnsi="Arial"/>
          <w:b w:val="0"/>
          <w:i w:val="0"/>
          <w:color w:val="62716E"/>
          <w:sz w:val="15"/>
        </w:rPr>
        <w:t>[1] Referencia: S-11; S-13; S-25; T-17; T-18; T-20; FRM-09</w:t>
      </w:r>
    </w:p>
    <w:p>
      <w:pPr>
        <w:pStyle w:val="Heading2"/>
        <w:keepNext/>
      </w:pPr>
      <w:r>
        <w:t>Registro preliminar de riesgos</w:t>
      </w:r>
    </w:p>
    <w:p>
      <w:pPr>
        <w:keepNext/>
        <w:spacing w:before="40" w:after="60"/>
      </w:pPr>
      <w:r>
        <w:rPr>
          <w:rFonts w:ascii="Lato" w:hAnsi="Lato"/>
          <w:color w:val="315B50"/>
          <w:sz w:val="18"/>
        </w:rPr>
        <w:t>PREFEASIBILITY-T13 / Notación del cálculo</w:t>
      </w:r>
    </w:p>
    <w:p>
      <w:pPr>
        <w:keepNext/>
        <w:spacing w:before="40" w:after="60"/>
      </w:pPr>
      <m:oMath>
        <m:sSup>
          <m:e>
            <m:r>
              <w:rPr>
                <w:sz w:val="18"/>
              </w:rPr>
              <m:t>B</m:t>
            </m:r>
          </m:e>
          <m:sup>
            <m:r>
              <w:rPr>
                <w:sz w:val="18"/>
              </w:rPr>
              <m:rPr>
                <m:sty m:val="p"/>
              </m:rPr>
              <m:t>r</m:t>
            </m:r>
            <m:r>
              <w:rPr>
                <w:sz w:val="18"/>
              </w:rPr>
              <m:rPr>
                <m:sty m:val="p"/>
              </m:rPr>
              <m:t>e</m:t>
            </m:r>
            <m:r>
              <w:rPr>
                <w:sz w:val="18"/>
              </w:rPr>
              <m:rPr>
                <m:sty m:val="p"/>
              </m:rPr>
              <m:t>q</m:t>
            </m:r>
          </m:sup>
        </m:sSup>
        <m:r>
          <w:rPr>
            <w:sz w:val="18"/>
          </w:rPr>
          <m:rPr>
            <m:sty m:val="p"/>
          </m:rPr>
          <m:t>=</m:t>
        </m:r>
        <m:r>
          <w:rPr>
            <w:sz w:val="18"/>
          </w:rPr>
          <m:rPr>
            <m:sty m:val="p"/>
          </m:rPr>
          <m:t>inf</m:t>
        </m:r>
        <m:r>
          <w:rPr>
            <w:sz w:val="18"/>
          </w:rPr>
          <m:rPr>
            <m:sty m:val="p"/>
          </m:rPr>
          <m:t>{</m:t>
        </m:r>
        <m:r>
          <w:rPr>
            <w:sz w:val="18"/>
          </w:rPr>
          <m:rPr>
            <m:sty m:val="p"/>
          </m:rPr>
          <m:t>ℓ</m:t>
        </m:r>
        <m:r>
          <w:rPr>
            <w:sz w:val="18"/>
          </w:rPr>
          <m:rPr>
            <m:sty m:val="p"/>
          </m:rPr>
          <m:t>:</m:t>
        </m:r>
        <m:r>
          <w:rPr>
            <w:sz w:val="18"/>
          </w:rPr>
          <m:rPr>
            <m:sty m:val="p"/>
          </m:rPr>
          <m:t>Pr</m:t>
        </m:r>
        <m:d>
          <m:dPr>
            <m:begChr m:val="("/>
            <m:endChr m:val=")"/>
            <m:sepChr m:val=""/>
            <m:grow/>
          </m:dPr>
          <m:e>
            <m:sSub>
              <m:e>
                <m:r>
                  <w:rPr>
                    <w:sz w:val="18"/>
                  </w:rPr>
                  <m:t>L</m:t>
                </m:r>
              </m:e>
              <m:sub>
                <m:r>
                  <w:rPr>
                    <w:sz w:val="18"/>
                  </w:rPr>
                  <m:t>H</m:t>
                </m:r>
              </m:sub>
            </m:sSub>
            <m:r>
              <w:rPr>
                <w:sz w:val="18"/>
              </w:rPr>
              <m:rPr>
                <m:sty m:val="p"/>
              </m:rPr>
              <m:t>≤</m:t>
            </m:r>
            <m:r>
              <w:rPr>
                <w:sz w:val="18"/>
              </w:rPr>
              <m:rPr>
                <m:sty m:val="p"/>
              </m:rPr>
              <m:t>ℓ</m:t>
            </m:r>
            <m:r>
              <w:rPr>
                <w:sz w:val="18"/>
              </w:rPr>
              <m:rPr>
                <m:sty m:val="p"/>
              </m:rPr>
              <m:t>∣</m:t>
            </m:r>
            <m:sSub>
              <m:e>
                <m:r>
                  <w:rPr>
                    <w:sz w:val="18"/>
                  </w:rPr>
                  <m:rPr>
                    <m:sty m:val="p"/>
                    <m:scr m:val="script"/>
                  </m:rPr>
                  <m:t>D</m:t>
                </m:r>
              </m:e>
              <m:sub>
                <m:r>
                  <w:rPr>
                    <w:sz w:val="18"/>
                  </w:rPr>
                  <m:t>v</m:t>
                </m:r>
              </m:sub>
            </m:sSub>
          </m:e>
        </m:d>
        <m:r>
          <w:rPr>
            <w:sz w:val="18"/>
          </w:rPr>
          <m:rPr>
            <m:sty m:val="p"/>
          </m:rPr>
          <m:t>≥</m:t>
        </m:r>
        <m:r>
          <w:rPr>
            <w:sz w:val="18"/>
          </w:rPr>
          <m:t>γ</m:t>
        </m:r>
        <m:r>
          <w:rPr>
            <w:sz w:val="18"/>
          </w:rPr>
          <m:rPr>
            <m:sty m:val="p"/>
          </m:rPr>
          <m:t>}</m:t>
        </m:r>
      </m:oMath>
    </w:p>
    <w:p>
      <w:pPr>
        <w:keepNext/>
        <w:spacing w:before="40" w:after="60"/>
      </w:pPr>
      <m:oMath>
        <m:sSup>
          <m:e>
            <m:r>
              <w:rPr>
                <w:sz w:val="18"/>
              </w:rPr>
              <m:t>B</m:t>
            </m:r>
          </m:e>
          <m:sup>
            <m:r>
              <w:rPr>
                <w:sz w:val="18"/>
              </w:rPr>
              <m:rPr>
                <m:sty m:val="p"/>
              </m:rPr>
              <m:t>a</m:t>
            </m:r>
            <m:r>
              <w:rPr>
                <w:sz w:val="18"/>
              </w:rPr>
              <m:rPr>
                <m:sty m:val="p"/>
              </m:rPr>
              <m:t>d</m:t>
            </m:r>
            <m:r>
              <w:rPr>
                <w:sz w:val="18"/>
              </w:rPr>
              <m:rPr>
                <m:sty m:val="p"/>
              </m:rPr>
              <m:t>d</m:t>
            </m:r>
          </m:sup>
        </m:sSup>
        <m:r>
          <w:rPr>
            <w:sz w:val="18"/>
          </w:rPr>
          <m:rPr>
            <m:sty m:val="p"/>
          </m:rPr>
          <m:t>=</m:t>
        </m:r>
        <m:r>
          <w:rPr>
            <w:sz w:val="18"/>
          </w:rPr>
          <m:rPr>
            <m:sty m:val="p"/>
          </m:rPr>
          <m:t>max</m:t>
        </m:r>
        <m:d>
          <m:dPr>
            <m:begChr m:val="("/>
            <m:endChr m:val=")"/>
            <m:sepChr m:val=""/>
            <m:grow/>
          </m:dPr>
          <m:e>
            <m:r>
              <w:rPr>
                <w:sz w:val="18"/>
              </w:rPr>
              <m:t>0</m:t>
            </m:r>
            <m:r>
              <w:rPr>
                <w:sz w:val="18"/>
              </w:rPr>
              <m:rPr>
                <m:sty m:val="p"/>
              </m:rPr>
              <m:t>,</m:t>
            </m:r>
            <m:sSup>
              <m:e>
                <m:r>
                  <w:rPr>
                    <w:sz w:val="18"/>
                  </w:rPr>
                  <m:t>B</m:t>
                </m:r>
              </m:e>
              <m:sup>
                <m:r>
                  <w:rPr>
                    <w:sz w:val="18"/>
                  </w:rPr>
                  <m:rPr>
                    <m:sty m:val="p"/>
                  </m:rPr>
                  <m:t>r</m:t>
                </m:r>
                <m:r>
                  <w:rPr>
                    <w:sz w:val="18"/>
                  </w:rPr>
                  <m:rPr>
                    <m:sty m:val="p"/>
                  </m:rPr>
                  <m:t>e</m:t>
                </m:r>
                <m:r>
                  <w:rPr>
                    <w:sz w:val="18"/>
                  </w:rPr>
                  <m:rPr>
                    <m:sty m:val="p"/>
                  </m:rPr>
                  <m:t>q</m:t>
                </m:r>
              </m:sup>
            </m:sSup>
            <m:r>
              <w:rPr>
                <w:sz w:val="18"/>
              </w:rPr>
              <m:rPr>
                <m:sty m:val="p"/>
              </m:rPr>
              <m:t>−</m:t>
            </m:r>
            <m:sSup>
              <m:e>
                <m:r>
                  <w:rPr>
                    <w:sz w:val="18"/>
                  </w:rPr>
                  <m:t>B</m:t>
                </m:r>
              </m:e>
              <m:sup>
                <m:r>
                  <w:rPr>
                    <w:sz w:val="18"/>
                  </w:rPr>
                  <m:rPr>
                    <m:sty m:val="p"/>
                  </m:rPr>
                  <m:t>a</m:t>
                </m:r>
                <m:r>
                  <w:rPr>
                    <w:sz w:val="18"/>
                  </w:rPr>
                  <m:rPr>
                    <m:sty m:val="p"/>
                  </m:rPr>
                  <m:t>v</m:t>
                </m:r>
                <m:r>
                  <w:rPr>
                    <w:sz w:val="18"/>
                  </w:rPr>
                  <m:rPr>
                    <m:sty m:val="p"/>
                  </m:rPr>
                  <m:t>a</m:t>
                </m:r>
                <m:r>
                  <w:rPr>
                    <w:sz w:val="18"/>
                  </w:rPr>
                  <m:rPr>
                    <m:sty m:val="p"/>
                  </m:rPr>
                  <m:t>i</m:t>
                </m:r>
                <m:r>
                  <w:rPr>
                    <w:sz w:val="18"/>
                  </w:rPr>
                  <m:rPr>
                    <m:sty m:val="p"/>
                  </m:rPr>
                  <m:t>l</m:t>
                </m:r>
              </m:sup>
            </m:sSup>
          </m:e>
        </m:d>
      </m:oMath>
    </w:p>
    <w:p>
      <w:pPr>
        <w:keepNext/>
        <w:spacing w:before="40" w:after="60"/>
      </w:pPr>
      <w:r>
        <w:rPr>
          <w:rFonts w:ascii="Lato" w:hAnsi="Lato"/>
          <w:color w:val="315B50"/>
          <w:sz w:val="16"/>
        </w:rPr>
        <w:t>Es F-A04 condicional, no modelo probabilístico predeterminado. Registrar horizonte, nivel de protección y distribución adoptados, o ruta de estrés justificada por separado. Distinguir protección total requerida, reserva compatible disponible y aporte nuevo. No se precarga tasa.</w:t>
      </w:r>
    </w:p>
    <w:p>
      <w:pPr>
        <w:keepNext/>
        <w:spacing w:before="40" w:after="60"/>
      </w:pPr>
      <w:r>
        <w:rPr>
          <w:rFonts w:ascii="Lato" w:hAnsi="Lato"/>
          <w:color w:val="315B50"/>
          <w:sz w:val="14"/>
        </w:rPr>
        <w:t>Base: F-A04; F-A05; T-17–T-20; AP-09 | Libro: Cuadro calificado de riesgo; Settlement!J; FRM-09</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Riesgo / ámbito expuesto</w:t>
            </w:r>
          </w:p>
          <w:p>
            <w:pPr>
              <w:spacing w:before="40" w:after="40"/>
            </w:pPr>
            <m:oMath>
              <m:sSub>
                <m:e>
                  <m:r>
                    <w:rPr>
                      <w:sz w:val="16"/>
                      <w:color w:val="173E34"/>
                    </w:rPr>
                    <m:t>L</m:t>
                  </m:r>
                </m:e>
                <m:sub>
                  <m:r>
                    <w:rPr>
                      <w:sz w:val="16"/>
                      <w:color w:val="173E34"/>
                    </w:rPr>
                    <m:t>H</m:t>
                  </m:r>
                </m:sub>
              </m:sSub>
              <m:r>
                <w:rPr>
                  <w:sz w:val="16"/>
                  <w:color w:val="173E34"/>
                </w:rPr>
                <m:rPr>
                  <m:sty m:val="p"/>
                </m:rPr>
                <m:t>,</m:t>
              </m:r>
              <m:r>
                <w:rPr>
                  <w:sz w:val="16"/>
                  <w:color w:val="173E34"/>
                </w:rPr>
                <m:t> </m:t>
              </m:r>
              <m:r>
                <w:rPr>
                  <w:sz w:val="16"/>
                  <w:color w:val="173E34"/>
                </w:rPr>
                <m:t>H</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y consecuencia plausible</w:t>
            </w:r>
          </w:p>
          <w:p>
            <w:pPr>
              <w:spacing w:before="40" w:after="40"/>
            </w:pPr>
            <m:oMath>
              <m:r>
                <w:rPr>
                  <w:sz w:val="16"/>
                  <w:color w:val="173E34"/>
                </w:rPr>
                <m:t>γ</m:t>
              </m:r>
              <m:r>
                <w:rPr>
                  <w:sz w:val="16"/>
                  <w:color w:val="173E34"/>
                </w:rPr>
                <m:rPr>
                  <m:sty m:val="p"/>
                </m:rPr>
                <m:t>,</m:t>
              </m:r>
              <m:r>
                <w:rPr>
                  <w:sz w:val="16"/>
                  <w:color w:val="173E34"/>
                </w:rPr>
                <m:t> </m:t>
              </m:r>
              <m:sSup>
                <m:e>
                  <m:r>
                    <w:rPr>
                      <w:sz w:val="16"/>
                      <w:color w:val="173E34"/>
                    </w:rPr>
                    <m:t>B</m:t>
                  </m:r>
                </m:e>
                <m:sup>
                  <m:r>
                    <w:rPr>
                      <w:sz w:val="16"/>
                      <w:color w:val="173E34"/>
                    </w:rPr>
                    <m:rPr>
                      <m:sty m:val="p"/>
                    </m:rPr>
                    <m:t>r</m:t>
                  </m:r>
                  <m:r>
                    <w:rPr>
                      <w:sz w:val="16"/>
                      <w:color w:val="173E34"/>
                    </w:rPr>
                    <m:rPr>
                      <m:sty m:val="p"/>
                    </m:rPr>
                    <m:t>e</m:t>
                  </m:r>
                  <m:r>
                    <w:rPr>
                      <w:sz w:val="16"/>
                      <w:color w:val="173E34"/>
                    </w:rPr>
                    <m:rPr>
                      <m:sty m:val="p"/>
                    </m:rPr>
                    <m:t>q</m:t>
                  </m:r>
                </m:sup>
              </m:sSup>
              <m:r>
                <w:rPr>
                  <w:sz w:val="16"/>
                  <w:color w:val="173E34"/>
                </w:rPr>
                <m:rPr>
                  <m:sty m:val="p"/>
                </m:rPr>
                <m:t>,</m:t>
              </m:r>
              <m:r>
                <w:rPr>
                  <w:sz w:val="16"/>
                  <w:color w:val="173E34"/>
                </w:rPr>
                <m:t> </m:t>
              </m:r>
              <m:sSup>
                <m:e>
                  <m:r>
                    <w:rPr>
                      <w:sz w:val="16"/>
                      <w:color w:val="173E34"/>
                    </w:rPr>
                    <m:t>B</m:t>
                  </m:r>
                </m:e>
                <m:sup>
                  <m:r>
                    <w:rPr>
                      <w:sz w:val="16"/>
                      <w:color w:val="173E34"/>
                    </w:rPr>
                    <m:rPr>
                      <m:sty m:val="p"/>
                    </m:rPr>
                    <m:t>a</m:t>
                  </m:r>
                  <m:r>
                    <w:rPr>
                      <w:sz w:val="16"/>
                      <w:color w:val="173E34"/>
                    </w:rPr>
                    <m:rPr>
                      <m:sty m:val="p"/>
                    </m:rPr>
                    <m:t>v</m:t>
                  </m:r>
                  <m:r>
                    <w:rPr>
                      <w:sz w:val="16"/>
                      <w:color w:val="173E34"/>
                    </w:rPr>
                    <m:rPr>
                      <m:sty m:val="p"/>
                    </m:rPr>
                    <m:t>a</m:t>
                  </m:r>
                  <m:r>
                    <w:rPr>
                      <w:sz w:val="16"/>
                      <w:color w:val="173E34"/>
                    </w:rPr>
                    <m:rPr>
                      <m:sty m:val="p"/>
                    </m:rPr>
                    <m:t>i</m:t>
                  </m:r>
                  <m:r>
                    <w:rPr>
                      <w:sz w:val="16"/>
                      <w:color w:val="173E34"/>
                    </w:rPr>
                    <m:rPr>
                      <m:sty m:val="p"/>
                    </m:rPr>
                    <m:t>l</m:t>
                  </m:r>
                </m:sup>
              </m:sSup>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Control propuesto / responsable</w:t>
            </w:r>
          </w:p>
          <w:p>
            <w:pPr>
              <w:spacing w:before="40" w:after="40"/>
            </w:pPr>
            <m:oMath>
              <m:sSup>
                <m:e>
                  <m:r>
                    <w:rPr>
                      <w:sz w:val="16"/>
                      <w:color w:val="173E34"/>
                    </w:rPr>
                    <m:t>B</m:t>
                  </m:r>
                </m:e>
                <m:sup>
                  <m:r>
                    <w:rPr>
                      <w:sz w:val="16"/>
                      <w:color w:val="173E34"/>
                    </w:rPr>
                    <m:rPr>
                      <m:sty m:val="p"/>
                    </m:rPr>
                    <m:t>a</m:t>
                  </m:r>
                  <m:r>
                    <w:rPr>
                      <w:sz w:val="16"/>
                      <w:color w:val="173E34"/>
                    </w:rPr>
                    <m:rPr>
                      <m:sty m:val="p"/>
                    </m:rPr>
                    <m:t>d</m:t>
                  </m:r>
                  <m:r>
                    <w:rPr>
                      <w:sz w:val="16"/>
                      <w:color w:val="173E34"/>
                    </w:rPr>
                    <m:rPr>
                      <m:sty m:val="p"/>
                    </m:rPr>
                    <m:t>d</m:t>
                  </m:r>
                </m:sup>
              </m:s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Supuestos de recursos y costos</w:t>
      </w:r>
    </w:p>
    <w:p>
      <w:pPr>
        <w:keepNext/>
        <w:spacing w:before="40" w:after="60"/>
      </w:pPr>
      <w:r>
        <w:rPr>
          <w:rFonts w:ascii="Lato" w:hAnsi="Lato"/>
          <w:color w:val="315B50"/>
          <w:sz w:val="18"/>
        </w:rPr>
        <w:t>PREFEASIBILITY-T14 / Notación del cálculo</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es costo o recurso registrado en moneda y fecha de precios explícitas. Si se calcula, ingresar ecuación presupuestal real y fuente. La etiqueta no aporta precio, tasa de descuento, fórmula financiera ni factor de emisión.</w:t>
      </w:r>
    </w:p>
    <w:p>
      <w:pPr>
        <w:keepNext/>
        <w:spacing w:before="40" w:after="60"/>
      </w:pPr>
      <w:r>
        <w:rPr>
          <w:rFonts w:ascii="Lato" w:hAnsi="Lato"/>
          <w:color w:val="315B50"/>
          <w:sz w:val="14"/>
        </w:rPr>
        <w:t>Base: CYC-03; CYC-04; CYC-05; etiqueta de dato | Libro: Anexo presupuestal;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802"/>
        <w:gridCol w:w="3022"/>
      </w:tblGrid>
      <w:tr>
        <w:trPr>
          <w:trHeight w:val="446" w:hRule="atLeast"/>
          <w:tblHeader/>
        </w:trPr>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Tarea / categoría de costo</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Monto, moneda, fecha y base</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Financiación / sensibilidad</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Restricciones de implementabilidad</w:t>
      </w:r>
    </w:p>
    <w:p>
      <w:pPr>
        <w:keepNext/>
        <w:spacing w:after="100" w:line="259" w:lineRule="auto"/>
      </w:pPr>
      <w:r>
        <w:rPr>
          <w:rFonts w:ascii="Arial" w:hAnsi="Arial"/>
          <w:b w:val="0"/>
          <w:i w:val="0"/>
          <w:color w:val="62716E"/>
          <w:sz w:val="18"/>
        </w:rPr>
        <w:t>Describa acceso, seguridad, capacidad, estacionalidad, mantenimiento, reparto de beneficios y financiación del monitoreo. No presente ingresos, tarifas o probabilidades supuestos como valores aprobados.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8" w:name="Section_8"/>
      <w:pPr>
        <w:pStyle w:val="Heading1"/>
        <w:keepNext/>
      </w:pPr>
      <w:r>
        <w:t>08  Programa de factibilidad y recomendaciones</w:t>
      </w:r>
      <w:bookmarkEnd w:id="108"/>
    </w:p>
    <w:p>
      <w:pPr>
        <w:keepNext/>
        <w:spacing w:after="180" w:line="259" w:lineRule="auto"/>
      </w:pPr>
      <w:r>
        <w:rPr>
          <w:rFonts w:ascii="Arial" w:hAnsi="Arial"/>
          <w:b w:val="0"/>
          <w:i w:val="0"/>
          <w:color w:val="62716E"/>
          <w:sz w:val="15"/>
        </w:rPr>
        <w:t>[1] Referencia: CYC-03; CYC-04; S-16; S-18; FRM-05</w:t>
      </w:r>
    </w:p>
    <w:p>
      <w:pPr>
        <w:pStyle w:val="Heading2"/>
        <w:keepNext/>
      </w:pPr>
      <w:r>
        <w:t>Vacíos materiales y plan de cierre</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802"/>
        <w:gridCol w:w="292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Vacío / decisión bloqueada</w:t>
            </w:r>
          </w:p>
        </w:tc>
        <w:tc>
          <w:tcPr>
            <w:tcW w:type="dxa" w:w="380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Investigación y evidencia de aceptación</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Responsable / secuencia / recursos</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Diseño recomendado y alternativas conservadas</w:t>
      </w:r>
    </w:p>
    <w:p>
      <w:pPr>
        <w:keepNext/>
        <w:spacing w:after="100" w:line="259" w:lineRule="auto"/>
      </w:pPr>
      <w:r>
        <w:rPr>
          <w:rFonts w:ascii="Arial" w:hAnsi="Arial"/>
          <w:b w:val="0"/>
          <w:i w:val="0"/>
          <w:color w:val="62716E"/>
          <w:sz w:val="18"/>
        </w:rPr>
        <w:t>Indique ruta sustentada a factibilidad, causas para rediseñar o detener y cantidades, derechos o salvaguardas pendientes.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Mandato de factibilidad</w:t>
      </w:r>
    </w:p>
    <w:p>
      <w:pPr>
        <w:keepNext/>
        <w:spacing w:after="100" w:line="259" w:lineRule="auto"/>
      </w:pPr>
      <w:r>
        <w:rPr>
          <w:rFonts w:ascii="Arial" w:hAnsi="Arial"/>
          <w:b w:val="0"/>
          <w:i w:val="0"/>
          <w:color w:val="62716E"/>
          <w:sz w:val="18"/>
        </w:rPr>
        <w:t>Defina productos, responsables, permisos de acceso, base presupuestal y revisión prevista. Aprobar el estudio no aprueba cantidades ambientales futuras.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9" w:name="Section_9"/>
      <w:pPr>
        <w:pStyle w:val="Heading1"/>
        <w:keepNext/>
      </w:pPr>
      <w:r>
        <w:t>09  Evidencia, anexos y referencias</w:t>
      </w:r>
      <w:bookmarkEnd w:id="109"/>
    </w:p>
    <w:p>
      <w:pPr>
        <w:keepNext/>
        <w:spacing w:after="180" w:line="259" w:lineRule="auto"/>
      </w:pPr>
      <w:r>
        <w:rPr>
          <w:rFonts w:ascii="Arial" w:hAnsi="Arial"/>
          <w:b w:val="0"/>
          <w:i w:val="0"/>
          <w:color w:val="62716E"/>
          <w:sz w:val="15"/>
        </w:rPr>
        <w:t>[1] Referencia: F-01; S-17; P-04; A-05</w:t>
      </w:r>
    </w:p>
    <w:p>
      <w:pPr>
        <w:keepNext w:val="0"/>
        <w:spacing w:after="160" w:line="259" w:lineRule="auto"/>
        <w:shd w:fill="F1F5F2"/>
      </w:pPr>
      <w:r>
        <w:rPr>
          <w:rFonts w:ascii="Arial" w:hAnsi="Arial"/>
          <w:b w:val="0"/>
          <w:i w:val="0"/>
          <w:color w:val="215F52"/>
          <w:sz w:val="18"/>
        </w:rPr>
        <w:t>Asigne a cada anexo identificador, versión, fecha, custodio y ubicación exacta. Cite la fuente de toda entrada material. Mantenga la evidencia restringida accesible por separado a los revisores autorizados; no oculte la base metodológica de una afirmación.</w:t>
      </w:r>
    </w:p>
    <w:p>
      <w:pPr>
        <w:pStyle w:val="Heading2"/>
        <w:keepNext/>
      </w:pPr>
      <w:r>
        <w:t>Registro de anexos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anexo / evidencia</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Contenido y sección vinculada</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Custodio / acceso / versión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Referencias específicas del proyecto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referencia</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Cita completa / versión exacta</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Uso en este expediente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Reproducibilidad y entrega</w:t>
      </w:r>
    </w:p>
    <w:p>
      <w:pPr>
        <w:keepNext/>
        <w:spacing w:after="100" w:line="259" w:lineRule="auto"/>
      </w:pPr>
      <w:r>
        <w:rPr>
          <w:rFonts w:ascii="Arial" w:hAnsi="Arial"/>
          <w:b w:val="0"/>
          <w:i w:val="0"/>
          <w:color w:val="62716E"/>
          <w:sz w:val="18"/>
        </w:rPr>
        <w:t>Identifique el paquete de evidencia aprobado, archivos de cálculo, condiciones de acceso y custodio. Resuelva todas las referencias rotas antes de presentar.</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0" w:name="Section_10"/>
      <w:pPr>
        <w:pStyle w:val="Heading1"/>
        <w:keepNext/>
      </w:pPr>
      <w:r>
        <w:t>10  Presentación, revisión y decisión de etapa</w:t>
      </w:r>
      <w:bookmarkEnd w:id="110"/>
    </w:p>
    <w:p>
      <w:pPr>
        <w:keepNext/>
        <w:spacing w:after="180" w:line="259" w:lineRule="auto"/>
      </w:pPr>
      <w:r>
        <w:rPr>
          <w:rFonts w:ascii="Arial" w:hAnsi="Arial"/>
          <w:b w:val="0"/>
          <w:i w:val="0"/>
          <w:color w:val="62716E"/>
          <w:sz w:val="15"/>
        </w:rPr>
        <w:t>[1] Referencia: CYC-01; CYC-03; S-16; S-22; S-23; FRM-03; FRM-06; A-12; A-13</w:t>
      </w:r>
    </w:p>
    <w:p>
      <w:pPr>
        <w:keepNext w:val="0"/>
        <w:spacing w:after="160" w:line="259" w:lineRule="auto"/>
        <w:shd w:fill="F1F5F2"/>
      </w:pPr>
      <w:r>
        <w:rPr>
          <w:rFonts w:ascii="Arial" w:hAnsi="Arial"/>
          <w:b w:val="0"/>
          <w:i w:val="0"/>
          <w:color w:val="215F52"/>
          <w:sz w:val="18"/>
        </w:rPr>
        <w:t>La prefactibilidad sustenta la decisión de investigar en detalle. Sus estimaciones siguen siendo indicativas y no sustituyen evidencia de campo o secundaria calificada, validación ni verificación.</w:t>
      </w:r>
    </w:p>
    <w:p>
      <w:pPr>
        <w:pStyle w:val="Heading2"/>
        <w:keepNext/>
      </w:pPr>
      <w:r>
        <w:t>Revisión de salida de etapa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 sección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Hallazgo de revisión</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Condiciones NIP y alcance del estudio conciliados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Alternativas plausibles y causas evaluadas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Rutas de evidencia y pruebas de factibilidad definidas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Derechos, salvaguardas, riesgos y traslapes registrados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 creíble de cierre de vacíos y recursos disponible</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bl>
    <w:p>
      <w:pPr>
        <w:keepNext w:val="0"/>
        <w:spacing w:after="60" w:line="259" w:lineRule="auto"/>
      </w:pPr>
      <w:r>
        <w:rPr>
          <w:rFonts w:ascii="Arial" w:hAnsi="Arial"/>
          <w:b w:val="0"/>
          <w:i w:val="0"/>
          <w:color w:val="243A36"/>
          <w:sz w:val="2"/>
        </w:rPr>
      </w:r>
    </w:p>
    <w:p>
      <w:pPr>
        <w:pStyle w:val="Heading2"/>
        <w:keepNext/>
      </w:pPr>
      <w:r>
        <w:t>Registros y firmas separados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Actuación / función responsable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Nombre, fecha y firma</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Decisión / alcance / registro</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Presentación / proponente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Preparación técnica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Revisión sin conflicto</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Decisión autorizada de etapa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[Avanzar / corregir / aplazar / rechazar]</w:t>
            </w:r>
          </w:p>
        </w:tc>
      </w:tr>
    </w:tbl>
    <w:p>
      <w:pPr>
        <w:keepNext w:val="0"/>
        <w:spacing w:after="60" w:line="259" w:lineRule="auto"/>
      </w:pPr>
      <w:r>
        <w:rPr>
          <w:rFonts w:ascii="Arial" w:hAnsi="Arial"/>
          <w:b w:val="0"/>
          <w:i w:val="0"/>
          <w:color w:val="243A36"/>
          <w:sz w:val="2"/>
        </w:rPr>
      </w:r>
    </w:p>
    <w:p>
      <w:pPr>
        <w:pStyle w:val="Heading2"/>
        <w:keepNext/>
      </w:pPr>
      <w:r>
        <w:t>Condiciones, hallazgos abiertos y entrega a la etapa siguiente</w:t>
      </w:r>
    </w:p>
    <w:p>
      <w:pPr>
        <w:keepNext/>
        <w:spacing w:after="100" w:line="259" w:lineRule="auto"/>
      </w:pPr>
      <w:r>
        <w:rPr>
          <w:rFonts w:ascii="Arial" w:hAnsi="Arial"/>
          <w:b w:val="0"/>
          <w:i w:val="0"/>
          <w:color w:val="62716E"/>
          <w:sz w:val="18"/>
        </w:rPr>
        <w:t>Indique alcance permitido, actividades o afirmaciones bloqueadas, responsable de corrección, evidencia requerida, plazo según perfil aprobado y receptor. Una firma en blanco no equivale a aprobación.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Anexos de cuentas ex ante, ex post y migración</w:t>
      </w:r>
      <w:bookmarkEnd w:id="3999"/>
    </w:p>
    <w:p>
      <w:pPr>
        <w:spacing w:after="120"/>
      </w:pPr>
      <w:r>
        <w:rPr>
          <w:rFonts w:ascii="Lato" w:hAnsi="Lato"/>
          <w:b w:val="0"/>
          <w:color w:val="62716E"/>
          <w:sz w:val="16"/>
        </w:rPr>
        <w:t>[1] Referencia: CYC-01; CYC-05; F-01; F-03; P-13; MIG-05; FRM-02; FRM-04; FRM-05</w:t>
      </w:r>
    </w:p>
    <w:p>
      <w:pPr>
        <w:pStyle w:val="Heading2"/>
        <w:keepNext/>
      </w:pPr>
      <w:r>
        <w:t>Uso según etapa</w:t>
      </w:r>
    </w:p>
    <w:p>
      <w:pPr>
        <w:spacing w:after="80"/>
      </w:pPr>
      <w:r>
        <w:rPr>
          <w:rFonts w:ascii="Lato" w:hAnsi="Lato"/>
          <w:b w:val="0"/>
          <w:color w:val="62716E"/>
          <w:sz w:val="18"/>
        </w:rPr>
        <w:t>Usar Estimación ex ante para alternativas y sensibilidades sustentadas. Vincular registros ex post o migrados al plan de evidencia; no exigir resultado actual donde solo hay proyección.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S"/>
                <w:tag w:val="account_annex-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Registro de anexos de cuentas</w:t>
      </w:r>
    </w:p>
    <w:p>
      <w:pPr>
        <w:keepNext/>
        <w:spacing w:before="40" w:after="60"/>
      </w:pPr>
      <w:r>
        <w:rPr>
          <w:rFonts w:ascii="Lato" w:hAnsi="Lato"/>
          <w:color w:val="315B50"/>
          <w:sz w:val="18"/>
        </w:rPr>
        <w:t>PREFEASIBILITY-T20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Producto / alcance aplicable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Versión, libro y ubicación de evidencia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Estado / revisor / restricción pendiente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S-1-1"/>
                <w:tag w:val="account_annex-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2"/>
                <w:tag w:val="account_annex-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3"/>
                <w:tag w:val="account_annex-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S-2-1"/>
                <w:tag w:val="account_annex-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2"/>
                <w:tag w:val="account_annex-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3"/>
                <w:tag w:val="account_annex-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S-3-1"/>
                <w:tag w:val="account_annex-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2"/>
                <w:tag w:val="account_annex-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3"/>
                <w:tag w:val="account_annex-1-ES-3-3"/>
                <w:text/>
              </w:sdtPr>
              <w:sdtContent>
                <w:r>
                  <w:rPr>
                    <w:rFonts w:ascii="Lato" w:hAnsi="Lato"/>
                    <w:sz w:val="18"/>
                    <w:color w:val="62716E"/>
                  </w:rPr>
                  <w:t>[Completar]</w:t>
                </w:r>
              </w:sdtContent>
            </w:sdt>
          </w:p>
        </w:tc>
      </w:tr>
    </w:tbl>
    <w:p>
      <w:pPr>
        <w:spacing w:after="0"/>
      </w:pPr>
    </w:p>
    <w:p>
      <w:pPr>
        <w:pStyle w:val="Heading2"/>
        <w:keepNext/>
      </w:pPr>
      <w:r>
        <w:t>Contrato común de la cuenta</w:t>
      </w:r>
    </w:p>
    <w:p>
      <w:pPr>
        <w:spacing w:after="80"/>
      </w:pPr>
      <w:r>
        <w:rPr>
          <w:rFonts w:ascii="Lato" w:hAnsi="Lato"/>
          <w:b w:val="0"/>
          <w:color w:val="62716E"/>
          <w:sz w:val="18"/>
        </w:rPr>
        <w:t>Usar los formatos bilingües Estimación ex ante, Informe de resultados ex post y Conciliación de migración junto con el libro de cálculo cuando correspondan. Identificar períodos, bandas, unidades, faltantes y celdas exactas. Separar proyecciones, observaciones, contrafactual, resultados verificados y NVEU autorizadas. Ninguna tasa o campo vacío establece política, emisión nula ni emisión de unidades.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S"/>
                <w:tag w:val="account_annex-2-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Conciliación requerida</w:t>
      </w:r>
    </w:p>
    <w:p>
      <w:pPr>
        <w:keepNext/>
        <w:spacing w:before="40" w:after="60"/>
      </w:pPr>
      <w:r>
        <w:rPr>
          <w:rFonts w:ascii="Lato" w:hAnsi="Lato"/>
          <w:color w:val="315B50"/>
          <w:sz w:val="18"/>
        </w:rPr>
        <w:t>PREFEASIBILITY-T21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Dimensión / registro original</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Tratamiento receptor o monitoreado</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Evidencia y referencia decisoria</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S-1-1"/>
                <w:tag w:val="account_annex-3-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2"/>
                <w:tag w:val="account_annex-3-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3"/>
                <w:tag w:val="account_annex-3-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S-2-1"/>
                <w:tag w:val="account_annex-3-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2"/>
                <w:tag w:val="account_annex-3-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3"/>
                <w:tag w:val="account_annex-3-ES-2-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PREFEASIBILITY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ESTUDIO DE PREFACTIBILIDAD</w:t>
    </w:r>
    <w:r>
      <w:tab/>
    </w:r>
    <w:r>
      <w:rPr>
        <w:rFonts w:ascii="Arial" w:hAnsi="Arial"/>
        <w:b w:val="0"/>
        <w:i w:val="0"/>
        <w:color w:val="62716E"/>
        <w:sz w:val="16"/>
      </w:rPr>
      <w:t>ES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 NEBIOT template 1.0</dc:title>
  <dc:subject>NEBIOT Standard 0.8.2 — Prefeasibility — ES</dc:subject>
  <dc:creator>Henry Arellano-Peña</dc:creator>
  <cp:keywords>NEBIOT, Prefeasibility,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