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keepNext w:val="0"/>
        <w:spacing w:after="240" w:line="259" w:lineRule="auto"/>
      </w:pPr>
      <w:r>
        <w:rPr>
          <w:rFonts w:ascii="Arial" w:hAnsi="Arial"/>
          <w:b w:val="0"/>
          <w:i w:val="0"/>
          <w:color w:val="A6813D"/>
          <w:sz w:val="17"/>
        </w:rPr>
        <w:t>NEBIOT  /  DOCUMENTACIÓN DEL PROYECTO</w:t>
      </w:r>
    </w:p>
    <w:p>
      <w:pPr>
        <w:jc w:val="center"/>
      </w:pPr>
      <w:r>
        <w:drawing>
          <wp:inline xmlns:a="http://schemas.openxmlformats.org/drawingml/2006/main" xmlns:pic="http://schemas.openxmlformats.org/drawingml/2006/picture">
            <wp:extent cx="5760720" cy="1918365"/>
            <wp:docPr id="1" name="Picture 1" descr="NEBIOT — Español"/>
            <wp:cNvGraphicFramePr>
              <a:graphicFrameLocks noChangeAspect="1"/>
            </wp:cNvGraphicFramePr>
            <a:graphic>
              <a:graphicData uri="http://schemas.openxmlformats.org/drawingml/2006/picture">
                <pic:pic>
                  <pic:nvPicPr>
                    <pic:cNvPr id="0" name="NEBIOT-Spanish-6000px.png"/>
                    <pic:cNvPicPr/>
                  </pic:nvPicPr>
                  <pic:blipFill>
                    <a:blip r:embed="rId11"/>
                    <a:stretch>
                      <a:fillRect/>
                    </a:stretch>
                  </pic:blipFill>
                  <pic:spPr>
                    <a:xfrm>
                      <a:off x="0" y="0"/>
                      <a:ext cx="5760720" cy="1918365"/>
                    </a:xfrm>
                    <a:prstGeom prst="rect"/>
                  </pic:spPr>
                </pic:pic>
              </a:graphicData>
            </a:graphic>
          </wp:inline>
        </w:drawing>
      </w:r>
    </w:p>
    <w:p>
      <w:pPr>
        <w:keepNext w:val="0"/>
        <w:spacing w:after="180" w:line="259" w:lineRule="auto"/>
      </w:pPr>
      <w:r>
        <w:rPr>
          <w:rFonts w:ascii="Arial" w:hAnsi="Arial"/>
          <w:b w:val="0"/>
          <w:i w:val="0"/>
          <w:color w:val="62716E"/>
          <w:sz w:val="16"/>
        </w:rPr>
        <w:t>Autoridad del programa: Nuevo Estándar Biotropical — NEBIOT S.A.S.</w:t>
      </w:r>
    </w:p>
    <w:p>
      <w:pPr>
        <w:pStyle w:val="Title"/>
        <w:spacing w:after="160"/>
        <w:pBdr>
          <w:bottom w:val="single" w:sz="8" w:color="A6813D" w:space="5"/>
        </w:pBdr>
      </w:pPr>
      <w:r>
        <w:t>Estimación ex ante</w:t>
      </w:r>
    </w:p>
    <w:p>
      <w:pPr>
        <w:keepNext w:val="0"/>
        <w:spacing w:after="180" w:line="259" w:lineRule="auto"/>
      </w:pPr>
      <w:r>
        <w:rPr>
          <w:rFonts w:ascii="Arial" w:hAnsi="Arial"/>
          <w:b w:val="0"/>
          <w:i/>
          <w:color w:val="215F52"/>
          <w:sz w:val="21"/>
        </w:rPr>
        <w:t>Expediente de escenarios y resultados proyectados</w:t>
      </w:r>
    </w:p>
    <w:p>
      <w:pPr>
        <w:keepNext w:val="0"/>
        <w:spacing w:after="260" w:line="259" w:lineRule="auto"/>
      </w:pPr>
      <w:r>
        <w:rPr>
          <w:rFonts w:ascii="Arial" w:hAnsi="Arial"/>
          <w:b w:val="0"/>
          <w:i w:val="0"/>
          <w:color w:val="62716E"/>
          <w:sz w:val="17"/>
        </w:rPr>
        <w:t>Estándar de referencia: NEBIOT 0.8.2   |   Edición de plantilla 1.2</w:t>
      </w:r>
    </w:p>
    <w:p>
      <w:pPr>
        <w:keepNext w:val="0"/>
        <w:spacing w:after="200" w:line="259" w:lineRule="auto"/>
      </w:pPr>
      <w:r>
        <w:rPr>
          <w:rFonts w:ascii="Arial" w:hAnsi="Arial"/>
          <w:b w:val="0"/>
          <w:i/>
          <w:color w:val="215F52"/>
          <w:sz w:val="32"/>
        </w:rPr>
        <w:t>[NOMBRE DEL PROYECTO]</w:t>
      </w:r>
    </w:p>
    <w:p>
      <w:pPr>
        <w:spacing w:after="80"/>
      </w:pPr>
      <w:r>
        <w:rPr>
          <w:rFonts w:ascii="Arial" w:hAnsi="Arial"/>
          <w:b/>
          <w:i w:val="0"/>
          <w:color w:val="243A36"/>
          <w:sz w:val="18"/>
        </w:rPr>
        <w:t xml:space="preserve">ID del proyecto: </w:t>
      </w:r>
      <w:r>
        <w:rPr>
          <w:rFonts w:ascii="Arial" w:hAnsi="Arial"/>
          <w:b w:val="0"/>
          <w:i/>
          <w:color w:val="62716E"/>
          <w:sz w:val="18"/>
        </w:rPr>
        <w:t>[Completar]</w:t>
      </w:r>
    </w:p>
    <w:p>
      <w:pPr>
        <w:spacing w:after="80"/>
      </w:pPr>
      <w:r>
        <w:rPr>
          <w:rFonts w:ascii="Arial" w:hAnsi="Arial"/>
          <w:b/>
          <w:i w:val="0"/>
          <w:color w:val="243A36"/>
          <w:sz w:val="18"/>
        </w:rPr>
        <w:t xml:space="preserve">País / jurisdicción: </w:t>
      </w:r>
      <w:r>
        <w:rPr>
          <w:rFonts w:ascii="Arial" w:hAnsi="Arial"/>
          <w:b w:val="0"/>
          <w:i/>
          <w:color w:val="62716E"/>
          <w:sz w:val="18"/>
        </w:rPr>
        <w:t>[Completar]</w:t>
      </w:r>
    </w:p>
    <w:p>
      <w:pPr>
        <w:spacing w:after="80"/>
      </w:pPr>
      <w:r>
        <w:rPr>
          <w:rFonts w:ascii="Arial" w:hAnsi="Arial"/>
          <w:b/>
          <w:i w:val="0"/>
          <w:color w:val="243A36"/>
          <w:sz w:val="18"/>
        </w:rPr>
        <w:t xml:space="preserve">Versión del documento del proyecto: </w:t>
      </w:r>
      <w:r>
        <w:rPr>
          <w:rFonts w:ascii="Arial" w:hAnsi="Arial"/>
          <w:b w:val="0"/>
          <w:i/>
          <w:color w:val="62716E"/>
          <w:sz w:val="18"/>
        </w:rPr>
        <w:t>[Completar]</w:t>
      </w:r>
    </w:p>
    <w:p>
      <w:pPr>
        <w:spacing w:after="80"/>
      </w:pPr>
      <w:r>
        <w:rPr>
          <w:rFonts w:ascii="Arial" w:hAnsi="Arial"/>
          <w:b/>
          <w:i w:val="0"/>
          <w:color w:val="243A36"/>
          <w:sz w:val="18"/>
        </w:rPr>
        <w:t xml:space="preserve">Fecha de emisión (AAAA-MM-DD): </w:t>
      </w:r>
      <w:r>
        <w:rPr>
          <w:rFonts w:ascii="Arial" w:hAnsi="Arial"/>
          <w:b w:val="0"/>
          <w:i/>
          <w:color w:val="62716E"/>
          <w:sz w:val="18"/>
        </w:rPr>
        <w:t>[Completar]</w:t>
      </w:r>
    </w:p>
    <w:p>
      <w:pPr>
        <w:keepNext w:val="0"/>
        <w:spacing w:after="100" w:line="259" w:lineRule="auto"/>
      </w:pPr>
      <w:r>
        <w:rPr>
          <w:rFonts w:ascii="Arial" w:hAnsi="Arial"/>
          <w:b w:val="0"/>
          <w:i w:val="0"/>
          <w:color w:val="215F52"/>
          <w:sz w:val="21"/>
        </w:rPr>
        <w:t>Organizaciones ejecutoras y partes interesadas</w:t>
      </w:r>
    </w:p>
    <w:tbl>
      <w:tblPr>
        <w:tblW w:type="auto" w:w="0"/>
        <w:jc w:val="center"/>
        <w:tblLayout w:type="fixed"/>
        <w:tblLook w:firstColumn="1" w:firstRow="1" w:lastColumn="0" w:lastRow="0" w:noHBand="0" w:noVBand="1" w:val="04A0"/>
      </w:tblPr>
      <w:tblGrid>
        <w:gridCol w:w="3249"/>
        <w:gridCol w:w="3249"/>
        <w:gridCol w:w="3249"/>
      </w:tblGrid>
      <w:tr>
        <w:trPr>
          <w:trHeight w:val="1296" w:hRule="atLeast"/>
        </w:trPr>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ENTIDAD EJECUTORA</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PROPONENTE DEL PROYECTO</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TITULARES / PARTES INTERESADAS</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r>
    </w:tbl>
    <w:p>
      <w:pPr>
        <w:keepNext w:val="0"/>
        <w:spacing w:after="160" w:line="259" w:lineRule="auto"/>
      </w:pPr>
      <w:r>
        <w:rPr>
          <w:rFonts w:ascii="Arial" w:hAnsi="Arial"/>
          <w:b w:val="0"/>
          <w:i w:val="0"/>
          <w:color w:val="62716E"/>
          <w:sz w:val="16"/>
        </w:rPr>
        <w:t>Use logotipos autorizados e identifique la función real de cada organización. Exhibir un logotipo no establece consentimiento, propiedad, respaldo, validación ni admisión. Retire espacios sin usar de la presentación final.</w:t>
      </w:r>
    </w:p>
    <w:p>
      <w:pPr>
        <w:keepNext w:val="0"/>
        <w:spacing w:after="100" w:line="259" w:lineRule="auto"/>
      </w:pPr>
      <w:r>
        <w:rPr>
          <w:rFonts w:ascii="Arial" w:hAnsi="Arial"/>
          <w:b w:val="0"/>
          <w:i w:val="0"/>
          <w:color w:val="62716E"/>
          <w:sz w:val="15"/>
        </w:rPr>
        <w:t>Se conserva la grafía SAS del logotipo; S.A.S. es la convención de puntuación utilizada en el texto.</w:t>
      </w:r>
    </w:p>
    <w:p>
      <w:r>
        <w:br w:type="page"/>
      </w:r>
    </w:p>
    <w:p>
      <w:pPr>
        <w:pStyle w:val="Heading1"/>
        <w:keepNext/>
      </w:pPr>
      <w:r>
        <w:t>Licencia y uso de esta plantilla</w:t>
      </w:r>
    </w:p>
    <w:p>
      <w:pPr>
        <w:keepNext w:val="0"/>
        <w:spacing w:after="220" w:line="259" w:lineRule="auto"/>
      </w:pPr>
      <w:r>
        <w:rPr>
          <w:rFonts w:ascii="Arial" w:hAnsi="Arial"/>
          <w:b w:val="0"/>
          <w:i w:val="0"/>
          <w:color w:val="243A36"/>
          <w:sz w:val="19"/>
        </w:rPr>
        <w:t>Este documento es publicado por Nuevo Estándar Biotropical—NEBIOT S.A.S. Henry Arellano-Peña es el autor metodológico de NEB001 y NEB002. Los derechos sobre los materiales protegidos de NEBIOT permanecen en sus respectivos titulares. El uso comercial, la reproducción, la adaptación, la redistribución y el sublicenciamiento de material protegido están sujetos a la licencia aplicable o al permiso escrito específico del titular facultado para autorizarlo; los permisos de uso dentro del programa NEBIOT deberán registrarse en FRM-07 conforme a S-21. El acceso a este documento no otorga por sí mismo una licencia comercial, no transfiere titularidad, no autoriza el sublicenciamiento, no confiere admisión al programa ni autoriza la certificación o emisión de unidades ambientales. Las publicaciones de respaldo y los datos, programas informáticos e imágenes de terceros conservan sus respectivas licencias y obligaciones de atribución; no se afectan los permisos lícitos existentes ni los usos permitidos por la legislación aplicable. Los revisores independientes autorizados deberán disponer del acceso necesario para inspección, recálculo e informe conforme a S-22, sujeto a los permisos aplicables y las salvaguardas de confidencialidad.</w:t>
      </w:r>
    </w:p>
    <w:p>
      <w:pPr>
        <w:pStyle w:val="Heading2"/>
        <w:keepNext/>
      </w:pPr>
      <w:r>
        <w:t>Instrucciones de diligenciamiento</w:t>
      </w:r>
    </w:p>
    <w:p>
      <w:pPr>
        <w:keepNext w:val="0"/>
        <w:spacing w:after="180" w:line="259" w:lineRule="auto"/>
      </w:pPr>
      <w:r>
        <w:rPr>
          <w:rFonts w:ascii="Arial" w:hAnsi="Arial"/>
          <w:b w:val="0"/>
          <w:i w:val="0"/>
          <w:color w:val="243A36"/>
          <w:sz w:val="19"/>
        </w:rPr>
        <w:t>Esta plantilla organiza la evidencia exigida para su etapa según el Estándar NEBIOT versión 0.8.2. No sustituye el estándar, sus métodos aplicables, el perfil aprobado ni los formularios controlados. Complete campos entre corchetes y amplíe tablas o áreas de texto. Para conceptos no aplicables, registre motivo y decisión del revisor; no los suprima silenciosamente. Identifique información desconocida como faltante, no cero. Distinga observaciones, supuestos, proyecciones, resultados verificados y NVEU autorizadas. Los requisitos se evalúan en la etapa correspondiente; campos de etapas futuras no implican cumplimiento previo.</w:t>
      </w:r>
    </w:p>
    <w:p>
      <w:pPr>
        <w:pStyle w:val="Heading2"/>
        <w:keepNext/>
      </w:pPr>
      <w:r>
        <w:t>Referencia y alcance</w:t>
      </w:r>
    </w:p>
    <w:p>
      <w:pPr>
        <w:keepNext w:val="0"/>
        <w:spacing w:after="200" w:line="259" w:lineRule="auto"/>
      </w:pPr>
      <w:r>
        <w:rPr>
          <w:rFonts w:ascii="Arial" w:hAnsi="Arial"/>
          <w:b w:val="0"/>
          <w:i w:val="0"/>
          <w:color w:val="243A36"/>
          <w:sz w:val="17"/>
        </w:rPr>
        <w:t>[1] NEBIOT. Estándar NEBIOT, versión controlada 0.8.2. NEB-DOC-000, edición integrada. Dependencias principales: NEB-CYC-001; NEB-STD-001 y Anexo A; NEB-MTH-001/002; NEB-UNT-001; NEB-PRO-001; NEB-MIG-001; NEB-AUD-001 y NEB-FRM-001. Las referencias a cláusulas, ecuaciones, AP y FRM remiten a esa versión. Son dependencias normativas externas, no secciones faltantes de esta plantilla.</w:t>
      </w:r>
    </w:p>
    <w:p>
      <w:pPr>
        <w:keepNext w:val="0"/>
        <w:spacing w:after="140" w:line="259" w:lineRule="auto"/>
      </w:pPr>
      <w:r>
        <w:rPr>
          <w:rFonts w:ascii="Arial" w:hAnsi="Arial"/>
          <w:b w:val="0"/>
          <w:i w:val="0"/>
          <w:color w:val="243A36"/>
          <w:sz w:val="18"/>
        </w:rPr>
        <w:t>NIP conserva el nombre Nota de Idea de proyecto. PD identifica la Estimación ex ante.</w:t>
      </w:r>
    </w:p>
    <w:p>
      <w:pPr>
        <w:keepNext w:val="0"/>
        <w:spacing w:after="0" w:line="259" w:lineRule="auto"/>
      </w:pPr>
      <w:r>
        <w:rPr>
          <w:rFonts w:ascii="Arial" w:hAnsi="Arial"/>
          <w:b w:val="0"/>
          <w:i w:val="0"/>
          <w:color w:val="243A36"/>
          <w:sz w:val="18"/>
        </w:rPr>
        <w:t>NEBIOT presta la evaluación técnica, diseño y monitoreo contratados. El proponente y ejecutor identificados conservan responsabilidades de ejecución según S-25; los intereses excepcionales NEBIOT siguen S-26.</w:t>
      </w:r>
    </w:p>
    <w:p>
      <w:r>
        <w:br w:type="page"/>
      </w:r>
    </w:p>
    <w:p>
      <w:pPr>
        <w:pStyle w:val="Heading1"/>
        <w:keepNext/>
      </w:pPr>
      <w:r>
        <w:t>Control documental y contenido</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6824"/>
      </w:tblGrid>
      <w:tr>
        <w:trPr>
          <w:trHeight w:val="374" w:hRule="atLeast"/>
          <w:tblHeader/>
        </w:trPr>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Control</w:t>
            </w:r>
          </w:p>
        </w:tc>
        <w:tc>
          <w:tcPr>
            <w:tcW w:type="dxa" w:w="682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Registro</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Plantilla</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EX-ANTE / 1.2 / ES</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Estándar de referencia</w:t>
            </w:r>
          </w:p>
        </w:tc>
        <w:tc>
          <w:tcPr>
            <w:tcW w:type="dxa" w:w="6824"/>
            <w:vAlign w:val="center"/>
            <w:tcMar>
              <w:top w:w="70" w:type="dxa"/>
              <w:start w:w="85" w:type="dxa"/>
              <w:bottom w:w="70" w:type="dxa"/>
              <w:end w:w="85" w:type="dxa"/>
            </w:tcMar>
          </w:tcPr>
          <w:p>
            <w:pPr>
              <w:spacing w:after="0" w:line="250" w:lineRule="auto"/>
            </w:pPr>
            <w:r>
              <w:rPr>
                <w:rFonts w:ascii="Arial" w:hAnsi="Arial"/>
                <w:b w:val="0"/>
                <w:i w:val="0"/>
                <w:color w:val="243A36"/>
                <w:sz w:val="16"/>
              </w:rPr>
              <w:t>NEBIOT 0.8.2 / CYC-05</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Preparador / revisor</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Distribución / restricciones</w:t>
            </w:r>
          </w:p>
        </w:tc>
        <w:tc>
          <w:tcPr>
            <w:tcW w:type="dxa" w:w="6824"/>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1852"/>
        <w:gridCol w:w="2242"/>
        <w:gridCol w:w="5654"/>
      </w:tblGrid>
      <w:tr>
        <w:trPr>
          <w:trHeight w:val="360" w:hRule="atLeast"/>
          <w:tblHeader/>
        </w:trPr>
        <w:tc>
          <w:tcPr>
            <w:tcW w:type="dxa" w:w="185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Versión</w:t>
            </w:r>
          </w:p>
        </w:tc>
        <w:tc>
          <w:tcPr>
            <w:tcW w:type="dxa" w:w="224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Fecha</w:t>
            </w:r>
          </w:p>
        </w:tc>
        <w:tc>
          <w:tcPr>
            <w:tcW w:type="dxa" w:w="565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Cambio y autoridad</w:t>
            </w:r>
          </w:p>
        </w:tc>
      </w:tr>
      <w:tr>
        <w:trPr>
          <w:trHeight w:val="360" w:hRule="atLeast"/>
        </w:trPr>
        <w:tc>
          <w:tcPr>
            <w:tcW w:type="dxa" w:w="185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224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565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r>
    </w:tbl>
    <w:p>
      <w:pPr>
        <w:keepNext w:val="0"/>
        <w:spacing w:after="60" w:line="259" w:lineRule="auto"/>
      </w:pPr>
      <w:r>
        <w:rPr>
          <w:rFonts w:ascii="Arial" w:hAnsi="Arial"/>
          <w:b w:val="0"/>
          <w:i w:val="0"/>
          <w:color w:val="243A36"/>
          <w:sz w:val="2"/>
        </w:rPr>
      </w:r>
    </w:p>
    <w:p>
      <w:pPr>
        <w:keepNext w:val="0"/>
        <w:spacing w:after="100" w:line="259" w:lineRule="auto"/>
      </w:pPr>
      <w:r>
        <w:rPr>
          <w:rFonts w:ascii="Arial" w:hAnsi="Arial"/>
          <w:b/>
          <w:i w:val="0"/>
          <w:color w:val="215F52"/>
          <w:sz w:val="22"/>
        </w:rPr>
        <w:t>Contenido</w:t>
      </w:r>
    </w:p>
    <w:p>
      <w:pPr>
        <w:spacing w:after="60"/>
      </w:pPr>
      <w:hyperlink w:anchor="sec_01">
        <w:r>
          <w:rPr>
            <w:color w:val="215F52"/>
          </w:rPr>
          <w:t>01  Alcance, versión de la proyección y uso previsto</w:t>
        </w:r>
      </w:hyperlink>
    </w:p>
    <w:p>
      <w:pPr>
        <w:spacing w:after="60"/>
      </w:pPr>
      <w:hyperlink w:anchor="sec_02">
        <w:r>
          <w:rPr>
            <w:color w:val="215F52"/>
          </w:rPr>
          <w:t>02  Fuentes, mapas y referencia inicial de carbono</w:t>
        </w:r>
      </w:hyperlink>
    </w:p>
    <w:p>
      <w:pPr>
        <w:spacing w:after="60"/>
      </w:pPr>
      <w:hyperlink w:anchor="sec_03">
        <w:r>
          <w:rPr>
            <w:color w:val="215F52"/>
          </w:rPr>
          <w:t>03  Línea base y escenarios por impulsor</w:t>
        </w:r>
      </w:hyperlink>
    </w:p>
    <w:p>
      <w:pPr>
        <w:spacing w:after="60"/>
      </w:pPr>
      <w:hyperlink w:anchor="sec_04">
        <w:r>
          <w:rPr>
            <w:color w:val="215F52"/>
          </w:rPr>
          <w:t>04  Escenario del proyecto y emisiones de implementación</w:t>
        </w:r>
      </w:hyperlink>
    </w:p>
    <w:p>
      <w:pPr>
        <w:spacing w:after="60"/>
      </w:pPr>
      <w:hyperlink w:anchor="sec_05">
        <w:r>
          <w:rPr>
            <w:color w:val="215F52"/>
          </w:rPr>
          <w:t>05  Fugas y contrafactual fuera del proyecto</w:t>
        </w:r>
      </w:hyperlink>
    </w:p>
    <w:p>
      <w:pPr>
        <w:spacing w:after="60"/>
      </w:pPr>
      <w:hyperlink w:anchor="sec_06">
        <w:r>
          <w:rPr>
            <w:color w:val="215F52"/>
          </w:rPr>
          <w:t>06  Existencias, flujos, reservorios y liberación temporal</w:t>
        </w:r>
      </w:hyperlink>
    </w:p>
    <w:p>
      <w:pPr>
        <w:spacing w:after="60"/>
      </w:pPr>
      <w:hyperlink w:anchor="sec_07">
        <w:r>
          <w:rPr>
            <w:color w:val="215F52"/>
          </w:rPr>
          <w:t>07  Cuenta proyectada por período y horizonte</w:t>
        </w:r>
      </w:hyperlink>
    </w:p>
    <w:p>
      <w:pPr>
        <w:spacing w:after="60"/>
      </w:pPr>
      <w:hyperlink w:anchor="sec_08">
        <w:r>
          <w:rPr>
            <w:color w:val="215F52"/>
          </w:rPr>
          <w:t>08  Incertidumbre, materialidad y riesgo residual</w:t>
        </w:r>
      </w:hyperlink>
    </w:p>
    <w:p>
      <w:pPr>
        <w:spacing w:after="60"/>
      </w:pPr>
      <w:hyperlink w:anchor="sec_09">
        <w:r>
          <w:rPr>
            <w:color w:val="215F52"/>
          </w:rPr>
          <w:t>09  Migración y referencia de comparación</w:t>
        </w:r>
      </w:hyperlink>
    </w:p>
    <w:p>
      <w:pPr>
        <w:spacing w:after="60"/>
      </w:pPr>
      <w:hyperlink w:anchor="sec_10">
        <w:r>
          <w:rPr>
            <w:color w:val="215F52"/>
          </w:rPr>
          <w:t>10  Otros atributos y adicionalidad continua</w:t>
        </w:r>
      </w:hyperlink>
    </w:p>
    <w:p>
      <w:pPr>
        <w:spacing w:after="60"/>
      </w:pPr>
      <w:hyperlink w:anchor="sec_11">
        <w:r>
          <w:rPr>
            <w:color w:val="215F52"/>
          </w:rPr>
          <w:t>11  Revisión, entrega y anexos controlados</w:t>
        </w:r>
      </w:hyperlink>
    </w:p>
    <w:p>
      <w:pPr>
        <w:spacing w:after="80"/>
      </w:pPr>
      <w:hyperlink w:anchor="calc_register" w:history="1">
        <w:r>
          <w:rPr>
            <w:color w:val="215F52"/>
          </w:rPr>
          <w:t>CALC  Trazabilidad y notación del cálculo</w:t>
        </w:r>
      </w:hyperlink>
    </w:p>
    <w:p>
      <w:bookmarkStart w:id="3001" w:name="sec_01"/>
      <w:pPr>
        <w:pStyle w:val="Heading1"/>
        <w:keepNext/>
        <w:pageBreakBefore/>
      </w:pPr>
      <w:r>
        <w:t>01  Alcance, versión de la proyección y uso previsto</w:t>
      </w:r>
      <w:bookmarkEnd w:id="3001"/>
    </w:p>
    <w:p>
      <w:pPr>
        <w:spacing w:after="120"/>
      </w:pPr>
      <w:r>
        <w:rPr>
          <w:rFonts w:ascii="Lato" w:hAnsi="Lato"/>
          <w:b w:val="0"/>
          <w:color w:val="62716E"/>
          <w:sz w:val="16"/>
        </w:rPr>
        <w:t>[1] Referencia: CYC-01; CYC-03; CYC-04; CYC-05; S-18; U-01</w:t>
      </w:r>
    </w:p>
    <w:p>
      <w:pPr>
        <w:pStyle w:val="Heading2"/>
        <w:keepNext/>
      </w:pPr>
      <w:r>
        <w:t>Identidad de la proyección</w:t>
      </w:r>
    </w:p>
    <w:p>
      <w:pPr>
        <w:spacing w:after="80"/>
      </w:pPr>
      <w:r>
        <w:rPr>
          <w:rFonts w:ascii="Lato" w:hAnsi="Lato"/>
          <w:b w:val="0"/>
          <w:color w:val="62716E"/>
          <w:sz w:val="18"/>
        </w:rPr>
        <w:t>Identificar proyecto, etapa, versión del escenario, fecha de preparación, corte de información, horizonte e intervalos de reporte. Fijar la proyección de referencia antes de compararla con el monitoreo posterior. Indicar si respalda prefactibilidad, factibilidad, PD o una solicitud de migración.</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1-0-ES"/>
                <w:tag w:val="sec_01-0-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Alcance y estado</w:t>
      </w:r>
    </w:p>
    <w:p>
      <w:pPr>
        <w:keepNext/>
        <w:spacing w:before="40" w:after="60"/>
      </w:pPr>
      <w:r>
        <w:rPr>
          <w:rFonts w:ascii="Lato" w:hAnsi="Lato"/>
          <w:color w:val="315B50"/>
          <w:sz w:val="18"/>
        </w:rPr>
        <w:t>EXANTE-T03 / Notación del cálculo</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es la observación, entrada o salida identificada; u_l es su unidad declarada. Registrar ecuación exacta, archivo, hoja, celda/rango, período y estado. Esta notación no prescribe un estimador.</w:t>
      </w:r>
    </w:p>
    <w:p>
      <w:pPr>
        <w:keepNext/>
        <w:spacing w:before="40" w:after="60"/>
      </w:pPr>
      <w:r>
        <w:rPr>
          <w:rFonts w:ascii="Lato" w:hAnsi="Lato"/>
          <w:color w:val="315B50"/>
          <w:sz w:val="14"/>
        </w:rPr>
        <w:t>Base: F-01; T-01 | Libro: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Atributo / actividad / área</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Período y versión del modelo</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Uso previsto y restricciones</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sec_01-1-ES-1-1"/>
                <w:tag w:val="sec_01-1-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1-1-ES-1-2"/>
                <w:tag w:val="sec_01-1-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1-1-ES-1-3"/>
                <w:tag w:val="sec_01-1-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1-1-ES-2-1"/>
                <w:tag w:val="sec_01-1-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1-1-ES-2-2"/>
                <w:tag w:val="sec_01-1-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1-1-ES-2-3"/>
                <w:tag w:val="sec_01-1-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1-1-ES-3-1"/>
                <w:tag w:val="sec_01-1-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1-1-ES-3-2"/>
                <w:tag w:val="sec_01-1-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1-1-ES-3-3"/>
                <w:tag w:val="sec_01-1-ES-3-3"/>
                <w:text/>
              </w:sdtPr>
              <w:sdtContent>
                <w:r>
                  <w:rPr>
                    <w:rFonts w:ascii="Lato" w:hAnsi="Lato"/>
                    <w:sz w:val="18"/>
                    <w:color w:val="62716E"/>
                  </w:rPr>
                  <w:t>[Completar]</w:t>
                </w:r>
              </w:sdtContent>
            </w:sdt>
          </w:p>
        </w:tc>
      </w:tr>
    </w:tbl>
    <w:p>
      <w:pPr>
        <w:spacing w:after="0"/>
      </w:pPr>
    </w:p>
    <w:p>
      <w:pPr>
        <w:pStyle w:val="Heading2"/>
        <w:keepNext/>
      </w:pPr>
      <w:r>
        <w:t>Límite de la decisión</w:t>
      </w:r>
    </w:p>
    <w:p>
      <w:pPr>
        <w:spacing w:after="80"/>
      </w:pPr>
      <w:r>
        <w:rPr>
          <w:rFonts w:ascii="Lato" w:hAnsi="Lato"/>
          <w:b w:val="0"/>
          <w:color w:val="62716E"/>
          <w:sz w:val="18"/>
        </w:rPr>
        <w:t>Identificar todos los resultados como proyectados. Una fecha pasada no convierte un escenario reconstruido después en evidencia ex ante contemporánea. Registrar versiones originales disponibles y cambios. Una estimación no es resultado verificado, NVEU emitida ni autorización de declaración.</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1-2-ES"/>
                <w:tag w:val="sec_01-2-ES"/>
                <w:text/>
              </w:sdtPr>
              <w:sdtContent>
                <w:r>
                  <w:rPr>
                    <w:rFonts w:ascii="Lato" w:hAnsi="Lato"/>
                    <w:sz w:val="18"/>
                    <w:color w:val="62716E"/>
                  </w:rPr>
                  <w:t>[Registrar respuesta y referencias exactas de evidencia.]</w:t>
                </w:r>
              </w:sdtContent>
            </w:sdt>
          </w:p>
        </w:tc>
      </w:tr>
    </w:tbl>
    <w:p>
      <w:pPr>
        <w:spacing w:after="20" w:before="0" w:line="96" w:lineRule="auto"/>
      </w:pPr>
    </w:p>
    <w:p>
      <w:bookmarkStart w:id="3002" w:name="sec_02"/>
      <w:pPr>
        <w:pStyle w:val="Heading1"/>
        <w:keepNext/>
        <w:pageBreakBefore/>
      </w:pPr>
      <w:r>
        <w:t>02  Fuentes, mapas y referencia inicial de carbono</w:t>
      </w:r>
      <w:bookmarkEnd w:id="3002"/>
    </w:p>
    <w:p>
      <w:pPr>
        <w:spacing w:after="120"/>
      </w:pPr>
      <w:r>
        <w:rPr>
          <w:rFonts w:ascii="Lato" w:hAnsi="Lato"/>
          <w:b w:val="0"/>
          <w:color w:val="62716E"/>
          <w:sz w:val="16"/>
        </w:rPr>
        <w:t>[1] Referencia: T-01; T-11; T-12; T-13; T-15; MIG-13; MIG-15; FRM-08</w:t>
      </w:r>
    </w:p>
    <w:p>
      <w:pPr>
        <w:pStyle w:val="Heading2"/>
        <w:keepNext/>
      </w:pPr>
      <w:r>
        <w:t>Pasaporte de datos y parámetros</w:t>
      </w:r>
    </w:p>
    <w:p>
      <w:pPr>
        <w:keepNext/>
        <w:spacing w:before="40" w:after="60"/>
      </w:pPr>
      <w:r>
        <w:rPr>
          <w:rFonts w:ascii="Lato" w:hAnsi="Lato"/>
          <w:color w:val="315B50"/>
          <w:sz w:val="18"/>
        </w:rPr>
        <w:t>EXANTE-T04 / Notación del cálculo</w:t>
      </w:r>
    </w:p>
    <w:p>
      <w:pPr>
        <w:keepNext/>
        <w:spacing w:before="40" w:after="60"/>
      </w:pPr>
      <m:oMath>
        <m:sSub>
          <m:e>
            <m:r>
              <w:rPr>
                <w:sz w:val="18"/>
              </w:rPr>
              <m:t>c</m:t>
            </m:r>
          </m:e>
          <m:sub>
            <m:r>
              <w:rPr>
                <w:sz w:val="18"/>
              </w:rPr>
              <m:t>i</m:t>
            </m:r>
          </m:sub>
        </m:sSub>
        <m:r>
          <w:rPr>
            <w:sz w:val="18"/>
          </w:rPr>
          <m:rPr>
            <m:sty m:val="p"/>
          </m:rPr>
          <m:t>=</m:t>
        </m:r>
        <m:sSub>
          <m:e>
            <m:r>
              <w:rPr>
                <w:sz w:val="18"/>
              </w:rPr>
              <m:t>b</m:t>
            </m:r>
          </m:e>
          <m:sub>
            <m:r>
              <w:rPr>
                <w:sz w:val="18"/>
              </w:rPr>
              <m:t>i</m:t>
            </m:r>
          </m:sub>
        </m:sSub>
        <m:sSubSup>
          <m:e>
            <m:r>
              <w:rPr>
                <w:sz w:val="18"/>
              </w:rPr>
              <m:t>f</m:t>
            </m:r>
          </m:e>
          <m:sub>
            <m:r>
              <w:rPr>
                <w:sz w:val="18"/>
              </w:rPr>
              <m:t>i</m:t>
            </m:r>
          </m:sub>
          <m:sup>
            <m:r>
              <w:rPr>
                <w:sz w:val="18"/>
              </w:rPr>
              <m:t>C</m:t>
            </m:r>
          </m:sup>
        </m:sSubSup>
        <m:r>
          <w:rPr>
            <w:sz w:val="18"/>
          </w:rPr>
          <m:rPr>
            <m:sty m:val="p"/>
          </m:rPr>
          <m:t>,</m:t>
        </m:r>
        <m:r>
          <w:rPr>
            <w:sz w:val="18"/>
          </w:rPr>
          <m:t>  </m:t>
        </m:r>
        <m:sSubSup>
          <m:e>
            <m:r>
              <w:rPr>
                <w:sz w:val="18"/>
              </w:rPr>
              <m:t>e</m:t>
            </m:r>
          </m:e>
          <m:sub>
            <m:r>
              <w:rPr>
                <w:sz w:val="18"/>
              </w:rPr>
              <m:t>i</m:t>
            </m:r>
          </m:sub>
          <m:sup>
            <m:r>
              <w:rPr>
                <w:sz w:val="18"/>
              </w:rPr>
              <m:rPr>
                <m:sty m:val="p"/>
              </m:rPr>
              <m:t>s</m:t>
            </m:r>
            <m:r>
              <w:rPr>
                <w:sz w:val="18"/>
              </w:rPr>
              <m:rPr>
                <m:sty m:val="p"/>
              </m:rPr>
              <m:t>t</m:t>
            </m:r>
            <m:r>
              <w:rPr>
                <w:sz w:val="18"/>
              </w:rPr>
              <m:rPr>
                <m:sty m:val="p"/>
              </m:rPr>
              <m:t>o</m:t>
            </m:r>
            <m:r>
              <w:rPr>
                <w:sz w:val="18"/>
              </w:rPr>
              <m:rPr>
                <m:sty m:val="p"/>
              </m:rPr>
              <m:t>c</m:t>
            </m:r>
            <m:r>
              <w:rPr>
                <w:sz w:val="18"/>
              </w:rPr>
              <m:rPr>
                <m:sty m:val="p"/>
              </m:rPr>
              <m:t>k</m:t>
            </m:r>
          </m:sup>
        </m:sSubSup>
        <m:r>
          <w:rPr>
            <w:sz w:val="18"/>
          </w:rPr>
          <m:rPr>
            <m:sty m:val="p"/>
          </m:rPr>
          <m:t>=</m:t>
        </m:r>
        <m:f>
          <m:fPr>
            <m:type m:val="bar"/>
          </m:fPr>
          <m:num>
            <m:r>
              <w:rPr>
                <w:sz w:val="18"/>
              </w:rPr>
              <m:t>44</m:t>
            </m:r>
          </m:num>
          <m:den>
            <m:r>
              <w:rPr>
                <w:sz w:val="18"/>
              </w:rPr>
              <m:t>12</m:t>
            </m:r>
          </m:den>
        </m:f>
        <m:sSub>
          <m:e>
            <m:r>
              <w:rPr>
                <w:sz w:val="18"/>
              </w:rPr>
              <m:t>c</m:t>
            </m:r>
          </m:e>
          <m:sub>
            <m:r>
              <w:rPr>
                <w:sz w:val="18"/>
              </w:rPr>
              <m:t>i</m:t>
            </m:r>
          </m:sub>
        </m:sSub>
      </m:oMath>
    </w:p>
    <w:p>
      <w:pPr>
        <w:keepNext/>
        <w:spacing w:before="40" w:after="60"/>
      </w:pPr>
      <w:r>
        <w:rPr>
          <w:rFonts w:ascii="Lato" w:hAnsi="Lato"/>
          <w:color w:val="315B50"/>
          <w:sz w:val="16"/>
        </w:rPr>
        <w:t>b es densidad de biomasa seca en Mg/ha; c es densidad de carbono en Mg C/ha. Aplicar la fracción solo a BIOMASS, no a una banda CARBON. e_stock equivale al stock en masa de CO2, no a emisión anual o crédito. Una entrada CO2E ya caracterizada requiere alcance de gases propio.</w:t>
      </w:r>
    </w:p>
    <w:p>
      <w:pPr>
        <w:keepNext/>
        <w:spacing w:before="40" w:after="60"/>
      </w:pPr>
      <w:r>
        <w:rPr>
          <w:rFonts w:ascii="Lato" w:hAnsi="Lato"/>
          <w:color w:val="315B50"/>
          <w:sz w:val="14"/>
        </w:rPr>
        <w:t>Base: M02; M04.2; F-C02 | Libro: Factors!C:G; Profile!B16</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Variable / fuente / ID de evidencia</w:t>
            </w:r>
          </w:p>
          <w:p>
            <w:pPr>
              <w:spacing w:before="40" w:after="40"/>
            </w:pPr>
            <m:oMath>
              <m:r>
                <w:rPr>
                  <w:sz w:val="16"/>
                  <w:color w:val="173E34"/>
                </w:rPr>
                <m:t>i</m:t>
              </m:r>
              <m:r>
                <w:rPr>
                  <w:sz w:val="16"/>
                  <w:color w:val="173E34"/>
                </w:rPr>
                <m:rPr>
                  <m:sty m:val="p"/>
                </m:rPr>
                <m:t>,</m:t>
              </m:r>
              <m:r>
                <w:rPr>
                  <w:sz w:val="16"/>
                  <w:color w:val="173E34"/>
                </w:rPr>
                <m:t> </m:t>
              </m:r>
              <m:r>
                <w:rPr>
                  <w:sz w:val="16"/>
                  <w:color w:val="173E34"/>
                </w:rPr>
                <m:t>o</m:t>
              </m:r>
            </m:oMath>
          </w:p>
        </w:tc>
        <w:tc>
          <w:tcPr>
            <w:tcW w:type="dxa" w:w="3250"/>
            <w:tcMar>
              <w:top w:w="90" w:type="dxa"/>
              <w:bottom w:w="90" w:type="dxa"/>
              <w:left w:w="100" w:type="dxa"/>
              <w:right w:w="100" w:type="dxa"/>
            </w:tcMar>
            <w:vAlign w:val="center"/>
            <w:shd w:fill="E6F0EB"/>
          </w:tcPr>
          <w:p>
            <w:r>
              <w:rPr>
                <w:rFonts w:ascii="Lato" w:hAnsi="Lato"/>
                <w:b/>
                <w:color w:val="173E34"/>
                <w:sz w:val="17"/>
              </w:rPr>
              <w:t>Banda, unidad, fecha y soporte espacial</w:t>
            </w:r>
          </w:p>
          <w:p>
            <w:pPr>
              <w:spacing w:before="40" w:after="40"/>
            </w:pPr>
            <m:oMath>
              <m:sSub>
                <m:e>
                  <m:r>
                    <w:rPr>
                      <w:sz w:val="16"/>
                      <w:color w:val="173E34"/>
                    </w:rPr>
                    <m:t>b</m:t>
                  </m:r>
                </m:e>
                <m:sub>
                  <m:r>
                    <w:rPr>
                      <w:sz w:val="16"/>
                      <w:color w:val="173E34"/>
                    </w:rPr>
                    <m:t>i</m:t>
                  </m:r>
                </m:sub>
              </m:sSub>
              <m:r>
                <w:rPr>
                  <w:sz w:val="16"/>
                  <w:color w:val="173E34"/>
                </w:rPr>
                <m:rPr>
                  <m:sty m:val="p"/>
                </m:rPr>
                <m:t>,</m:t>
              </m:r>
              <m:r>
                <w:rPr>
                  <w:sz w:val="16"/>
                  <w:color w:val="173E34"/>
                </w:rPr>
                <m:t> </m:t>
              </m:r>
              <m:sSubSup>
                <m:e>
                  <m:r>
                    <w:rPr>
                      <w:sz w:val="16"/>
                      <w:color w:val="173E34"/>
                    </w:rPr>
                    <m:t>f</m:t>
                  </m:r>
                </m:e>
                <m:sub>
                  <m:r>
                    <w:rPr>
                      <w:sz w:val="16"/>
                      <w:color w:val="173E34"/>
                    </w:rPr>
                    <m:t>i</m:t>
                  </m:r>
                </m:sub>
                <m:sup>
                  <m:r>
                    <w:rPr>
                      <w:sz w:val="16"/>
                      <w:color w:val="173E34"/>
                    </w:rPr>
                    <m:t>C</m:t>
                  </m:r>
                </m:sup>
              </m:sSubSup>
              <m:r>
                <w:rPr>
                  <w:sz w:val="16"/>
                  <w:color w:val="173E34"/>
                </w:rPr>
                <m:rPr>
                  <m:sty m:val="p"/>
                </m:rPr>
                <m:t>,</m:t>
              </m:r>
              <m:r>
                <w:rPr>
                  <w:sz w:val="16"/>
                  <w:color w:val="173E34"/>
                </w:rPr>
                <m:t> </m:t>
              </m:r>
              <m:sSub>
                <m:e>
                  <m:r>
                    <w:rPr>
                      <w:sz w:val="16"/>
                      <w:color w:val="173E34"/>
                    </w:rPr>
                    <m:t>c</m:t>
                  </m:r>
                </m:e>
                <m:sub>
                  <m:r>
                    <w:rPr>
                      <w:sz w:val="16"/>
                      <w:color w:val="173E34"/>
                    </w:rPr>
                    <m:t>i</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Ruta, incertidumbre y uso permitido</w:t>
            </w:r>
          </w:p>
          <w:p>
            <w:pPr>
              <w:spacing w:before="40" w:after="40"/>
            </w:pPr>
            <m:oMath>
              <m:sSubSup>
                <m:e>
                  <m:r>
                    <w:rPr>
                      <w:sz w:val="16"/>
                      <w:color w:val="173E34"/>
                    </w:rPr>
                    <m:t>e</m:t>
                  </m:r>
                </m:e>
                <m:sub>
                  <m:r>
                    <w:rPr>
                      <w:sz w:val="16"/>
                      <w:color w:val="173E34"/>
                    </w:rPr>
                    <m:t>i</m:t>
                  </m:r>
                </m:sub>
                <m:sup>
                  <m:r>
                    <w:rPr>
                      <w:sz w:val="16"/>
                      <w:color w:val="173E34"/>
                    </w:rPr>
                    <m:rPr>
                      <m:sty m:val="p"/>
                    </m:rPr>
                    <m:t>s</m:t>
                  </m:r>
                  <m:r>
                    <w:rPr>
                      <w:sz w:val="16"/>
                      <w:color w:val="173E34"/>
                    </w:rPr>
                    <m:rPr>
                      <m:sty m:val="p"/>
                    </m:rPr>
                    <m:t>t</m:t>
                  </m:r>
                  <m:r>
                    <w:rPr>
                      <w:sz w:val="16"/>
                      <w:color w:val="173E34"/>
                    </w:rPr>
                    <m:rPr>
                      <m:sty m:val="p"/>
                    </m:rPr>
                    <m:t>o</m:t>
                  </m:r>
                  <m:r>
                    <w:rPr>
                      <w:sz w:val="16"/>
                      <w:color w:val="173E34"/>
                    </w:rPr>
                    <m:rPr>
                      <m:sty m:val="p"/>
                    </m:rPr>
                    <m:t>c</m:t>
                  </m:r>
                  <m:r>
                    <w:rPr>
                      <w:sz w:val="16"/>
                      <w:color w:val="173E34"/>
                    </w:rPr>
                    <m:rPr>
                      <m:sty m:val="p"/>
                    </m:rPr>
                    <m:t>k</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02-0-ES-1-1"/>
                <w:tag w:val="sec_02-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0-ES-1-2"/>
                <w:tag w:val="sec_02-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0-ES-1-3"/>
                <w:tag w:val="sec_02-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2-0-ES-2-1"/>
                <w:tag w:val="sec_02-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2-0-ES-2-2"/>
                <w:tag w:val="sec_02-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2-0-ES-2-3"/>
                <w:tag w:val="sec_02-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2-0-ES-3-1"/>
                <w:tag w:val="sec_02-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0-ES-3-2"/>
                <w:tag w:val="sec_02-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0-ES-3-3"/>
                <w:tag w:val="sec_02-0-ES-3-3"/>
                <w:text/>
              </w:sdtPr>
              <w:sdtContent>
                <w:r>
                  <w:rPr>
                    <w:rFonts w:ascii="Lato" w:hAnsi="Lato"/>
                    <w:sz w:val="18"/>
                    <w:color w:val="62716E"/>
                  </w:rPr>
                  <w:t>[Completar]</w:t>
                </w:r>
              </w:sdtContent>
            </w:sdt>
          </w:p>
        </w:tc>
      </w:tr>
    </w:tbl>
    <w:p>
      <w:pPr>
        <w:spacing w:after="0"/>
      </w:pPr>
    </w:p>
    <w:p>
      <w:pPr>
        <w:pStyle w:val="Heading2"/>
        <w:keepNext/>
      </w:pPr>
      <w:r>
        <w:t>Compatibilidad y custodia</w:t>
      </w:r>
    </w:p>
    <w:p>
      <w:pPr>
        <w:spacing w:after="80"/>
      </w:pPr>
      <w:r>
        <w:rPr>
          <w:rFonts w:ascii="Lato" w:hAnsi="Lato"/>
          <w:b w:val="0"/>
          <w:color w:val="62716E"/>
          <w:sz w:val="18"/>
        </w:rPr>
        <w:t>Registrar banda real, significado de biomasa o carbono, factores de escala, máscara sin datos, cobertura elegible, fechas de adquisición, derechos y procesamiento. Distinguir tamaño de celda de exactitud de referencia independiente. Calificar datos existentes mediante A/B/C sin imponer reconstrucción nueva automáticamente.</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2-1-ES"/>
                <w:tag w:val="sec_02-1-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Trazabilidad de la evidencia</w:t>
      </w:r>
    </w:p>
    <w:p>
      <w:pPr>
        <w:keepNext/>
        <w:spacing w:before="40" w:after="60"/>
      </w:pPr>
      <w:r>
        <w:rPr>
          <w:rFonts w:ascii="Lato" w:hAnsi="Lato"/>
          <w:color w:val="315B50"/>
          <w:sz w:val="18"/>
        </w:rPr>
        <w:t>EXANTE-T05 / Notación del cálculo</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es la observación, entrada o salida identificada; u_l es su unidad declarada. Registrar ecuación exacta, archivo, hoja, celda/rango, período y estado. Esta notación no prescribe un estimador.</w:t>
      </w:r>
    </w:p>
    <w:p>
      <w:pPr>
        <w:keepNext/>
        <w:spacing w:before="40" w:after="60"/>
      </w:pPr>
      <w:r>
        <w:rPr>
          <w:rFonts w:ascii="Lato" w:hAnsi="Lato"/>
          <w:color w:val="315B50"/>
          <w:sz w:val="14"/>
        </w:rPr>
        <w:t>Base: F-01; T-01 | Libro: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Entrada / ubicación original</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Observado, modelado o supuesto</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Uso seleccionado / restricción pendiente</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sec_02-2-ES-1-1"/>
                <w:tag w:val="sec_02-2-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2-ES-1-2"/>
                <w:tag w:val="sec_02-2-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2-ES-1-3"/>
                <w:tag w:val="sec_02-2-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2-2-ES-2-1"/>
                <w:tag w:val="sec_02-2-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2-2-ES-2-2"/>
                <w:tag w:val="sec_02-2-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2-2-ES-2-3"/>
                <w:tag w:val="sec_02-2-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2-2-ES-3-1"/>
                <w:tag w:val="sec_02-2-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2-ES-3-2"/>
                <w:tag w:val="sec_02-2-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2-ES-3-3"/>
                <w:tag w:val="sec_02-2-ES-3-3"/>
                <w:text/>
              </w:sdtPr>
              <w:sdtContent>
                <w:r>
                  <w:rPr>
                    <w:rFonts w:ascii="Lato" w:hAnsi="Lato"/>
                    <w:sz w:val="18"/>
                    <w:color w:val="62716E"/>
                  </w:rPr>
                  <w:t>[Completar]</w:t>
                </w:r>
              </w:sdtContent>
            </w:sdt>
          </w:p>
        </w:tc>
      </w:tr>
    </w:tbl>
    <w:p>
      <w:pPr>
        <w:spacing w:after="0"/>
      </w:pPr>
    </w:p>
    <w:p>
      <w:bookmarkStart w:id="3003" w:name="sec_03"/>
      <w:pPr>
        <w:pStyle w:val="Heading1"/>
        <w:keepNext/>
        <w:pageBreakBefore/>
      </w:pPr>
      <w:r>
        <w:t>03  Línea base y escenarios por impulsor</w:t>
      </w:r>
      <w:bookmarkEnd w:id="3003"/>
    </w:p>
    <w:p>
      <w:pPr>
        <w:spacing w:after="120"/>
      </w:pPr>
      <w:r>
        <w:rPr>
          <w:rFonts w:ascii="Lato" w:hAnsi="Lato"/>
          <w:b w:val="0"/>
          <w:color w:val="62716E"/>
          <w:sz w:val="16"/>
        </w:rPr>
        <w:t>[1] Referencia: S-07; S-08; AO-04; AO-05; AO-07; F-B01; F-B02; F-B03a; F-B03b</w:t>
      </w:r>
    </w:p>
    <w:p>
      <w:pPr>
        <w:pStyle w:val="Heading2"/>
        <w:keepNext/>
      </w:pPr>
      <w:r>
        <w:t>Contrafactual y aplicabilidad</w:t>
      </w:r>
    </w:p>
    <w:p>
      <w:pPr>
        <w:spacing w:after="80"/>
      </w:pPr>
      <w:r>
        <w:rPr>
          <w:rFonts w:ascii="Lato" w:hAnsi="Lato"/>
          <w:b w:val="0"/>
          <w:color w:val="62716E"/>
          <w:sz w:val="18"/>
        </w:rPr>
        <w:t>Documentar escenario sin proyecto, explicaciones alternativas, evidencia de impulsores, definición de bosque, región de referencia, condiciones jurídicas y operativas y prueba de adicionalidad. Un permiso, concesión cartográfica o puntaje de riesgo no establece por sí solo lugar, cantidad o fecha de conversión.</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3-0-ES"/>
                <w:tag w:val="sec_03-0-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Escenario de actividades no duplicadas</w:t>
      </w:r>
    </w:p>
    <w:p>
      <w:pPr>
        <w:keepNext/>
        <w:spacing w:before="40" w:after="60"/>
      </w:pPr>
      <w:r>
        <w:rPr>
          <w:rFonts w:ascii="Lato" w:hAnsi="Lato"/>
          <w:color w:val="315B50"/>
          <w:sz w:val="18"/>
        </w:rPr>
        <w:t>EXANTE-T06 / Notación del cálculo</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es la observación, entrada o salida identificada; u_l es su unidad declarada. Registrar ecuación exacta, archivo, hoja, celda/rango, período y estado. Esta notación no prescribe un estimador.</w:t>
      </w:r>
    </w:p>
    <w:p>
      <w:pPr>
        <w:keepNext/>
        <w:spacing w:before="40" w:after="60"/>
      </w:pPr>
      <w:r>
        <w:rPr>
          <w:rFonts w:ascii="Lato" w:hAnsi="Lato"/>
          <w:color w:val="315B50"/>
          <w:sz w:val="14"/>
        </w:rPr>
        <w:t>Base: F-01; T-01 | Libro: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Impulsor / estrato / transición</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Área o actividad por período y evidencia</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Pérdida bruta, recuperación u otro proceso</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sec_03-1-ES-1-1"/>
                <w:tag w:val="sec_03-1-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3-1-ES-1-2"/>
                <w:tag w:val="sec_03-1-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3-1-ES-1-3"/>
                <w:tag w:val="sec_03-1-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3-1-ES-2-1"/>
                <w:tag w:val="sec_03-1-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3-1-ES-2-2"/>
                <w:tag w:val="sec_03-1-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3-1-ES-2-3"/>
                <w:tag w:val="sec_03-1-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3-1-ES-3-1"/>
                <w:tag w:val="sec_03-1-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3-1-ES-3-2"/>
                <w:tag w:val="sec_03-1-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3-1-ES-3-3"/>
                <w:tag w:val="sec_03-1-ES-3-3"/>
                <w:text/>
              </w:sdtPr>
              <w:sdtContent>
                <w:r>
                  <w:rPr>
                    <w:rFonts w:ascii="Lato" w:hAnsi="Lato"/>
                    <w:sz w:val="18"/>
                    <w:color w:val="62716E"/>
                  </w:rPr>
                  <w:t>[Completar]</w:t>
                </w:r>
              </w:sdtContent>
            </w:sdt>
          </w:p>
        </w:tc>
      </w:tr>
    </w:tbl>
    <w:p>
      <w:pPr>
        <w:spacing w:after="0"/>
      </w:pPr>
    </w:p>
    <w:p>
      <w:pPr>
        <w:pStyle w:val="Heading2"/>
        <w:keepNext/>
      </w:pPr>
      <w:r>
        <w:t>Controles temporales y espaciales</w:t>
      </w:r>
    </w:p>
    <w:p>
      <w:pPr>
        <w:spacing w:after="80"/>
      </w:pPr>
      <w:r>
        <w:rPr>
          <w:rFonts w:ascii="Lato" w:hAnsi="Lato"/>
          <w:b w:val="0"/>
          <w:color w:val="62716E"/>
          <w:sz w:val="18"/>
        </w:rPr>
        <w:t>Distinguir transiciones brutas del cambio neto de área por clase. Conciliar área elegible remanente, perturbaciones repetidas e impulsores compartidos. Los efectos climáticos requieren método, evidencia y límite causal; no insertar un término climático solo porque aparezca en otra cuenta.</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3-2-ES"/>
                <w:tag w:val="sec_03-2-ES"/>
                <w:text/>
              </w:sdtPr>
              <w:sdtContent>
                <w:r>
                  <w:rPr>
                    <w:rFonts w:ascii="Lato" w:hAnsi="Lato"/>
                    <w:sz w:val="18"/>
                    <w:color w:val="62716E"/>
                  </w:rPr>
                  <w:t>[Registrar respuesta y referencias exactas de evidencia.]</w:t>
                </w:r>
              </w:sdtContent>
            </w:sdt>
          </w:p>
        </w:tc>
      </w:tr>
    </w:tbl>
    <w:p>
      <w:pPr>
        <w:spacing w:after="20" w:before="0" w:line="96" w:lineRule="auto"/>
      </w:pPr>
    </w:p>
    <w:p>
      <w:bookmarkStart w:id="3004" w:name="sec_04"/>
      <w:pPr>
        <w:pStyle w:val="Heading1"/>
        <w:keepNext/>
        <w:pageBreakBefore/>
      </w:pPr>
      <w:r>
        <w:t>04  Escenario del proyecto y emisiones de implementación</w:t>
      </w:r>
      <w:bookmarkEnd w:id="3004"/>
    </w:p>
    <w:p>
      <w:pPr>
        <w:spacing w:after="120"/>
      </w:pPr>
      <w:r>
        <w:rPr>
          <w:rFonts w:ascii="Lato" w:hAnsi="Lato"/>
          <w:b w:val="0"/>
          <w:color w:val="62716E"/>
          <w:sz w:val="16"/>
        </w:rPr>
        <w:t>[1] Referencia: F-P01; F-P02; S-25; AO-06; AO-08</w:t>
      </w:r>
    </w:p>
    <w:p>
      <w:pPr>
        <w:pStyle w:val="Heading2"/>
        <w:keepNext/>
      </w:pPr>
      <w:r>
        <w:t>Supuestos del escenario</w:t>
      </w:r>
    </w:p>
    <w:p>
      <w:pPr>
        <w:keepNext/>
        <w:spacing w:before="40" w:after="60"/>
      </w:pPr>
      <w:r>
        <w:rPr>
          <w:rFonts w:ascii="Lato" w:hAnsi="Lato"/>
          <w:color w:val="315B50"/>
          <w:sz w:val="18"/>
        </w:rPr>
        <w:t>EXANTE-T07 / Notación del cálculo</w:t>
      </w:r>
    </w:p>
    <w:p>
      <w:pPr>
        <w:keepNext/>
        <w:spacing w:before="40" w:after="60"/>
      </w:pPr>
      <m:oMath>
        <m:sSubSup>
          <m:e>
            <m:r>
              <w:rPr>
                <w:sz w:val="18"/>
              </w:rPr>
              <m:t>P</m:t>
            </m:r>
          </m:e>
          <m:sub>
            <m:r>
              <w:rPr>
                <w:sz w:val="18"/>
              </w:rPr>
              <m:t>t</m:t>
            </m:r>
          </m:sub>
          <m:sup>
            <m:r>
              <w:rPr>
                <w:sz w:val="18"/>
              </w:rPr>
              <m:rPr>
                <m:sty m:val="p"/>
              </m:rPr>
              <m:t>e</m:t>
            </m:r>
            <m:r>
              <w:rPr>
                <w:sz w:val="18"/>
              </w:rPr>
              <m:rPr>
                <m:sty m:val="p"/>
              </m:rPr>
              <m:t>x</m:t>
            </m:r>
            <m:r>
              <w:rPr>
                <w:sz w:val="18"/>
              </w:rPr>
              <m:rPr>
                <m:sty m:val="p"/>
              </m:rPr>
              <m:t>a</m:t>
            </m:r>
            <m:r>
              <w:rPr>
                <w:sz w:val="18"/>
              </w:rPr>
              <m:rPr>
                <m:sty m:val="p"/>
              </m:rPr>
              <m:t>n</m:t>
            </m:r>
            <m:r>
              <w:rPr>
                <w:sz w:val="18"/>
              </w:rPr>
              <m:rPr>
                <m:sty m:val="p"/>
              </m:rPr>
              <m:t>t</m:t>
            </m:r>
            <m:r>
              <w:rPr>
                <w:sz w:val="18"/>
              </w:rPr>
              <m:rPr>
                <m:sty m:val="p"/>
              </m:rPr>
              <m:t>e</m:t>
            </m:r>
          </m:sup>
        </m:sSubSup>
        <m:r>
          <w:rPr>
            <w:sz w:val="18"/>
          </w:rPr>
          <m:rPr>
            <m:sty m:val="p"/>
          </m:rPr>
          <m:t>=</m:t>
        </m:r>
        <m:d>
          <m:dPr>
            <m:begChr m:val="("/>
            <m:endChr m:val=")"/>
            <m:sepChr m:val=""/>
            <m:grow/>
          </m:dPr>
          <m:e>
            <m:r>
              <w:rPr>
                <w:sz w:val="18"/>
              </w:rPr>
              <m:t>1</m:t>
            </m:r>
            <m:r>
              <w:rPr>
                <w:sz w:val="18"/>
              </w:rPr>
              <m:rPr>
                <m:sty m:val="p"/>
              </m:rPr>
              <m:t>−</m:t>
            </m:r>
            <m:sSub>
              <m:e>
                <m:r>
                  <w:rPr>
                    <w:sz w:val="18"/>
                  </w:rPr>
                  <m:t>η</m:t>
                </m:r>
              </m:e>
              <m:sub>
                <m:r>
                  <w:rPr>
                    <w:sz w:val="18"/>
                  </w:rPr>
                  <m:t>t</m:t>
                </m:r>
              </m:sub>
            </m:sSub>
          </m:e>
        </m:d>
        <m:sSubSup>
          <m:e>
            <m:r>
              <w:rPr>
                <w:sz w:val="18"/>
              </w:rPr>
              <m:t>B</m:t>
            </m:r>
          </m:e>
          <m:sub>
            <m:r>
              <w:rPr>
                <w:sz w:val="18"/>
              </w:rPr>
              <m:t>t</m:t>
            </m:r>
          </m:sub>
          <m:sup>
            <m:r>
              <w:rPr>
                <w:sz w:val="18"/>
              </w:rPr>
              <m:rPr>
                <m:sty m:val="p"/>
              </m:rPr>
              <m:t>l</m:t>
            </m:r>
            <m:r>
              <w:rPr>
                <w:sz w:val="18"/>
              </w:rPr>
              <m:rPr>
                <m:sty m:val="p"/>
              </m:rPr>
              <m:t>a</m:t>
            </m:r>
            <m:r>
              <w:rPr>
                <w:sz w:val="18"/>
              </w:rPr>
              <m:rPr>
                <m:sty m:val="p"/>
              </m:rPr>
              <m:t>n</m:t>
            </m:r>
            <m:r>
              <w:rPr>
                <w:sz w:val="18"/>
              </w:rPr>
              <m:rPr>
                <m:sty m:val="p"/>
              </m:rPr>
              <m:t>d</m:t>
            </m:r>
          </m:sup>
        </m:sSubSup>
        <m:r>
          <w:rPr>
            <w:sz w:val="18"/>
          </w:rPr>
          <m:rPr>
            <m:sty m:val="p"/>
          </m:rPr>
          <m:t>+</m:t>
        </m:r>
        <m:sSubSup>
          <m:e>
            <m:r>
              <w:rPr>
                <w:sz w:val="18"/>
              </w:rPr>
              <m:t>I</m:t>
            </m:r>
          </m:e>
          <m:sub>
            <m:r>
              <w:rPr>
                <w:sz w:val="18"/>
              </w:rPr>
              <m:t>t</m:t>
            </m:r>
          </m:sub>
          <m:sup>
            <m:r>
              <w:rPr>
                <w:sz w:val="18"/>
              </w:rPr>
              <m:rPr>
                <m:sty m:val="p"/>
              </m:rPr>
              <m:t>i</m:t>
            </m:r>
            <m:r>
              <w:rPr>
                <w:sz w:val="18"/>
              </w:rPr>
              <m:rPr>
                <m:sty m:val="p"/>
              </m:rPr>
              <m:t>m</m:t>
            </m:r>
            <m:r>
              <w:rPr>
                <w:sz w:val="18"/>
              </w:rPr>
              <m:rPr>
                <m:sty m:val="p"/>
              </m:rPr>
              <m:t>p</m:t>
            </m:r>
            <m:r>
              <w:rPr>
                <w:sz w:val="18"/>
              </w:rPr>
              <m:rPr>
                <m:sty m:val="p"/>
              </m:rPr>
              <m:t>l</m:t>
            </m:r>
          </m:sup>
        </m:sSubSup>
      </m:oMath>
    </w:p>
    <w:p>
      <w:pPr>
        <w:keepNext/>
        <w:spacing w:before="40" w:after="60"/>
      </w:pPr>
      <w:r>
        <w:rPr>
          <w:rFonts w:ascii="Lato" w:hAnsi="Lato"/>
          <w:color w:val="315B50"/>
          <w:sz w:val="16"/>
        </w:rPr>
        <w:t>eta es fracción evitada de 0 a 1; B_land es masa no negativa de liberación de línea base; I_impl son emisiones adicionales no incluidas en el residual. Usar solo bajo definición F-P02. Ex post usa entradas monitoreadas y conversiones sustentadas, no efectividad supuesta.</w:t>
      </w:r>
    </w:p>
    <w:p>
      <w:pPr>
        <w:keepNext/>
        <w:spacing w:before="40" w:after="60"/>
      </w:pPr>
      <w:r>
        <w:rPr>
          <w:rFonts w:ascii="Lato" w:hAnsi="Lato"/>
          <w:color w:val="315B50"/>
          <w:sz w:val="14"/>
        </w:rPr>
        <w:t>Base: F-P02; M04.4 | Libro: Escenario previo calificado; Components!D=PJ; ExAnte!G</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Actividad / mecanismo causal</w:t>
            </w:r>
          </w:p>
          <w:p>
            <w:pPr>
              <w:spacing w:before="40" w:after="40"/>
            </w:pPr>
            <m:oMath>
              <m:r>
                <w:rPr>
                  <w:sz w:val="16"/>
                  <w:color w:val="173E34"/>
                </w:rPr>
                <m:t>t</m:t>
              </m:r>
              <m:r>
                <w:rPr>
                  <w:sz w:val="16"/>
                  <w:color w:val="173E34"/>
                </w:rPr>
                <m:rPr>
                  <m:sty m:val="p"/>
                </m:rPr>
                <m:t>,</m:t>
              </m:r>
              <m:r>
                <w:rPr>
                  <w:sz w:val="16"/>
                  <w:color w:val="173E34"/>
                </w:rPr>
                <m:t> </m:t>
              </m:r>
              <m:r>
                <w:rPr>
                  <w:sz w:val="16"/>
                  <w:color w:val="173E34"/>
                </w:rPr>
                <m:rPr>
                  <m:nor/>
                  <m:sty m:val="p"/>
                </m:rPr>
                <m:t>activity</m:t>
              </m:r>
            </m:oMath>
          </w:p>
        </w:tc>
        <w:tc>
          <w:tcPr>
            <w:tcW w:type="dxa" w:w="3250"/>
            <w:tcMar>
              <w:top w:w="90" w:type="dxa"/>
              <w:bottom w:w="90" w:type="dxa"/>
              <w:left w:w="100" w:type="dxa"/>
              <w:right w:w="100" w:type="dxa"/>
            </w:tcMar>
            <w:vAlign w:val="center"/>
            <w:shd w:fill="E6F0EB"/>
          </w:tcPr>
          <w:p>
            <w:r>
              <w:rPr>
                <w:rFonts w:ascii="Lato" w:hAnsi="Lato"/>
                <w:b/>
                <w:color w:val="173E34"/>
                <w:sz w:val="17"/>
              </w:rPr>
              <w:t>Fracción evitada o residual y evidencia</w:t>
            </w:r>
          </w:p>
          <w:p>
            <w:pPr>
              <w:spacing w:before="40" w:after="40"/>
            </w:pPr>
            <m:oMath>
              <m:sSub>
                <m:e>
                  <m:r>
                    <w:rPr>
                      <w:sz w:val="16"/>
                      <w:color w:val="173E34"/>
                    </w:rPr>
                    <m:t>η</m:t>
                  </m:r>
                </m:e>
                <m:sub>
                  <m:r>
                    <w:rPr>
                      <w:sz w:val="16"/>
                      <w:color w:val="173E34"/>
                    </w:rPr>
                    <m:t>t</m:t>
                  </m:r>
                </m:sub>
              </m:sSub>
              <m:r>
                <w:rPr>
                  <w:sz w:val="16"/>
                  <w:color w:val="173E34"/>
                </w:rPr>
                <m:rPr>
                  <m:sty m:val="p"/>
                </m:rPr>
                <m:t>,</m:t>
              </m:r>
              <m:r>
                <w:rPr>
                  <w:sz w:val="16"/>
                  <w:color w:val="173E34"/>
                </w:rPr>
                <m:t> </m:t>
              </m:r>
              <m:sSubSup>
                <m:e>
                  <m:r>
                    <w:rPr>
                      <w:sz w:val="16"/>
                      <w:color w:val="173E34"/>
                    </w:rPr>
                    <m:t>B</m:t>
                  </m:r>
                </m:e>
                <m:sub>
                  <m:r>
                    <w:rPr>
                      <w:sz w:val="16"/>
                      <w:color w:val="173E34"/>
                    </w:rPr>
                    <m:t>t</m:t>
                  </m:r>
                </m:sub>
                <m:sup>
                  <m:r>
                    <w:rPr>
                      <w:sz w:val="16"/>
                      <w:color w:val="173E34"/>
                    </w:rPr>
                    <m:rPr>
                      <m:sty m:val="p"/>
                    </m:rPr>
                    <m:t>l</m:t>
                  </m:r>
                  <m:r>
                    <w:rPr>
                      <w:sz w:val="16"/>
                      <w:color w:val="173E34"/>
                    </w:rPr>
                    <m:rPr>
                      <m:sty m:val="p"/>
                    </m:rPr>
                    <m:t>a</m:t>
                  </m:r>
                  <m:r>
                    <w:rPr>
                      <w:sz w:val="16"/>
                      <w:color w:val="173E34"/>
                    </w:rPr>
                    <m:rPr>
                      <m:sty m:val="p"/>
                    </m:rPr>
                    <m:t>n</m:t>
                  </m:r>
                  <m:r>
                    <w:rPr>
                      <w:sz w:val="16"/>
                      <w:color w:val="173E34"/>
                    </w:rPr>
                    <m:rPr>
                      <m:sty m:val="p"/>
                    </m:rPr>
                    <m:t>d</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Emisiones de implementación / cronología</w:t>
            </w:r>
          </w:p>
          <w:p>
            <w:pPr>
              <w:spacing w:before="40" w:after="40"/>
            </w:pPr>
            <m:oMath>
              <m:sSubSup>
                <m:e>
                  <m:r>
                    <w:rPr>
                      <w:sz w:val="16"/>
                      <w:color w:val="173E34"/>
                    </w:rPr>
                    <m:t>I</m:t>
                  </m:r>
                </m:e>
                <m:sub>
                  <m:r>
                    <w:rPr>
                      <w:sz w:val="16"/>
                      <w:color w:val="173E34"/>
                    </w:rPr>
                    <m:t>t</m:t>
                  </m:r>
                </m:sub>
                <m:sup>
                  <m:r>
                    <w:rPr>
                      <w:sz w:val="16"/>
                      <w:color w:val="173E34"/>
                    </w:rPr>
                    <m:rPr>
                      <m:sty m:val="p"/>
                    </m:rPr>
                    <m:t>i</m:t>
                  </m:r>
                  <m:r>
                    <w:rPr>
                      <w:sz w:val="16"/>
                      <w:color w:val="173E34"/>
                    </w:rPr>
                    <m:rPr>
                      <m:sty m:val="p"/>
                    </m:rPr>
                    <m:t>m</m:t>
                  </m:r>
                  <m:r>
                    <w:rPr>
                      <w:sz w:val="16"/>
                      <w:color w:val="173E34"/>
                    </w:rPr>
                    <m:rPr>
                      <m:sty m:val="p"/>
                    </m:rPr>
                    <m:t>p</m:t>
                  </m:r>
                  <m:r>
                    <w:rPr>
                      <w:sz w:val="16"/>
                      <w:color w:val="173E34"/>
                    </w:rPr>
                    <m:rPr>
                      <m:sty m:val="p"/>
                    </m:rPr>
                    <m:t>l</m:t>
                  </m:r>
                </m:sup>
              </m:sSubSup>
              <m:r>
                <w:rPr>
                  <w:sz w:val="16"/>
                  <w:color w:val="173E34"/>
                </w:rPr>
                <m:rPr>
                  <m:sty m:val="p"/>
                </m:rPr>
                <m:t>,</m:t>
              </m:r>
              <m:r>
                <w:rPr>
                  <w:sz w:val="16"/>
                  <w:color w:val="173E34"/>
                </w:rPr>
                <m:t> </m:t>
              </m:r>
              <m:sSubSup>
                <m:e>
                  <m:r>
                    <w:rPr>
                      <w:sz w:val="16"/>
                      <w:color w:val="173E34"/>
                    </w:rPr>
                    <m:t>P</m:t>
                  </m:r>
                </m:e>
                <m:sub>
                  <m:r>
                    <w:rPr>
                      <w:sz w:val="16"/>
                      <w:color w:val="173E34"/>
                    </w:rPr>
                    <m:t>t</m:t>
                  </m:r>
                </m:sub>
                <m:sup>
                  <m:r>
                    <w:rPr>
                      <w:sz w:val="16"/>
                      <w:color w:val="173E34"/>
                    </w:rPr>
                    <m:rPr>
                      <m:sty m:val="p"/>
                    </m:rPr>
                    <m:t>e</m:t>
                  </m:r>
                  <m:r>
                    <w:rPr>
                      <w:sz w:val="16"/>
                      <w:color w:val="173E34"/>
                    </w:rPr>
                    <m:rPr>
                      <m:sty m:val="p"/>
                    </m:rPr>
                    <m:t>x</m:t>
                  </m:r>
                  <m:r>
                    <w:rPr>
                      <w:sz w:val="16"/>
                      <w:color w:val="173E34"/>
                    </w:rPr>
                    <m:rPr>
                      <m:sty m:val="p"/>
                    </m:rPr>
                    <m:t>a</m:t>
                  </m:r>
                  <m:r>
                    <w:rPr>
                      <w:sz w:val="16"/>
                      <w:color w:val="173E34"/>
                    </w:rPr>
                    <m:rPr>
                      <m:sty m:val="p"/>
                    </m:rPr>
                    <m:t>n</m:t>
                  </m:r>
                  <m:r>
                    <w:rPr>
                      <w:sz w:val="16"/>
                      <w:color w:val="173E34"/>
                    </w:rPr>
                    <m:rPr>
                      <m:sty m:val="p"/>
                    </m:rPr>
                    <m:t>t</m:t>
                  </m:r>
                  <m:r>
                    <w:rPr>
                      <w:sz w:val="16"/>
                      <w:color w:val="173E34"/>
                    </w:rPr>
                    <m:rPr>
                      <m:sty m:val="p"/>
                    </m:rPr>
                    <m:t>e</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04-0-ES-1-1"/>
                <w:tag w:val="sec_04-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4-0-ES-1-2"/>
                <w:tag w:val="sec_04-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4-0-ES-1-3"/>
                <w:tag w:val="sec_04-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4-0-ES-2-1"/>
                <w:tag w:val="sec_04-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4-0-ES-2-2"/>
                <w:tag w:val="sec_04-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4-0-ES-2-3"/>
                <w:tag w:val="sec_04-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4-0-ES-3-1"/>
                <w:tag w:val="sec_04-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4-0-ES-3-2"/>
                <w:tag w:val="sec_04-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4-0-ES-3-3"/>
                <w:tag w:val="sec_04-0-ES-3-3"/>
                <w:text/>
              </w:sdtPr>
              <w:sdtContent>
                <w:r>
                  <w:rPr>
                    <w:rFonts w:ascii="Lato" w:hAnsi="Lato"/>
                    <w:sz w:val="18"/>
                    <w:color w:val="62716E"/>
                  </w:rPr>
                  <w:t>[Completar]</w:t>
                </w:r>
              </w:sdtContent>
            </w:sdt>
          </w:p>
        </w:tc>
      </w:tr>
    </w:tbl>
    <w:p>
      <w:pPr>
        <w:spacing w:after="0"/>
      </w:pPr>
    </w:p>
    <w:p>
      <w:pPr>
        <w:pStyle w:val="Heading2"/>
        <w:keepNext/>
      </w:pPr>
      <w:r>
        <w:t>Significado de la efectividad</w:t>
      </w:r>
    </w:p>
    <w:p>
      <w:pPr>
        <w:spacing w:after="80"/>
      </w:pPr>
      <w:r>
        <w:rPr>
          <w:rFonts w:ascii="Lato" w:hAnsi="Lato"/>
          <w:b w:val="0"/>
          <w:color w:val="62716E"/>
          <w:sz w:val="18"/>
        </w:rPr>
        <w:t>Si aplica F-P02, especificar fracción evitada, emisión de uso del suelo en línea base y emisiones adicionales de implementación sin duplicarlas. No sustituir efectividad por umbral de materialidad ni dividir aleatoriedad por dos sin distribución y estimador justificados. Conservar sensibilidades y dependencias.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4-1-ES"/>
                <w:tag w:val="sec_04-1-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Responsabilidad de ejecución</w:t>
      </w:r>
    </w:p>
    <w:p>
      <w:pPr>
        <w:spacing w:after="80"/>
      </w:pPr>
      <w:r>
        <w:rPr>
          <w:rFonts w:ascii="Lato" w:hAnsi="Lato"/>
          <w:b w:val="0"/>
          <w:color w:val="62716E"/>
          <w:sz w:val="18"/>
        </w:rPr>
        <w:t>Identificar ejecutor, recursos, cronograma y monitoreo necesarios para contrastar supuestos. Los servicios técnicos NEBIOT no ejecutan por sí mismos la intervención ambiental.</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4-2-ES"/>
                <w:tag w:val="sec_04-2-ES"/>
                <w:text/>
              </w:sdtPr>
              <w:sdtContent>
                <w:r>
                  <w:rPr>
                    <w:rFonts w:ascii="Lato" w:hAnsi="Lato"/>
                    <w:sz w:val="18"/>
                    <w:color w:val="62716E"/>
                  </w:rPr>
                  <w:t>[Registrar respuesta y referencias exactas de evidencia.]</w:t>
                </w:r>
              </w:sdtContent>
            </w:sdt>
          </w:p>
        </w:tc>
      </w:tr>
    </w:tbl>
    <w:p>
      <w:pPr>
        <w:spacing w:after="20" w:before="0" w:line="96" w:lineRule="auto"/>
      </w:pPr>
    </w:p>
    <w:p>
      <w:bookmarkStart w:id="3005" w:name="sec_05"/>
      <w:pPr>
        <w:pStyle w:val="Heading1"/>
        <w:keepNext/>
        <w:pageBreakBefore/>
      </w:pPr>
      <w:r>
        <w:t>05  Fugas y contrafactual fuera del proyecto</w:t>
      </w:r>
      <w:bookmarkEnd w:id="3005"/>
    </w:p>
    <w:p>
      <w:pPr>
        <w:spacing w:after="120"/>
      </w:pPr>
      <w:r>
        <w:rPr>
          <w:rFonts w:ascii="Lato" w:hAnsi="Lato"/>
          <w:b w:val="0"/>
          <w:color w:val="62716E"/>
          <w:sz w:val="16"/>
        </w:rPr>
        <w:t>[1] Referencia: S-09; F-L01; T-08; T-13; FRM-04/M</w:t>
      </w:r>
    </w:p>
    <w:p>
      <w:pPr>
        <w:pStyle w:val="Heading2"/>
        <w:keepNext/>
      </w:pPr>
      <w:r>
        <w:t>Evaluación de fugas</w:t>
      </w:r>
    </w:p>
    <w:p>
      <w:pPr>
        <w:keepNext/>
        <w:spacing w:before="40" w:after="60"/>
      </w:pPr>
      <w:r>
        <w:rPr>
          <w:rFonts w:ascii="Lato" w:hAnsi="Lato"/>
          <w:color w:val="315B50"/>
          <w:sz w:val="18"/>
        </w:rPr>
        <w:t>EXANTE-T08 / Notación del cálculo</w:t>
      </w:r>
    </w:p>
    <w:p>
      <w:pPr>
        <w:keepNext/>
        <w:spacing w:before="40" w:after="60"/>
      </w:pPr>
      <m:oMath>
        <m:sSub>
          <m:e>
            <m:acc>
              <m:accPr>
                <m:chr m:val="̂"/>
              </m:accPr>
              <m:e>
                <m:r>
                  <w:rPr>
                    <w:sz w:val="18"/>
                  </w:rPr>
                  <m:t>L</m:t>
                </m:r>
              </m:e>
            </m:acc>
          </m:e>
          <m:sub>
            <m:r>
              <w:rPr>
                <w:sz w:val="18"/>
              </w:rPr>
              <m:t>t</m:t>
            </m:r>
          </m:sub>
        </m:sSub>
        <m:r>
          <w:rPr>
            <w:sz w:val="18"/>
          </w:rPr>
          <m:rPr>
            <m:sty m:val="p"/>
          </m:rPr>
          <m:t>=</m:t>
        </m:r>
        <m:sSub>
          <m:e>
            <m:r>
              <w:rPr>
                <w:sz w:val="18"/>
              </w:rPr>
              <m:t>N</m:t>
            </m:r>
          </m:e>
          <m:sub>
            <m:r>
              <w:rPr>
                <w:sz w:val="18"/>
              </w:rPr>
              <m:rPr>
                <m:sty m:val="p"/>
              </m:rPr>
              <m:t>P</m:t>
            </m:r>
            <m:r>
              <w:rPr>
                <w:sz w:val="18"/>
              </w:rPr>
              <m:rPr>
                <m:sty m:val="p"/>
              </m:rPr>
              <m:t>L</m:t>
            </m:r>
            <m:r>
              <w:rPr>
                <w:sz w:val="18"/>
              </w:rPr>
              <m:rPr>
                <m:sty m:val="p"/>
              </m:rPr>
              <m:t>K</m:t>
            </m:r>
            <m:r>
              <w:rPr>
                <w:sz w:val="18"/>
              </w:rPr>
              <m:rPr>
                <m:sty m:val="p"/>
              </m:rPr>
              <m:t>A</m:t>
            </m:r>
            <m:r>
              <w:rPr>
                <w:sz w:val="18"/>
              </w:rPr>
              <m:rPr>
                <m:sty m:val="p"/>
              </m:rPr>
              <m:t>,</m:t>
            </m:r>
            <m:r>
              <w:rPr>
                <w:sz w:val="18"/>
              </w:rPr>
              <m:rPr>
                <m:sty m:val="p"/>
              </m:rPr>
              <m:t>w</m:t>
            </m:r>
            <m:r>
              <w:rPr>
                <w:sz w:val="18"/>
              </w:rPr>
              <m:rPr>
                <m:sty m:val="p"/>
              </m:rPr>
              <m:t>i</m:t>
            </m:r>
            <m:r>
              <w:rPr>
                <w:sz w:val="18"/>
              </w:rPr>
              <m:rPr>
                <m:sty m:val="p"/>
              </m:rPr>
              <m:t>t</m:t>
            </m:r>
            <m:r>
              <w:rPr>
                <w:sz w:val="18"/>
              </w:rPr>
              <m:rPr>
                <m:sty m:val="p"/>
              </m:rPr>
              <m:t>h</m:t>
            </m:r>
            <m:r>
              <w:rPr>
                <w:sz w:val="18"/>
              </w:rPr>
              <m:rPr>
                <m:sty m:val="p"/>
              </m:rPr>
              <m:t>,</m:t>
            </m:r>
            <m:r>
              <w:rPr>
                <w:sz w:val="18"/>
              </w:rPr>
              <m:t>t</m:t>
            </m:r>
          </m:sub>
        </m:sSub>
        <m:r>
          <w:rPr>
            <w:sz w:val="18"/>
          </w:rPr>
          <m:rPr>
            <m:sty m:val="p"/>
          </m:rPr>
          <m:t>−</m:t>
        </m:r>
        <m:sSub>
          <m:e>
            <m:r>
              <w:rPr>
                <w:sz w:val="18"/>
              </w:rPr>
              <m:t>N</m:t>
            </m:r>
          </m:e>
          <m:sub>
            <m:r>
              <w:rPr>
                <w:sz w:val="18"/>
              </w:rPr>
              <m:rPr>
                <m:sty m:val="p"/>
              </m:rPr>
              <m:t>P</m:t>
            </m:r>
            <m:r>
              <w:rPr>
                <w:sz w:val="18"/>
              </w:rPr>
              <m:rPr>
                <m:sty m:val="p"/>
              </m:rPr>
              <m:t>L</m:t>
            </m:r>
            <m:r>
              <w:rPr>
                <w:sz w:val="18"/>
              </w:rPr>
              <m:rPr>
                <m:sty m:val="p"/>
              </m:rPr>
              <m:t>K</m:t>
            </m:r>
            <m:r>
              <w:rPr>
                <w:sz w:val="18"/>
              </w:rPr>
              <m:rPr>
                <m:sty m:val="p"/>
              </m:rPr>
              <m:t>A</m:t>
            </m:r>
            <m:r>
              <w:rPr>
                <w:sz w:val="18"/>
              </w:rPr>
              <m:rPr>
                <m:sty m:val="p"/>
              </m:rPr>
              <m:t>,</m:t>
            </m:r>
            <m:r>
              <w:rPr>
                <w:sz w:val="18"/>
              </w:rPr>
              <m:rPr>
                <m:sty m:val="p"/>
              </m:rPr>
              <m:t>w</m:t>
            </m:r>
            <m:r>
              <w:rPr>
                <w:sz w:val="18"/>
              </w:rPr>
              <m:rPr>
                <m:sty m:val="p"/>
              </m:rPr>
              <m:t>i</m:t>
            </m:r>
            <m:r>
              <w:rPr>
                <w:sz w:val="18"/>
              </w:rPr>
              <m:rPr>
                <m:sty m:val="p"/>
              </m:rPr>
              <m:t>t</m:t>
            </m:r>
            <m:r>
              <w:rPr>
                <w:sz w:val="18"/>
              </w:rPr>
              <m:rPr>
                <m:sty m:val="p"/>
              </m:rPr>
              <m:t>h</m:t>
            </m:r>
            <m:r>
              <w:rPr>
                <w:sz w:val="18"/>
              </w:rPr>
              <m:rPr>
                <m:sty m:val="p"/>
              </m:rPr>
              <m:t>o</m:t>
            </m:r>
            <m:r>
              <w:rPr>
                <w:sz w:val="18"/>
              </w:rPr>
              <m:rPr>
                <m:sty m:val="p"/>
              </m:rPr>
              <m:t>u</m:t>
            </m:r>
            <m:r>
              <w:rPr>
                <w:sz w:val="18"/>
              </w:rPr>
              <m:rPr>
                <m:sty m:val="p"/>
              </m:rPr>
              <m:t>t</m:t>
            </m:r>
            <m:r>
              <w:rPr>
                <w:sz w:val="18"/>
              </w:rPr>
              <m:rPr>
                <m:sty m:val="p"/>
              </m:rPr>
              <m:t>,</m:t>
            </m:r>
            <m:r>
              <w:rPr>
                <w:sz w:val="18"/>
              </w:rPr>
              <m:t>t</m:t>
            </m:r>
          </m:sub>
        </m:sSub>
      </m:oMath>
    </w:p>
    <w:p>
      <w:pPr>
        <w:keepNext/>
        <w:spacing w:before="40" w:after="60"/>
      </w:pPr>
      <w:r>
        <w:rPr>
          <w:rFonts w:ascii="Lato" w:hAnsi="Lato"/>
          <w:color w:val="315B50"/>
          <w:sz w:val="16"/>
        </w:rPr>
        <w:t>Las cuentas comparten geografía, actividades, gases e intervalos. Toda razón fuente conserva numerador/denominador explícitos, no porcentaje supuesto. Un diagnóstico con signo no autoriza automáticamente beneficio extra; rige el perfil de atribución aplicable.</w:t>
      </w:r>
    </w:p>
    <w:p>
      <w:pPr>
        <w:keepNext/>
        <w:spacing w:before="40" w:after="60"/>
      </w:pPr>
      <w:r>
        <w:rPr>
          <w:rFonts w:ascii="Lato" w:hAnsi="Lato"/>
          <w:color w:val="315B50"/>
          <w:sz w:val="14"/>
        </w:rPr>
        <w:t>Base: F-L01; T-08 | Libro: Components!D=LK; ExAnte!H; ExPost!H</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Mecanismo / área receptora</w:t>
            </w:r>
          </w:p>
          <w:p>
            <w:pPr>
              <w:spacing w:before="40" w:after="40"/>
            </w:pPr>
            <m:oMath>
              <m:r>
                <w:rPr>
                  <w:sz w:val="16"/>
                  <w:color w:val="173E34"/>
                </w:rPr>
                <m:t>t</m:t>
              </m:r>
              <m:r>
                <w:rPr>
                  <w:sz w:val="16"/>
                  <w:color w:val="173E34"/>
                </w:rPr>
                <m:rPr>
                  <m:sty m:val="p"/>
                </m:rPr>
                <m:t>,</m:t>
              </m:r>
              <m:r>
                <w:rPr>
                  <w:sz w:val="16"/>
                  <w:color w:val="173E34"/>
                </w:rPr>
                <m:t> </m:t>
              </m:r>
              <m:r>
                <w:rPr>
                  <w:sz w:val="16"/>
                  <w:color w:val="173E34"/>
                </w:rPr>
                <m:rPr>
                  <m:sty m:val="p"/>
                </m:rPr>
                <m:t>P</m:t>
              </m:r>
              <m:r>
                <w:rPr>
                  <w:sz w:val="16"/>
                  <w:color w:val="173E34"/>
                </w:rPr>
                <m:rPr>
                  <m:sty m:val="p"/>
                </m:rPr>
                <m:t>L</m:t>
              </m:r>
              <m:r>
                <w:rPr>
                  <w:sz w:val="16"/>
                  <w:color w:val="173E34"/>
                </w:rPr>
                <m:rPr>
                  <m:sty m:val="p"/>
                </m:rPr>
                <m:t>K</m:t>
              </m:r>
              <m:r>
                <w:rPr>
                  <w:sz w:val="16"/>
                  <w:color w:val="173E34"/>
                </w:rPr>
                <m:rPr>
                  <m:sty m:val="p"/>
                </m:rPr>
                <m:t>A</m:t>
              </m:r>
            </m:oMath>
          </w:p>
        </w:tc>
        <w:tc>
          <w:tcPr>
            <w:tcW w:type="dxa" w:w="3250"/>
            <w:tcMar>
              <w:top w:w="90" w:type="dxa"/>
              <w:bottom w:w="90" w:type="dxa"/>
              <w:left w:w="100" w:type="dxa"/>
              <w:right w:w="100" w:type="dxa"/>
            </w:tcMar>
            <w:vAlign w:val="center"/>
            <w:shd w:fill="E6F0EB"/>
          </w:tcPr>
          <w:p>
            <w:r>
              <w:rPr>
                <w:rFonts w:ascii="Lato" w:hAnsi="Lato"/>
                <w:b/>
                <w:color w:val="173E34"/>
                <w:sz w:val="17"/>
              </w:rPr>
              <w:t>Actividad sin proyecto y cambio proyectado</w:t>
            </w:r>
          </w:p>
          <w:p>
            <w:pPr>
              <w:spacing w:before="40" w:after="40"/>
            </w:pPr>
            <m:oMath>
              <m:sSub>
                <m:e>
                  <m:r>
                    <w:rPr>
                      <w:sz w:val="16"/>
                      <w:color w:val="173E34"/>
                    </w:rPr>
                    <m:t>N</m:t>
                  </m:r>
                </m:e>
                <m:sub>
                  <m:r>
                    <w:rPr>
                      <w:sz w:val="16"/>
                      <w:color w:val="173E34"/>
                    </w:rPr>
                    <m:rPr>
                      <m:sty m:val="p"/>
                    </m:rPr>
                    <m:t>P</m:t>
                  </m:r>
                  <m:r>
                    <w:rPr>
                      <w:sz w:val="16"/>
                      <w:color w:val="173E34"/>
                    </w:rPr>
                    <m:rPr>
                      <m:sty m:val="p"/>
                    </m:rPr>
                    <m:t>L</m:t>
                  </m:r>
                  <m:r>
                    <w:rPr>
                      <w:sz w:val="16"/>
                      <w:color w:val="173E34"/>
                    </w:rPr>
                    <m:rPr>
                      <m:sty m:val="p"/>
                    </m:rPr>
                    <m:t>K</m:t>
                  </m:r>
                  <m:r>
                    <w:rPr>
                      <w:sz w:val="16"/>
                      <w:color w:val="173E34"/>
                    </w:rPr>
                    <m:rPr>
                      <m:sty m:val="p"/>
                    </m:rPr>
                    <m:t>A</m:t>
                  </m:r>
                  <m:r>
                    <w:rPr>
                      <w:sz w:val="16"/>
                      <w:color w:val="173E34"/>
                    </w:rPr>
                    <m:rPr>
                      <m:sty m:val="p"/>
                    </m:rPr>
                    <m:t>,</m:t>
                  </m:r>
                  <m:r>
                    <w:rPr>
                      <w:sz w:val="16"/>
                      <w:color w:val="173E34"/>
                    </w:rPr>
                    <m:rPr>
                      <m:sty m:val="p"/>
                    </m:rPr>
                    <m:t>w</m:t>
                  </m:r>
                  <m:r>
                    <w:rPr>
                      <w:sz w:val="16"/>
                      <w:color w:val="173E34"/>
                    </w:rPr>
                    <m:rPr>
                      <m:sty m:val="p"/>
                    </m:rPr>
                    <m:t>i</m:t>
                  </m:r>
                  <m:r>
                    <w:rPr>
                      <w:sz w:val="16"/>
                      <w:color w:val="173E34"/>
                    </w:rPr>
                    <m:rPr>
                      <m:sty m:val="p"/>
                    </m:rPr>
                    <m:t>t</m:t>
                  </m:r>
                  <m:r>
                    <w:rPr>
                      <w:sz w:val="16"/>
                      <w:color w:val="173E34"/>
                    </w:rPr>
                    <m:rPr>
                      <m:sty m:val="p"/>
                    </m:rPr>
                    <m:t>h</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N</m:t>
                  </m:r>
                </m:e>
                <m:sub>
                  <m:r>
                    <w:rPr>
                      <w:sz w:val="16"/>
                      <w:color w:val="173E34"/>
                    </w:rPr>
                    <m:rPr>
                      <m:sty m:val="p"/>
                    </m:rPr>
                    <m:t>P</m:t>
                  </m:r>
                  <m:r>
                    <w:rPr>
                      <w:sz w:val="16"/>
                      <w:color w:val="173E34"/>
                    </w:rPr>
                    <m:rPr>
                      <m:sty m:val="p"/>
                    </m:rPr>
                    <m:t>L</m:t>
                  </m:r>
                  <m:r>
                    <w:rPr>
                      <w:sz w:val="16"/>
                      <w:color w:val="173E34"/>
                    </w:rPr>
                    <m:rPr>
                      <m:sty m:val="p"/>
                    </m:rPr>
                    <m:t>K</m:t>
                  </m:r>
                  <m:r>
                    <w:rPr>
                      <w:sz w:val="16"/>
                      <w:color w:val="173E34"/>
                    </w:rPr>
                    <m:rPr>
                      <m:sty m:val="p"/>
                    </m:rPr>
                    <m:t>A</m:t>
                  </m:r>
                  <m:r>
                    <w:rPr>
                      <w:sz w:val="16"/>
                      <w:color w:val="173E34"/>
                    </w:rPr>
                    <m:rPr>
                      <m:sty m:val="p"/>
                    </m:rPr>
                    <m:t>,</m:t>
                  </m:r>
                  <m:r>
                    <w:rPr>
                      <w:sz w:val="16"/>
                      <w:color w:val="173E34"/>
                    </w:rPr>
                    <m:rPr>
                      <m:sty m:val="p"/>
                    </m:rPr>
                    <m:t>w</m:t>
                  </m:r>
                  <m:r>
                    <w:rPr>
                      <w:sz w:val="16"/>
                      <w:color w:val="173E34"/>
                    </w:rPr>
                    <m:rPr>
                      <m:sty m:val="p"/>
                    </m:rPr>
                    <m:t>i</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u</m:t>
                  </m:r>
                  <m:r>
                    <w:rPr>
                      <w:sz w:val="16"/>
                      <w:color w:val="173E34"/>
                    </w:rPr>
                    <m:rPr>
                      <m:sty m:val="p"/>
                    </m:rPr>
                    <m:t>t</m:t>
                  </m:r>
                  <m:r>
                    <w:rPr>
                      <w:sz w:val="16"/>
                      <w:color w:val="173E34"/>
                    </w:rPr>
                    <m:rPr>
                      <m:sty m:val="p"/>
                    </m:rPr>
                    <m:t>,</m:t>
                  </m:r>
                  <m:r>
                    <w:rPr>
                      <w:sz w:val="16"/>
                      <w:color w:val="173E34"/>
                    </w:rPr>
                    <m:t>t</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Factor de atribución, evidencia y cantidad</w:t>
            </w:r>
          </w:p>
          <w:p>
            <w:pPr>
              <w:spacing w:before="40" w:after="40"/>
            </w:pPr>
            <m:oMath>
              <m:sSub>
                <m:e>
                  <m:acc>
                    <m:accPr>
                      <m:chr m:val="̂"/>
                    </m:accPr>
                    <m:e>
                      <m:r>
                        <w:rPr>
                          <w:sz w:val="16"/>
                          <w:color w:val="173E34"/>
                        </w:rPr>
                        <m:t>L</m:t>
                      </m:r>
                    </m:e>
                  </m:acc>
                </m:e>
                <m:sub>
                  <m:r>
                    <w:rPr>
                      <w:sz w:val="16"/>
                      <w:color w:val="173E34"/>
                    </w:rPr>
                    <m:t>t</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5-0-ES-1-1"/>
                <w:tag w:val="sec_05-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0-ES-1-2"/>
                <w:tag w:val="sec_05-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0-ES-1-3"/>
                <w:tag w:val="sec_05-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5-0-ES-2-1"/>
                <w:tag w:val="sec_05-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5-0-ES-2-2"/>
                <w:tag w:val="sec_05-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5-0-ES-2-3"/>
                <w:tag w:val="sec_05-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5-0-ES-3-1"/>
                <w:tag w:val="sec_05-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0-ES-3-2"/>
                <w:tag w:val="sec_05-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0-ES-3-3"/>
                <w:tag w:val="sec_05-0-ES-3-3"/>
                <w:text/>
              </w:sdtPr>
              <w:sdtContent>
                <w:r>
                  <w:rPr>
                    <w:rFonts w:ascii="Lato" w:hAnsi="Lato"/>
                    <w:sz w:val="18"/>
                    <w:color w:val="62716E"/>
                  </w:rPr>
                  <w:t>[Completar]</w:t>
                </w:r>
              </w:sdtContent>
            </w:sdt>
          </w:p>
        </w:tc>
      </w:tr>
    </w:tbl>
    <w:p>
      <w:pPr>
        <w:spacing w:after="0"/>
      </w:pPr>
    </w:p>
    <w:p>
      <w:pPr>
        <w:pStyle w:val="Heading2"/>
        <w:keepNext/>
      </w:pPr>
      <w:r>
        <w:t>Controles de atribución y ajuste</w:t>
      </w:r>
    </w:p>
    <w:p>
      <w:pPr>
        <w:spacing w:after="80"/>
      </w:pPr>
      <w:r>
        <w:rPr>
          <w:rFonts w:ascii="Lato" w:hAnsi="Lato"/>
          <w:b w:val="0"/>
          <w:color w:val="62716E"/>
          <w:sz w:val="18"/>
        </w:rPr>
        <w:t>Separar toda actividad observada o proyectada en el dominio de fugas del cambio atribuible al proyecto. Explicar ajustes por encuestas, modelos o políticas y sus denominadores. Registrar lo incluido previamente en el escenario del proyecto. Ningún porcentaje de un proyecto externo es valor predeterminado NEBIOT.</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5-1-ES"/>
                <w:tag w:val="sec_05-1-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Componentes omitidos o nulos</w:t>
      </w:r>
    </w:p>
    <w:p>
      <w:pPr>
        <w:keepNext/>
        <w:spacing w:before="40" w:after="60"/>
      </w:pPr>
      <w:r>
        <w:rPr>
          <w:rFonts w:ascii="Lato" w:hAnsi="Lato"/>
          <w:color w:val="315B50"/>
          <w:sz w:val="18"/>
        </w:rPr>
        <w:t>EXANTE-T09 / Notación del cálculo</w:t>
      </w:r>
    </w:p>
    <w:p>
      <w:pPr>
        <w:keepNext/>
        <w:spacing w:before="40" w:after="60"/>
      </w:pPr>
      <m:oMath>
        <m:sSub>
          <m:e>
            <m:r>
              <w:rPr>
                <w:sz w:val="18"/>
              </w:rPr>
              <m:t>q</m:t>
            </m:r>
          </m:e>
          <m:sub>
            <m:r>
              <w:rPr>
                <w:sz w:val="18"/>
              </w:rPr>
              <m:rPr>
                <m:sty m:val="p"/>
              </m:rPr>
              <m:t>ℓ</m:t>
            </m:r>
            <m:r>
              <w:rPr>
                <w:sz w:val="18"/>
              </w:rPr>
              <m:rPr>
                <m:sty m:val="p"/>
              </m:rPr>
              <m:t>,</m:t>
            </m:r>
            <m:r>
              <w:rPr>
                <w:sz w:val="18"/>
              </w:rPr>
              <m:t>s</m:t>
            </m:r>
            <m:r>
              <w:rPr>
                <w:sz w:val="18"/>
              </w:rPr>
              <m:rPr>
                <m:sty m:val="p"/>
              </m:rPr>
              <m:t>,</m:t>
            </m:r>
            <m:r>
              <w:rPr>
                <w:sz w:val="18"/>
              </w:rPr>
              <m:t>t</m:t>
            </m:r>
          </m:sub>
        </m:sSub>
        <m:r>
          <w:rPr>
            <w:sz w:val="18"/>
          </w:rPr>
          <m:rPr>
            <m:sty m:val="p"/>
          </m:rPr>
          <m:t>=</m:t>
        </m:r>
        <m:sSub>
          <m:e>
            <m:r>
              <w:rPr>
                <w:sz w:val="18"/>
              </w:rPr>
              <m:t>x</m:t>
            </m:r>
          </m:e>
          <m:sub>
            <m:r>
              <w:rPr>
                <w:sz w:val="18"/>
              </w:rPr>
              <m:rPr>
                <m:sty m:val="p"/>
              </m:rPr>
              <m:t>ℓ</m:t>
            </m:r>
            <m:r>
              <w:rPr>
                <w:sz w:val="18"/>
              </w:rPr>
              <m:rPr>
                <m:sty m:val="p"/>
              </m:rPr>
              <m:t>,</m:t>
            </m:r>
            <m:r>
              <w:rPr>
                <w:sz w:val="18"/>
              </w:rPr>
              <m:t>s</m:t>
            </m:r>
            <m:r>
              <w:rPr>
                <w:sz w:val="18"/>
              </w:rPr>
              <m:rPr>
                <m:sty m:val="p"/>
              </m:rPr>
              <m:t>,</m:t>
            </m:r>
            <m:r>
              <w:rPr>
                <w:sz w:val="18"/>
              </w:rPr>
              <m:t>t</m:t>
            </m:r>
          </m:sub>
        </m:sSub>
        <m:sSub>
          <m:e>
            <m:r>
              <w:rPr>
                <w:sz w:val="18"/>
              </w:rPr>
              <m:t>f</m:t>
            </m:r>
          </m:e>
          <m:sub>
            <m:r>
              <w:rPr>
                <w:sz w:val="18"/>
              </w:rPr>
              <m:rPr>
                <m:sty m:val="p"/>
              </m:rPr>
              <m:t>ℓ</m:t>
            </m:r>
            <m:r>
              <w:rPr>
                <w:sz w:val="18"/>
              </w:rPr>
              <m:rPr>
                <m:sty m:val="p"/>
              </m:rPr>
              <m:t>,</m:t>
            </m:r>
            <m:r>
              <w:rPr>
                <w:sz w:val="18"/>
              </w:rPr>
              <m:t>s</m:t>
            </m:r>
            <m:r>
              <w:rPr>
                <w:sz w:val="18"/>
              </w:rPr>
              <m:rPr>
                <m:sty m:val="p"/>
              </m:rPr>
              <m:t>,</m:t>
            </m:r>
            <m:r>
              <w:rPr>
                <w:sz w:val="18"/>
              </w:rPr>
              <m:t>t</m:t>
            </m:r>
          </m:sub>
        </m:sSub>
      </m:oMath>
    </w:p>
    <w:p>
      <w:pPr>
        <w:keepNext/>
        <w:spacing w:before="40" w:after="60"/>
      </w:pPr>
      <m:oMath>
        <m:sSub>
          <m:e>
            <m:r>
              <w:rPr>
                <w:sz w:val="18"/>
              </w:rPr>
              <m:t>N</m:t>
            </m:r>
          </m:e>
          <m:sub>
            <m:r>
              <w:rPr>
                <w:sz w:val="18"/>
              </w:rPr>
              <m:t>s</m:t>
            </m:r>
            <m:r>
              <w:rPr>
                <w:sz w:val="18"/>
              </w:rPr>
              <m:rPr>
                <m:sty m:val="p"/>
              </m:rPr>
              <m:t>,</m:t>
            </m:r>
            <m:r>
              <w:rPr>
                <w:sz w:val="18"/>
              </w:rPr>
              <m:t>t</m:t>
            </m:r>
          </m:sub>
        </m:sSub>
        <m:r>
          <w:rPr>
            <w:sz w:val="18"/>
          </w:rPr>
          <m:rPr>
            <m:sty m:val="p"/>
          </m:rPr>
          <m:t>=</m:t>
        </m:r>
        <m:nary>
          <m:naryPr>
            <m:chr m:val="∑"/>
            <m:limLoc m:val="undOvr"/>
            <m:subHide m:val="off"/>
            <m:supHide m:val="on"/>
          </m:naryPr>
          <m:sub>
            <m:r>
              <w:rPr>
                <w:sz w:val="18"/>
              </w:rPr>
              <m:rPr>
                <m:sty m:val="p"/>
              </m:rPr>
              <m:t>ℓ</m:t>
            </m:r>
            <m:r>
              <w:rPr>
                <w:sz w:val="18"/>
              </w:rPr>
              <m:rPr>
                <m:sty m:val="p"/>
              </m:rPr>
              <m:t>∈</m:t>
            </m:r>
            <m:sSub>
              <m:e>
                <m:r>
                  <w:rPr>
                    <w:sz w:val="18"/>
                  </w:rPr>
                  <m:rPr>
                    <m:sty m:val="p"/>
                    <m:scr m:val="script"/>
                  </m:rPr>
                  <m:t>I</m:t>
                </m:r>
              </m:e>
              <m:sub>
                <m:r>
                  <w:rPr>
                    <w:sz w:val="18"/>
                  </w:rPr>
                  <m:t>s</m:t>
                </m:r>
                <m:r>
                  <w:rPr>
                    <w:sz w:val="18"/>
                  </w:rPr>
                  <m:rPr>
                    <m:sty m:val="p"/>
                  </m:rPr>
                  <m:t>,</m:t>
                </m:r>
                <m:r>
                  <w:rPr>
                    <w:sz w:val="18"/>
                  </w:rPr>
                  <m:t>t</m:t>
                </m:r>
              </m:sub>
            </m:sSub>
          </m:sub>
          <m:sup>
            <m:r>
              <w:rPr>
                <w:sz w:val="18"/>
              </w:rPr>
              <m:t>​</m:t>
            </m:r>
          </m:sup>
          <m:e>
            <m:sSub>
              <m:e>
                <m:r>
                  <w:rPr>
                    <w:sz w:val="18"/>
                  </w:rPr>
                  <m:t>q</m:t>
                </m:r>
              </m:e>
              <m:sub>
                <m:r>
                  <w:rPr>
                    <w:sz w:val="18"/>
                  </w:rPr>
                  <m:rPr>
                    <m:sty m:val="p"/>
                  </m:rPr>
                  <m:t>ℓ</m:t>
                </m:r>
                <m:r>
                  <w:rPr>
                    <w:sz w:val="18"/>
                  </w:rPr>
                  <m:rPr>
                    <m:sty m:val="p"/>
                  </m:rPr>
                  <m:t>,</m:t>
                </m:r>
                <m:r>
                  <w:rPr>
                    <w:sz w:val="18"/>
                  </w:rPr>
                  <m:t>s</m:t>
                </m:r>
                <m:r>
                  <w:rPr>
                    <w:sz w:val="18"/>
                  </w:rPr>
                  <m:rPr>
                    <m:sty m:val="p"/>
                  </m:rPr>
                  <m:t>,</m:t>
                </m:r>
                <m:r>
                  <w:rPr>
                    <w:sz w:val="18"/>
                  </w:rPr>
                  <m:t>t</m:t>
                </m:r>
              </m:sub>
            </m:sSub>
          </m:e>
        </m:nary>
      </m:oMath>
    </w:p>
    <w:p>
      <w:pPr>
        <w:keepNext/>
        <w:spacing w:before="40" w:after="60"/>
      </w:pPr>
      <w:r>
        <w:rPr>
          <w:rFonts w:ascii="Lato" w:hAnsi="Lato"/>
          <w:color w:val="315B50"/>
          <w:sz w:val="16"/>
        </w:rPr>
        <w:t>Las unidades de x y f producen t CO2e por período. I contiene componentes incluidos, sustentados y disjuntos de igual base, período y cuenta. Para masa precalculada, f=1 se ingresa explícitamente con su significado. BL y PJ son emisiones netas; LK es fuga atribuible.</w:t>
      </w:r>
    </w:p>
    <w:p>
      <w:pPr>
        <w:keepNext/>
        <w:spacing w:before="40" w:after="60"/>
      </w:pPr>
      <w:r>
        <w:rPr>
          <w:rFonts w:ascii="Lato" w:hAnsi="Lato"/>
          <w:color w:val="315B50"/>
          <w:sz w:val="14"/>
        </w:rPr>
        <w:t>Base: M04.4; M04.5; T-08; implementación aritmética | Libro: Components!G:I; ExAnte!F:H; ExPost!F:H</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Componente</w:t>
            </w:r>
          </w:p>
          <w:p>
            <w:pPr>
              <w:spacing w:before="40" w:after="40"/>
            </w:pPr>
            <m:oMath>
              <m:r>
                <w:rPr>
                  <w:sz w:val="16"/>
                  <w:color w:val="173E34"/>
                </w:rPr>
                <m:rPr>
                  <m:sty m:val="p"/>
                </m:rPr>
                <m:t>ℓ</m:t>
              </m:r>
              <m:r>
                <w:rPr>
                  <w:sz w:val="16"/>
                  <w:color w:val="173E34"/>
                </w:rPr>
                <m:rPr>
                  <m:sty m:val="p"/>
                </m:rPr>
                <m:t>,</m:t>
              </m:r>
              <m:r>
                <w:rPr>
                  <w:sz w:val="16"/>
                  <w:color w:val="173E34"/>
                </w:rPr>
                <m:t> </m:t>
              </m:r>
              <m:r>
                <w:rPr>
                  <w:sz w:val="16"/>
                  <w:color w:val="173E34"/>
                </w:rPr>
                <m:t>s</m:t>
              </m:r>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Base de exclusión o cero explícito</w:t>
            </w:r>
          </w:p>
          <w:p>
            <w:pPr>
              <w:spacing w:before="40" w:after="40"/>
            </w:pPr>
            <m:oMath>
              <m:sSub>
                <m:e>
                  <m:r>
                    <w:rPr>
                      <w:sz w:val="16"/>
                      <w:color w:val="173E34"/>
                    </w:rPr>
                    <m:t>x</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f</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Evidencia / revisor / sensibilidad</w:t>
            </w:r>
          </w:p>
          <w:p>
            <w:pPr>
              <w:spacing w:before="40" w:after="40"/>
            </w:pPr>
            <m:oMath>
              <m:sSub>
                <m:e>
                  <m:r>
                    <w:rPr>
                      <w:sz w:val="16"/>
                      <w:color w:val="173E34"/>
                    </w:rPr>
                    <m:t>q</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N</m:t>
                  </m:r>
                </m:e>
                <m:sub>
                  <m:r>
                    <w:rPr>
                      <w:sz w:val="16"/>
                      <w:color w:val="173E34"/>
                    </w:rPr>
                    <m:t>s</m:t>
                  </m:r>
                  <m:r>
                    <w:rPr>
                      <w:sz w:val="16"/>
                      <w:color w:val="173E34"/>
                    </w:rPr>
                    <m:rPr>
                      <m:sty m:val="p"/>
                    </m:rPr>
                    <m:t>,</m:t>
                  </m:r>
                  <m:r>
                    <w:rPr>
                      <w:sz w:val="16"/>
                      <w:color w:val="173E34"/>
                    </w:rPr>
                    <m:t>t</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5-2-ES-1-1"/>
                <w:tag w:val="sec_05-2-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2-ES-1-2"/>
                <w:tag w:val="sec_05-2-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2-ES-1-3"/>
                <w:tag w:val="sec_05-2-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5-2-ES-2-1"/>
                <w:tag w:val="sec_05-2-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5-2-ES-2-2"/>
                <w:tag w:val="sec_05-2-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5-2-ES-2-3"/>
                <w:tag w:val="sec_05-2-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5-2-ES-3-1"/>
                <w:tag w:val="sec_05-2-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2-ES-3-2"/>
                <w:tag w:val="sec_05-2-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2-ES-3-3"/>
                <w:tag w:val="sec_05-2-ES-3-3"/>
                <w:text/>
              </w:sdtPr>
              <w:sdtContent>
                <w:r>
                  <w:rPr>
                    <w:rFonts w:ascii="Lato" w:hAnsi="Lato"/>
                    <w:sz w:val="18"/>
                    <w:color w:val="62716E"/>
                  </w:rPr>
                  <w:t>[Completar]</w:t>
                </w:r>
              </w:sdtContent>
            </w:sdt>
          </w:p>
        </w:tc>
      </w:tr>
    </w:tbl>
    <w:p>
      <w:pPr>
        <w:spacing w:after="0"/>
      </w:pPr>
    </w:p>
    <w:p>
      <w:bookmarkStart w:id="3006" w:name="sec_06"/>
      <w:pPr>
        <w:pStyle w:val="Heading1"/>
        <w:keepNext/>
        <w:pageBreakBefore/>
      </w:pPr>
      <w:r>
        <w:t>06  Existencias, flujos, reservorios y liberación temporal</w:t>
      </w:r>
      <w:bookmarkEnd w:id="3006"/>
    </w:p>
    <w:p>
      <w:pPr>
        <w:spacing w:after="120"/>
      </w:pPr>
      <w:r>
        <w:rPr>
          <w:rFonts w:ascii="Lato" w:hAnsi="Lato"/>
          <w:b w:val="0"/>
          <w:color w:val="62716E"/>
          <w:sz w:val="16"/>
        </w:rPr>
        <w:t>[1] Referencia: M04.1; M04.2; M04.3; F-C01; F-C02; F-C03a; F-C03b; T-08</w:t>
      </w:r>
    </w:p>
    <w:p>
      <w:pPr>
        <w:pStyle w:val="Heading2"/>
        <w:keepNext/>
      </w:pPr>
      <w:r>
        <w:t>Cuenta de reservorios y factores</w:t>
      </w:r>
    </w:p>
    <w:p>
      <w:pPr>
        <w:keepNext/>
        <w:spacing w:before="40" w:after="60"/>
      </w:pPr>
      <w:r>
        <w:rPr>
          <w:rFonts w:ascii="Lato" w:hAnsi="Lato"/>
          <w:color w:val="315B50"/>
          <w:sz w:val="18"/>
        </w:rPr>
        <w:t>EXANTE-T10 / Notación del cálculo</w:t>
      </w:r>
    </w:p>
    <w:p>
      <w:pPr>
        <w:keepNext/>
        <w:spacing w:before="40" w:after="60"/>
      </w:pPr>
      <m:oMath>
        <m:sSub>
          <m:e>
            <m:r>
              <w:rPr>
                <w:sz w:val="18"/>
              </w:rPr>
              <m:t>c</m:t>
            </m:r>
          </m:e>
          <m:sub>
            <m:r>
              <w:rPr>
                <w:sz w:val="18"/>
              </w:rPr>
              <m:t>i</m:t>
            </m:r>
          </m:sub>
        </m:sSub>
        <m:r>
          <w:rPr>
            <w:sz w:val="18"/>
          </w:rPr>
          <m:rPr>
            <m:sty m:val="p"/>
          </m:rPr>
          <m:t>=</m:t>
        </m:r>
        <m:sSub>
          <m:e>
            <m:r>
              <w:rPr>
                <w:sz w:val="18"/>
              </w:rPr>
              <m:t>b</m:t>
            </m:r>
          </m:e>
          <m:sub>
            <m:r>
              <w:rPr>
                <w:sz w:val="18"/>
              </w:rPr>
              <m:t>i</m:t>
            </m:r>
          </m:sub>
        </m:sSub>
        <m:sSubSup>
          <m:e>
            <m:r>
              <w:rPr>
                <w:sz w:val="18"/>
              </w:rPr>
              <m:t>f</m:t>
            </m:r>
          </m:e>
          <m:sub>
            <m:r>
              <w:rPr>
                <w:sz w:val="18"/>
              </w:rPr>
              <m:t>i</m:t>
            </m:r>
          </m:sub>
          <m:sup>
            <m:r>
              <w:rPr>
                <w:sz w:val="18"/>
              </w:rPr>
              <m:t>C</m:t>
            </m:r>
          </m:sup>
        </m:sSubSup>
        <m:r>
          <w:rPr>
            <w:sz w:val="18"/>
          </w:rPr>
          <m:rPr>
            <m:sty m:val="p"/>
          </m:rPr>
          <m:t>,</m:t>
        </m:r>
        <m:r>
          <w:rPr>
            <w:sz w:val="18"/>
          </w:rPr>
          <m:t>  </m:t>
        </m:r>
        <m:sSubSup>
          <m:e>
            <m:r>
              <w:rPr>
                <w:sz w:val="18"/>
              </w:rPr>
              <m:t>e</m:t>
            </m:r>
          </m:e>
          <m:sub>
            <m:r>
              <w:rPr>
                <w:sz w:val="18"/>
              </w:rPr>
              <m:t>i</m:t>
            </m:r>
          </m:sub>
          <m:sup>
            <m:r>
              <w:rPr>
                <w:sz w:val="18"/>
              </w:rPr>
              <m:rPr>
                <m:sty m:val="p"/>
              </m:rPr>
              <m:t>s</m:t>
            </m:r>
            <m:r>
              <w:rPr>
                <w:sz w:val="18"/>
              </w:rPr>
              <m:rPr>
                <m:sty m:val="p"/>
              </m:rPr>
              <m:t>t</m:t>
            </m:r>
            <m:r>
              <w:rPr>
                <w:sz w:val="18"/>
              </w:rPr>
              <m:rPr>
                <m:sty m:val="p"/>
              </m:rPr>
              <m:t>o</m:t>
            </m:r>
            <m:r>
              <w:rPr>
                <w:sz w:val="18"/>
              </w:rPr>
              <m:rPr>
                <m:sty m:val="p"/>
              </m:rPr>
              <m:t>c</m:t>
            </m:r>
            <m:r>
              <w:rPr>
                <w:sz w:val="18"/>
              </w:rPr>
              <m:rPr>
                <m:sty m:val="p"/>
              </m:rPr>
              <m:t>k</m:t>
            </m:r>
          </m:sup>
        </m:sSubSup>
        <m:r>
          <w:rPr>
            <w:sz w:val="18"/>
          </w:rPr>
          <m:rPr>
            <m:sty m:val="p"/>
          </m:rPr>
          <m:t>=</m:t>
        </m:r>
        <m:f>
          <m:fPr>
            <m:type m:val="bar"/>
          </m:fPr>
          <m:num>
            <m:r>
              <w:rPr>
                <w:sz w:val="18"/>
              </w:rPr>
              <m:t>44</m:t>
            </m:r>
          </m:num>
          <m:den>
            <m:r>
              <w:rPr>
                <w:sz w:val="18"/>
              </w:rPr>
              <m:t>12</m:t>
            </m:r>
          </m:den>
        </m:f>
        <m:sSub>
          <m:e>
            <m:r>
              <w:rPr>
                <w:sz w:val="18"/>
              </w:rPr>
              <m:t>c</m:t>
            </m:r>
          </m:e>
          <m:sub>
            <m:r>
              <w:rPr>
                <w:sz w:val="18"/>
              </w:rPr>
              <m:t>i</m:t>
            </m:r>
          </m:sub>
        </m:sSub>
      </m:oMath>
    </w:p>
    <w:p>
      <w:pPr>
        <w:keepNext/>
        <w:spacing w:before="40" w:after="60"/>
      </w:pPr>
      <w:r>
        <w:rPr>
          <w:rFonts w:ascii="Lato" w:hAnsi="Lato"/>
          <w:color w:val="315B50"/>
          <w:sz w:val="16"/>
        </w:rPr>
        <w:t>b es densidad de biomasa seca en Mg/ha; c es densidad de carbono en Mg C/ha. Aplicar la fracción solo a BIOMASS, no a una banda CARBON. e_stock equivale al stock en masa de CO2, no a emisión anual o crédito. Una entrada CO2E ya caracterizada requiere alcance de gases propio.</w:t>
      </w:r>
    </w:p>
    <w:p>
      <w:pPr>
        <w:keepNext/>
        <w:spacing w:before="40" w:after="60"/>
      </w:pPr>
      <w:r>
        <w:rPr>
          <w:rFonts w:ascii="Lato" w:hAnsi="Lato"/>
          <w:color w:val="315B50"/>
          <w:sz w:val="14"/>
        </w:rPr>
        <w:t>Base: M02; M04.2; F-C02 | Libro: Factors!C:G; Profile!B16</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Reservorio / estrato / estados inicial y final</w:t>
            </w:r>
          </w:p>
          <w:p>
            <w:pPr>
              <w:spacing w:before="40" w:after="40"/>
            </w:pPr>
            <m:oMath>
              <m:r>
                <w:rPr>
                  <w:sz w:val="16"/>
                  <w:color w:val="173E34"/>
                </w:rPr>
                <m:t>i</m:t>
              </m:r>
              <m:r>
                <w:rPr>
                  <w:sz w:val="16"/>
                  <w:color w:val="173E34"/>
                </w:rPr>
                <m:rPr>
                  <m:sty m:val="p"/>
                </m:rPr>
                <m:t>,</m:t>
              </m:r>
              <m:r>
                <w:rPr>
                  <w:sz w:val="16"/>
                  <w:color w:val="173E34"/>
                </w:rPr>
                <m:t> </m:t>
              </m:r>
              <m:r>
                <w:rPr>
                  <w:sz w:val="16"/>
                  <w:color w:val="173E34"/>
                </w:rPr>
                <m:t>o</m:t>
              </m:r>
            </m:oMath>
          </w:p>
        </w:tc>
        <w:tc>
          <w:tcPr>
            <w:tcW w:type="dxa" w:w="3250"/>
            <w:tcMar>
              <w:top w:w="90" w:type="dxa"/>
              <w:bottom w:w="90" w:type="dxa"/>
              <w:left w:w="100" w:type="dxa"/>
              <w:right w:w="100" w:type="dxa"/>
            </w:tcMar>
            <w:vAlign w:val="center"/>
            <w:shd w:fill="E6F0EB"/>
          </w:tcPr>
          <w:p>
            <w:r>
              <w:rPr>
                <w:rFonts w:ascii="Lato" w:hAnsi="Lato"/>
                <w:b/>
                <w:color w:val="173E34"/>
                <w:sz w:val="17"/>
              </w:rPr>
              <w:t>Factor de carbono o gas, unidad y fuente</w:t>
            </w:r>
          </w:p>
          <w:p>
            <w:pPr>
              <w:spacing w:before="40" w:after="40"/>
            </w:pPr>
            <m:oMath>
              <m:sSub>
                <m:e>
                  <m:r>
                    <w:rPr>
                      <w:sz w:val="16"/>
                      <w:color w:val="173E34"/>
                    </w:rPr>
                    <m:t>b</m:t>
                  </m:r>
                </m:e>
                <m:sub>
                  <m:r>
                    <w:rPr>
                      <w:sz w:val="16"/>
                      <w:color w:val="173E34"/>
                    </w:rPr>
                    <m:t>i</m:t>
                  </m:r>
                </m:sub>
              </m:sSub>
              <m:r>
                <w:rPr>
                  <w:sz w:val="16"/>
                  <w:color w:val="173E34"/>
                </w:rPr>
                <m:rPr>
                  <m:sty m:val="p"/>
                </m:rPr>
                <m:t>,</m:t>
              </m:r>
              <m:r>
                <w:rPr>
                  <w:sz w:val="16"/>
                  <w:color w:val="173E34"/>
                </w:rPr>
                <m:t> </m:t>
              </m:r>
              <m:sSubSup>
                <m:e>
                  <m:r>
                    <w:rPr>
                      <w:sz w:val="16"/>
                      <w:color w:val="173E34"/>
                    </w:rPr>
                    <m:t>f</m:t>
                  </m:r>
                </m:e>
                <m:sub>
                  <m:r>
                    <w:rPr>
                      <w:sz w:val="16"/>
                      <w:color w:val="173E34"/>
                    </w:rPr>
                    <m:t>i</m:t>
                  </m:r>
                </m:sub>
                <m:sup>
                  <m:r>
                    <w:rPr>
                      <w:sz w:val="16"/>
                      <w:color w:val="173E34"/>
                    </w:rPr>
                    <m:t>C</m:t>
                  </m:r>
                </m:sup>
              </m:sSubSup>
              <m:r>
                <w:rPr>
                  <w:sz w:val="16"/>
                  <w:color w:val="173E34"/>
                </w:rPr>
                <m:rPr>
                  <m:sty m:val="p"/>
                </m:rPr>
                <m:t>,</m:t>
              </m:r>
              <m:r>
                <w:rPr>
                  <w:sz w:val="16"/>
                  <w:color w:val="173E34"/>
                </w:rPr>
                <m:t> </m:t>
              </m:r>
              <m:sSub>
                <m:e>
                  <m:r>
                    <w:rPr>
                      <w:sz w:val="16"/>
                      <w:color w:val="173E34"/>
                    </w:rPr>
                    <m:t>c</m:t>
                  </m:r>
                </m:e>
                <m:sub>
                  <m:r>
                    <w:rPr>
                      <w:sz w:val="16"/>
                      <w:color w:val="173E34"/>
                    </w:rPr>
                    <m:t>i</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Transferencia, liberación y exclusiones</w:t>
            </w:r>
          </w:p>
          <w:p>
            <w:pPr>
              <w:spacing w:before="40" w:after="40"/>
            </w:pPr>
            <m:oMath>
              <m:sSubSup>
                <m:e>
                  <m:r>
                    <w:rPr>
                      <w:sz w:val="16"/>
                      <w:color w:val="173E34"/>
                    </w:rPr>
                    <m:t>e</m:t>
                  </m:r>
                </m:e>
                <m:sub>
                  <m:r>
                    <w:rPr>
                      <w:sz w:val="16"/>
                      <w:color w:val="173E34"/>
                    </w:rPr>
                    <m:t>i</m:t>
                  </m:r>
                </m:sub>
                <m:sup>
                  <m:r>
                    <w:rPr>
                      <w:sz w:val="16"/>
                      <w:color w:val="173E34"/>
                    </w:rPr>
                    <m:rPr>
                      <m:sty m:val="p"/>
                    </m:rPr>
                    <m:t>s</m:t>
                  </m:r>
                  <m:r>
                    <w:rPr>
                      <w:sz w:val="16"/>
                      <w:color w:val="173E34"/>
                    </w:rPr>
                    <m:rPr>
                      <m:sty m:val="p"/>
                    </m:rPr>
                    <m:t>t</m:t>
                  </m:r>
                  <m:r>
                    <w:rPr>
                      <w:sz w:val="16"/>
                      <w:color w:val="173E34"/>
                    </w:rPr>
                    <m:rPr>
                      <m:sty m:val="p"/>
                    </m:rPr>
                    <m:t>o</m:t>
                  </m:r>
                  <m:r>
                    <w:rPr>
                      <w:sz w:val="16"/>
                      <w:color w:val="173E34"/>
                    </w:rPr>
                    <m:rPr>
                      <m:sty m:val="p"/>
                    </m:rPr>
                    <m:t>c</m:t>
                  </m:r>
                  <m:r>
                    <w:rPr>
                      <w:sz w:val="16"/>
                      <w:color w:val="173E34"/>
                    </w:rPr>
                    <m:rPr>
                      <m:sty m:val="p"/>
                    </m:rPr>
                    <m:t>k</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06-0-ES-1-1"/>
                <w:tag w:val="sec_06-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6-0-ES-1-2"/>
                <w:tag w:val="sec_06-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6-0-ES-1-3"/>
                <w:tag w:val="sec_06-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6-0-ES-2-1"/>
                <w:tag w:val="sec_06-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6-0-ES-2-2"/>
                <w:tag w:val="sec_06-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6-0-ES-2-3"/>
                <w:tag w:val="sec_06-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6-0-ES-3-1"/>
                <w:tag w:val="sec_06-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6-0-ES-3-2"/>
                <w:tag w:val="sec_06-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6-0-ES-3-3"/>
                <w:tag w:val="sec_06-0-ES-3-3"/>
                <w:text/>
              </w:sdtPr>
              <w:sdtContent>
                <w:r>
                  <w:rPr>
                    <w:rFonts w:ascii="Lato" w:hAnsi="Lato"/>
                    <w:sz w:val="18"/>
                    <w:color w:val="62716E"/>
                  </w:rPr>
                  <w:t>[Completar]</w:t>
                </w:r>
              </w:sdtContent>
            </w:sdt>
          </w:p>
        </w:tc>
      </w:tr>
    </w:tbl>
    <w:p>
      <w:pPr>
        <w:spacing w:after="0"/>
      </w:pPr>
    </w:p>
    <w:p>
      <w:pPr>
        <w:pStyle w:val="Heading2"/>
        <w:keepNext/>
      </w:pPr>
      <w:r>
        <w:t>Soporte temporal y cierre de cohortes</w:t>
      </w:r>
    </w:p>
    <w:p>
      <w:pPr>
        <w:spacing w:after="80"/>
      </w:pPr>
      <w:r>
        <w:rPr>
          <w:rFonts w:ascii="Lato" w:hAnsi="Lato"/>
          <w:b w:val="0"/>
          <w:color w:val="62716E"/>
          <w:sz w:val="18"/>
        </w:rPr>
        <w:t>Distinguir existencias, cambios de existencias y emisiones atmosféricas del período. Adjuntar cronogramas de cohortes o equivalentes cuando corresponda; mostrar liberación inmediata, diferida y existencia remanente sin duplicar transferencias. Usar gases compatibles y la convención de PCG adoptada.</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6-1-ES"/>
                <w:tag w:val="sec_06-1-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Registro de cálculo</w:t>
      </w:r>
    </w:p>
    <w:p>
      <w:pPr>
        <w:keepNext/>
        <w:spacing w:before="40" w:after="60"/>
      </w:pPr>
      <w:r>
        <w:rPr>
          <w:rFonts w:ascii="Lato" w:hAnsi="Lato"/>
          <w:color w:val="315B50"/>
          <w:sz w:val="18"/>
        </w:rPr>
        <w:t>EXANTE-T11 / Notación del cálculo</w:t>
      </w:r>
    </w:p>
    <w:p>
      <w:pPr>
        <w:keepNext/>
        <w:spacing w:before="40" w:after="60"/>
      </w:pPr>
      <m:oMath>
        <m:sSubSup>
          <m:e>
            <m:r>
              <w:rPr>
                <w:sz w:val="18"/>
              </w:rPr>
              <m:t>E</m:t>
            </m:r>
          </m:e>
          <m:sub>
            <m:r>
              <w:rPr>
                <w:sz w:val="18"/>
              </w:rPr>
              <m:t>i</m:t>
            </m:r>
            <m:r>
              <w:rPr>
                <w:sz w:val="18"/>
              </w:rPr>
              <m:rPr>
                <m:sty m:val="p"/>
              </m:rPr>
              <m:t>,</m:t>
            </m:r>
            <m:r>
              <w:rPr>
                <w:sz w:val="18"/>
              </w:rPr>
              <m:t>t</m:t>
            </m:r>
          </m:sub>
          <m:sup>
            <m:r>
              <w:rPr>
                <w:sz w:val="18"/>
              </w:rPr>
              <m:rPr>
                <m:sty m:val="p"/>
              </m:rPr>
              <m:t>C</m:t>
            </m:r>
            <m:sSub>
              <m:e>
                <m:r>
                  <w:rPr>
                    <w:sz w:val="18"/>
                  </w:rPr>
                  <m:rPr>
                    <m:sty m:val="p"/>
                  </m:rPr>
                  <m:t>O</m:t>
                </m:r>
              </m:e>
              <m:sub>
                <m:r>
                  <w:rPr>
                    <w:sz w:val="18"/>
                  </w:rPr>
                  <m:rPr>
                    <m:sty m:val="p"/>
                  </m:rPr>
                  <m:t>2</m:t>
                </m:r>
              </m:sub>
            </m:sSub>
          </m:sup>
        </m:sSubSup>
        <m:r>
          <w:rPr>
            <w:sz w:val="18"/>
          </w:rPr>
          <m:rPr>
            <m:sty m:val="p"/>
          </m:rPr>
          <m:t>=</m:t>
        </m:r>
        <m:f>
          <m:fPr>
            <m:type m:val="bar"/>
          </m:fPr>
          <m:num>
            <m:r>
              <w:rPr>
                <w:sz w:val="18"/>
              </w:rPr>
              <m:t>44</m:t>
            </m:r>
          </m:num>
          <m:den>
            <m:r>
              <w:rPr>
                <w:sz w:val="18"/>
              </w:rPr>
              <m:t>12</m:t>
            </m:r>
          </m:den>
        </m:f>
        <m:nary>
          <m:naryPr>
            <m:chr m:val="∑"/>
            <m:limLoc m:val="undOvr"/>
            <m:subHide m:val="off"/>
            <m:supHide m:val="on"/>
          </m:naryPr>
          <m:sub>
            <m:r>
              <w:rPr>
                <w:sz w:val="18"/>
              </w:rPr>
              <m:t>τ</m:t>
            </m:r>
            <m:r>
              <w:rPr>
                <w:sz w:val="18"/>
              </w:rPr>
              <m:rPr>
                <m:sty m:val="p"/>
              </m:rPr>
              <m:t>≤</m:t>
            </m:r>
            <m:r>
              <w:rPr>
                <w:sz w:val="18"/>
              </w:rPr>
              <m:t>t</m:t>
            </m:r>
          </m:sub>
          <m:sup>
            <m:r>
              <w:rPr>
                <w:sz w:val="18"/>
              </w:rPr>
              <m:t>​</m:t>
            </m:r>
          </m:sup>
          <m:e>
            <m:nary>
              <m:naryPr>
                <m:chr m:val="∑"/>
                <m:limLoc m:val="undOvr"/>
                <m:subHide m:val="off"/>
                <m:supHide m:val="on"/>
              </m:naryPr>
              <m:sub>
                <m:r>
                  <w:rPr>
                    <w:sz w:val="18"/>
                  </w:rPr>
                  <m:t>o</m:t>
                </m:r>
              </m:sub>
              <m:sup>
                <m:r>
                  <w:rPr>
                    <w:sz w:val="18"/>
                  </w:rPr>
                  <m:t>​</m:t>
                </m:r>
              </m:sup>
              <m:e>
                <m:sSub>
                  <m:e>
                    <m:r>
                      <w:rPr>
                        <w:sz w:val="18"/>
                      </w:rPr>
                      <m:t>A</m:t>
                    </m:r>
                  </m:e>
                  <m:sub>
                    <m:r>
                      <w:rPr>
                        <w:sz w:val="18"/>
                      </w:rPr>
                      <m:t>i</m:t>
                    </m:r>
                    <m:r>
                      <w:rPr>
                        <w:sz w:val="18"/>
                      </w:rPr>
                      <m:rPr>
                        <m:sty m:val="p"/>
                      </m:rPr>
                      <m:t>,</m:t>
                    </m:r>
                    <m:r>
                      <w:rPr>
                        <w:sz w:val="18"/>
                      </w:rPr>
                      <m:t>τ</m:t>
                    </m:r>
                  </m:sub>
                </m:sSub>
              </m:e>
            </m:nary>
          </m:e>
        </m:nary>
        <m:sSub>
          <m:e>
            <m:r>
              <w:rPr>
                <w:sz w:val="18"/>
              </w:rPr>
              <m:rPr>
                <m:sty m:val="p"/>
              </m:rPr>
              <m:t>ℓ</m:t>
            </m:r>
          </m:e>
          <m:sub>
            <m:r>
              <w:rPr>
                <w:sz w:val="18"/>
              </w:rPr>
              <m:t>i</m:t>
            </m:r>
            <m:r>
              <w:rPr>
                <w:sz w:val="18"/>
              </w:rPr>
              <m:t>o</m:t>
            </m:r>
            <m:r>
              <w:rPr>
                <w:sz w:val="18"/>
              </w:rPr>
              <m:rPr>
                <m:sty m:val="p"/>
              </m:rPr>
              <m:t>,</m:t>
            </m:r>
            <m:r>
              <w:rPr>
                <w:sz w:val="18"/>
              </w:rPr>
              <m:t>τ</m:t>
            </m:r>
          </m:sub>
        </m:sSub>
        <m:sSub>
          <m:e>
            <m:r>
              <w:rPr>
                <w:sz w:val="18"/>
              </w:rPr>
              <m:t>k</m:t>
            </m:r>
          </m:e>
          <m:sub>
            <m:r>
              <w:rPr>
                <w:sz w:val="18"/>
              </w:rPr>
              <m:t>i</m:t>
            </m:r>
            <m:r>
              <w:rPr>
                <w:sz w:val="18"/>
              </w:rPr>
              <m:t>o</m:t>
            </m:r>
            <m:r>
              <w:rPr>
                <w:sz w:val="18"/>
              </w:rPr>
              <m:rPr>
                <m:sty m:val="p"/>
              </m:rPr>
              <m:t>,</m:t>
            </m:r>
            <m:r>
              <w:rPr>
                <w:sz w:val="18"/>
              </w:rPr>
              <m:t>τ</m:t>
            </m:r>
          </m:sub>
        </m:sSub>
        <m:d>
          <m:dPr>
            <m:begChr m:val="("/>
            <m:endChr m:val=")"/>
            <m:sepChr m:val=""/>
            <m:grow/>
          </m:dPr>
          <m:e>
            <m:r>
              <w:rPr>
                <w:sz w:val="18"/>
              </w:rPr>
              <m:t>t</m:t>
            </m:r>
          </m:e>
        </m:d>
      </m:oMath>
    </w:p>
    <w:p>
      <w:pPr>
        <w:keepNext/>
        <w:spacing w:before="40" w:after="60"/>
      </w:pPr>
      <w:r>
        <w:rPr>
          <w:rFonts w:ascii="Lato" w:hAnsi="Lato"/>
          <w:color w:val="315B50"/>
          <w:sz w:val="16"/>
        </w:rPr>
        <w:t>A es ha recién afectadas, ell es Mg C/ha asignados y k es fracción liberada como CO2 durante t. La suma de fracciones no excede su asignación definida. Cohortes y reservorios son disjuntos; conservar material remanente y cohortes anteriores. Usar intervalos exactos.</w:t>
      </w:r>
    </w:p>
    <w:p>
      <w:pPr>
        <w:keepNext/>
        <w:spacing w:before="40" w:after="60"/>
      </w:pPr>
      <w:r>
        <w:rPr>
          <w:rFonts w:ascii="Lato" w:hAnsi="Lato"/>
          <w:color w:val="315B50"/>
          <w:sz w:val="14"/>
        </w:rPr>
        <w:t>Base: M04.2; F-C03a; F-C03b; F-C04 | Libro: Cronograma previo de cohortes;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Ecuación / referencias de entradas</w:t>
            </w:r>
          </w:p>
          <w:p>
            <w:pPr>
              <w:spacing w:before="40" w:after="40"/>
            </w:pPr>
            <m:oMath>
              <m:r>
                <w:rPr>
                  <w:sz w:val="16"/>
                  <w:color w:val="173E34"/>
                </w:rPr>
                <m:t>i</m:t>
              </m:r>
              <m:r>
                <w:rPr>
                  <w:sz w:val="16"/>
                  <w:color w:val="173E34"/>
                </w:rPr>
                <m:rPr>
                  <m:sty m:val="p"/>
                </m:rPr>
                <m:t>,</m:t>
              </m:r>
              <m:r>
                <w:rPr>
                  <w:sz w:val="16"/>
                  <w:color w:val="173E34"/>
                </w:rPr>
                <m:t> </m:t>
              </m:r>
              <m:r>
                <w:rPr>
                  <w:sz w:val="16"/>
                  <w:color w:val="173E34"/>
                </w:rPr>
                <m:t>o</m:t>
              </m:r>
              <m:r>
                <w:rPr>
                  <w:sz w:val="16"/>
                  <w:color w:val="173E34"/>
                </w:rPr>
                <m:rPr>
                  <m:sty m:val="p"/>
                </m:rPr>
                <m:t>,</m:t>
              </m:r>
              <m:r>
                <w:rPr>
                  <w:sz w:val="16"/>
                  <w:color w:val="173E34"/>
                </w:rPr>
                <m:t> </m:t>
              </m:r>
              <m:r>
                <w:rPr>
                  <w:sz w:val="16"/>
                  <w:color w:val="173E34"/>
                </w:rPr>
                <m:t>τ</m:t>
              </m:r>
            </m:oMath>
          </w:p>
        </w:tc>
        <w:tc>
          <w:tcPr>
            <w:tcW w:type="dxa" w:w="3250"/>
            <w:tcMar>
              <w:top w:w="90" w:type="dxa"/>
              <w:bottom w:w="90" w:type="dxa"/>
              <w:left w:w="100" w:type="dxa"/>
              <w:right w:w="100" w:type="dxa"/>
            </w:tcMar>
            <w:vAlign w:val="center"/>
            <w:shd w:fill="E6F0EB"/>
          </w:tcPr>
          <w:p>
            <w:r>
              <w:rPr>
                <w:rFonts w:ascii="Lato" w:hAnsi="Lato"/>
                <w:b/>
                <w:color w:val="173E34"/>
                <w:sz w:val="17"/>
              </w:rPr>
              <w:t>Resultado intermedio y unidad</w:t>
            </w:r>
          </w:p>
          <w:p>
            <w:pPr>
              <w:spacing w:before="40" w:after="40"/>
            </w:pPr>
            <m:oMath>
              <m:sSub>
                <m:e>
                  <m:r>
                    <w:rPr>
                      <w:sz w:val="16"/>
                      <w:color w:val="173E34"/>
                    </w:rPr>
                    <m:t>A</m:t>
                  </m:r>
                </m:e>
                <m:sub>
                  <m:r>
                    <w:rPr>
                      <w:sz w:val="16"/>
                      <w:color w:val="173E34"/>
                    </w:rPr>
                    <m:t>i</m:t>
                  </m:r>
                  <m:r>
                    <w:rPr>
                      <w:sz w:val="16"/>
                      <w:color w:val="173E34"/>
                    </w:rPr>
                    <m:rPr>
                      <m:sty m:val="p"/>
                    </m:rPr>
                    <m:t>,</m:t>
                  </m:r>
                  <m:r>
                    <w:rPr>
                      <w:sz w:val="16"/>
                      <w:color w:val="173E34"/>
                    </w:rPr>
                    <m:t>τ</m:t>
                  </m:r>
                </m:sub>
              </m:sSub>
              <m:r>
                <w:rPr>
                  <w:sz w:val="16"/>
                  <w:color w:val="173E34"/>
                </w:rPr>
                <m:rPr>
                  <m:sty m:val="p"/>
                </m:rPr>
                <m:t>,</m:t>
              </m:r>
              <m:r>
                <w:rPr>
                  <w:sz w:val="16"/>
                  <w:color w:val="173E34"/>
                </w:rPr>
                <m:t> </m:t>
              </m:r>
              <m:sSub>
                <m:e>
                  <m:r>
                    <w:rPr>
                      <w:sz w:val="16"/>
                      <w:color w:val="173E34"/>
                    </w:rPr>
                    <m:rPr>
                      <m:sty m:val="p"/>
                    </m:rPr>
                    <m:t>ℓ</m:t>
                  </m:r>
                </m:e>
                <m:sub>
                  <m:r>
                    <w:rPr>
                      <w:sz w:val="16"/>
                      <w:color w:val="173E34"/>
                    </w:rPr>
                    <m:t>i</m:t>
                  </m:r>
                  <m:r>
                    <w:rPr>
                      <w:sz w:val="16"/>
                      <w:color w:val="173E34"/>
                    </w:rPr>
                    <m:t>o</m:t>
                  </m:r>
                  <m:r>
                    <w:rPr>
                      <w:sz w:val="16"/>
                      <w:color w:val="173E34"/>
                    </w:rPr>
                    <m:rPr>
                      <m:sty m:val="p"/>
                    </m:rPr>
                    <m:t>,</m:t>
                  </m:r>
                  <m:r>
                    <w:rPr>
                      <w:sz w:val="16"/>
                      <w:color w:val="173E34"/>
                    </w:rPr>
                    <m:t>τ</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Control de calidad / caso límite</w:t>
            </w:r>
          </w:p>
          <w:p>
            <w:pPr>
              <w:spacing w:before="40" w:after="40"/>
            </w:pPr>
            <m:oMath>
              <m:sSub>
                <m:e>
                  <m:r>
                    <w:rPr>
                      <w:sz w:val="16"/>
                      <w:color w:val="173E34"/>
                    </w:rPr>
                    <m:t>k</m:t>
                  </m:r>
                </m:e>
                <m:sub>
                  <m:r>
                    <w:rPr>
                      <w:sz w:val="16"/>
                      <w:color w:val="173E34"/>
                    </w:rPr>
                    <m:t>i</m:t>
                  </m:r>
                  <m:r>
                    <w:rPr>
                      <w:sz w:val="16"/>
                      <w:color w:val="173E34"/>
                    </w:rPr>
                    <m:t>o</m:t>
                  </m:r>
                  <m:r>
                    <w:rPr>
                      <w:sz w:val="16"/>
                      <w:color w:val="173E34"/>
                    </w:rPr>
                    <m:rPr>
                      <m:sty m:val="p"/>
                    </m:rPr>
                    <m:t>,</m:t>
                  </m:r>
                  <m:r>
                    <w:rPr>
                      <w:sz w:val="16"/>
                      <w:color w:val="173E34"/>
                    </w:rPr>
                    <m:t>τ</m:t>
                  </m:r>
                </m:sub>
              </m:sSub>
              <m:d>
                <m:dPr>
                  <m:begChr m:val="("/>
                  <m:endChr m:val=")"/>
                  <m:sepChr m:val=""/>
                  <m:grow/>
                </m:dPr>
                <m:e>
                  <m:r>
                    <w:rPr>
                      <w:sz w:val="16"/>
                      <w:color w:val="173E34"/>
                    </w:rPr>
                    <m:t>t</m:t>
                  </m:r>
                </m:e>
              </m:d>
              <m:r>
                <w:rPr>
                  <w:sz w:val="16"/>
                  <w:color w:val="173E34"/>
                </w:rPr>
                <m:rPr>
                  <m:sty m:val="p"/>
                </m:rPr>
                <m:t>,</m:t>
              </m:r>
              <m:r>
                <w:rPr>
                  <w:sz w:val="16"/>
                  <w:color w:val="173E34"/>
                </w:rPr>
                <m:t> </m:t>
              </m:r>
              <m:sSubSup>
                <m:e>
                  <m:r>
                    <w:rPr>
                      <w:sz w:val="16"/>
                      <w:color w:val="173E34"/>
                    </w:rPr>
                    <m:t>E</m:t>
                  </m:r>
                </m:e>
                <m:sub>
                  <m:r>
                    <w:rPr>
                      <w:sz w:val="16"/>
                      <w:color w:val="173E34"/>
                    </w:rPr>
                    <m:t>i</m:t>
                  </m:r>
                  <m:r>
                    <w:rPr>
                      <w:sz w:val="16"/>
                      <w:color w:val="173E34"/>
                    </w:rPr>
                    <m:rPr>
                      <m:sty m:val="p"/>
                    </m:rPr>
                    <m:t>,</m:t>
                  </m:r>
                  <m:r>
                    <w:rPr>
                      <w:sz w:val="16"/>
                      <w:color w:val="173E34"/>
                    </w:rPr>
                    <m:t>t</m:t>
                  </m:r>
                </m:sub>
                <m:sup>
                  <m:r>
                    <w:rPr>
                      <w:sz w:val="16"/>
                      <w:color w:val="173E34"/>
                    </w:rPr>
                    <m:rPr>
                      <m:sty m:val="p"/>
                    </m:rPr>
                    <m:t>C</m:t>
                  </m:r>
                  <m:sSub>
                    <m:e>
                      <m:r>
                        <w:rPr>
                          <w:sz w:val="16"/>
                          <w:color w:val="173E34"/>
                        </w:rPr>
                        <m:rPr>
                          <m:sty m:val="p"/>
                        </m:rPr>
                        <m:t>O</m:t>
                      </m:r>
                    </m:e>
                    <m:sub>
                      <m:r>
                        <w:rPr>
                          <w:sz w:val="16"/>
                          <w:color w:val="173E34"/>
                        </w:rPr>
                        <m:rPr>
                          <m:sty m:val="p"/>
                        </m:rPr>
                        <m:t>2</m:t>
                      </m:r>
                    </m:sub>
                  </m:sSub>
                </m:sup>
              </m:sSubSup>
            </m:oMath>
          </w:p>
        </w:tc>
      </w:tr>
      <w:tr>
        <w:trPr>
          <w:trHeight w:val="510"/>
        </w:trPr>
        <w:tc>
          <w:tcPr>
            <w:tcW w:type="dxa" w:w="3250"/>
            <w:tcMar>
              <w:top w:w="90" w:type="dxa"/>
              <w:bottom w:w="90" w:type="dxa"/>
              <w:left w:w="100" w:type="dxa"/>
              <w:right w:w="100" w:type="dxa"/>
            </w:tcMar>
            <w:shd w:fill="F1F5F2"/>
          </w:tcPr>
          <w:p>
            <w:pPr>
              <w:spacing w:after="20"/>
            </w:pPr>
            <w:sdt>
              <w:sdtPr>
                <w:alias w:val="sec_06-2-ES-1-1"/>
                <w:tag w:val="sec_06-2-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6-2-ES-1-2"/>
                <w:tag w:val="sec_06-2-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6-2-ES-1-3"/>
                <w:tag w:val="sec_06-2-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6-2-ES-2-1"/>
                <w:tag w:val="sec_06-2-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6-2-ES-2-2"/>
                <w:tag w:val="sec_06-2-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6-2-ES-2-3"/>
                <w:tag w:val="sec_06-2-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6-2-ES-3-1"/>
                <w:tag w:val="sec_06-2-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6-2-ES-3-2"/>
                <w:tag w:val="sec_06-2-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6-2-ES-3-3"/>
                <w:tag w:val="sec_06-2-ES-3-3"/>
                <w:text/>
              </w:sdtPr>
              <w:sdtContent>
                <w:r>
                  <w:rPr>
                    <w:rFonts w:ascii="Lato" w:hAnsi="Lato"/>
                    <w:sz w:val="18"/>
                    <w:color w:val="62716E"/>
                  </w:rPr>
                  <w:t>[Completar]</w:t>
                </w:r>
              </w:sdtContent>
            </w:sdt>
          </w:p>
        </w:tc>
      </w:tr>
    </w:tbl>
    <w:p>
      <w:pPr>
        <w:spacing w:after="0"/>
      </w:pPr>
    </w:p>
    <w:p>
      <w:bookmarkStart w:id="3007" w:name="sec_07"/>
      <w:pPr>
        <w:pStyle w:val="Heading1"/>
        <w:keepNext/>
        <w:pageBreakBefore/>
      </w:pPr>
      <w:r>
        <w:t>07  Cuenta proyectada por período y horizonte</w:t>
      </w:r>
      <w:bookmarkEnd w:id="3007"/>
    </w:p>
    <w:p>
      <w:pPr>
        <w:spacing w:after="120"/>
      </w:pPr>
      <w:r>
        <w:rPr>
          <w:rFonts w:ascii="Lato" w:hAnsi="Lato"/>
          <w:b w:val="0"/>
          <w:color w:val="62716E"/>
          <w:sz w:val="16"/>
        </w:rPr>
        <w:t>[1] Referencia: M04.5; F-R01; F-R03; F-R04; FRM-02</w:t>
      </w:r>
    </w:p>
    <w:p>
      <w:pPr>
        <w:pStyle w:val="Heading2"/>
        <w:keepNext/>
      </w:pPr>
      <w:r>
        <w:t>Cuenta ambiental con signo</w:t>
      </w:r>
    </w:p>
    <w:p>
      <w:pPr>
        <w:keepNext/>
        <w:spacing w:before="40" w:after="60"/>
      </w:pPr>
      <w:r>
        <w:rPr>
          <w:rFonts w:ascii="Lato" w:hAnsi="Lato"/>
          <w:color w:val="315B50"/>
          <w:sz w:val="18"/>
        </w:rPr>
        <w:t>EXANTE-T12 / Notación del cálculo</w:t>
      </w:r>
    </w:p>
    <w:p>
      <w:pPr>
        <w:keepNext/>
        <w:spacing w:before="40" w:after="60"/>
      </w:pPr>
      <m:oMath>
        <m:sSubSup>
          <m:e>
            <m:acc>
              <m:accPr>
                <m:chr m:val="̂"/>
              </m:accPr>
              <m:e>
                <m:r>
                  <w:rPr>
                    <w:sz w:val="18"/>
                  </w:rPr>
                  <m:t>Q</m:t>
                </m:r>
              </m:e>
            </m:acc>
          </m:e>
          <m:sub>
            <m:r>
              <w:rPr>
                <w:sz w:val="18"/>
              </w:rPr>
              <m:t>t</m:t>
            </m:r>
          </m:sub>
          <m:sup>
            <m:r>
              <w:rPr>
                <w:sz w:val="18"/>
              </w:rPr>
              <m:t>z</m:t>
            </m:r>
          </m:sup>
        </m:sSubSup>
        <m:r>
          <w:rPr>
            <w:sz w:val="18"/>
          </w:rPr>
          <m:rPr>
            <m:sty m:val="p"/>
          </m:rPr>
          <m:t>=</m:t>
        </m:r>
        <m:sSubSup>
          <m:e>
            <m:r>
              <w:rPr>
                <w:sz w:val="18"/>
              </w:rPr>
              <m:t>N</m:t>
            </m:r>
          </m:e>
          <m:sub>
            <m:r>
              <w:rPr>
                <w:sz w:val="18"/>
              </w:rPr>
              <m:rPr>
                <m:sty m:val="p"/>
              </m:rPr>
              <m:t>B</m:t>
            </m:r>
            <m:r>
              <w:rPr>
                <w:sz w:val="18"/>
              </w:rPr>
              <m:rPr>
                <m:sty m:val="p"/>
              </m:rPr>
              <m:t>L</m:t>
            </m:r>
            <m:r>
              <w:rPr>
                <w:sz w:val="18"/>
              </w:rPr>
              <m:rPr>
                <m:sty m:val="p"/>
              </m:rPr>
              <m:t>,</m:t>
            </m:r>
            <m:r>
              <w:rPr>
                <w:sz w:val="18"/>
              </w:rPr>
              <m:t>t</m:t>
            </m:r>
          </m:sub>
          <m:sup>
            <m:r>
              <w:rPr>
                <w:sz w:val="18"/>
              </w:rPr>
              <m:t>z</m:t>
            </m:r>
          </m:sup>
        </m:sSubSup>
        <m:r>
          <w:rPr>
            <w:sz w:val="18"/>
          </w:rPr>
          <m:rPr>
            <m:sty m:val="p"/>
          </m:rPr>
          <m:t>−</m:t>
        </m:r>
        <m:sSubSup>
          <m:e>
            <m:r>
              <w:rPr>
                <w:sz w:val="18"/>
              </w:rPr>
              <m:t>N</m:t>
            </m:r>
          </m:e>
          <m:sub>
            <m:r>
              <w:rPr>
                <w:sz w:val="18"/>
              </w:rPr>
              <m:rPr>
                <m:sty m:val="p"/>
              </m:rPr>
              <m:t>P</m:t>
            </m:r>
            <m:r>
              <w:rPr>
                <w:sz w:val="18"/>
              </w:rPr>
              <m:rPr>
                <m:sty m:val="p"/>
              </m:rPr>
              <m:t>J</m:t>
            </m:r>
            <m:r>
              <w:rPr>
                <w:sz w:val="18"/>
              </w:rPr>
              <m:rPr>
                <m:sty m:val="p"/>
              </m:rPr>
              <m:t>,</m:t>
            </m:r>
            <m:r>
              <w:rPr>
                <w:sz w:val="18"/>
              </w:rPr>
              <m:t>t</m:t>
            </m:r>
          </m:sub>
          <m:sup>
            <m:r>
              <w:rPr>
                <w:sz w:val="18"/>
              </w:rPr>
              <m:t>z</m:t>
            </m:r>
          </m:sup>
        </m:sSubSup>
        <m:r>
          <w:rPr>
            <w:sz w:val="18"/>
          </w:rPr>
          <m:rPr>
            <m:sty m:val="p"/>
          </m:rPr>
          <m:t>−</m:t>
        </m:r>
        <m:sSubSup>
          <m:e>
            <m:r>
              <w:rPr>
                <w:sz w:val="18"/>
              </w:rPr>
              <m:t>L</m:t>
            </m:r>
          </m:e>
          <m:sub>
            <m:r>
              <w:rPr>
                <w:sz w:val="18"/>
              </w:rPr>
              <m:t>t</m:t>
            </m:r>
          </m:sub>
          <m:sup>
            <m:r>
              <w:rPr>
                <w:sz w:val="18"/>
              </w:rPr>
              <m:t>z</m:t>
            </m:r>
          </m:sup>
        </m:sSubSup>
        <m:r>
          <w:rPr>
            <w:sz w:val="18"/>
          </w:rPr>
          <m:rPr>
            <m:sty m:val="p"/>
          </m:rPr>
          <m:t>,</m:t>
        </m:r>
        <m:r>
          <w:rPr>
            <w:sz w:val="18"/>
          </w:rPr>
          <m:t>  </m:t>
        </m:r>
        <m:r>
          <w:rPr>
            <w:sz w:val="18"/>
          </w:rPr>
          <m:t>z</m:t>
        </m:r>
        <m:r>
          <w:rPr>
            <w:sz w:val="18"/>
          </w:rPr>
          <m:rPr>
            <m:sty m:val="p"/>
          </m:rPr>
          <m:t>∈</m:t>
        </m:r>
        <m:r>
          <w:rPr>
            <w:sz w:val="18"/>
          </w:rPr>
          <m:rPr>
            <m:sty m:val="p"/>
          </m:rPr>
          <m:t>{</m:t>
        </m:r>
        <m:r>
          <w:rPr>
            <w:sz w:val="18"/>
          </w:rPr>
          <m:rPr>
            <m:sty m:val="p"/>
          </m:rPr>
          <m:t>E</m:t>
        </m:r>
        <m:r>
          <w:rPr>
            <w:sz w:val="18"/>
          </w:rPr>
          <m:rPr>
            <m:sty m:val="p"/>
          </m:rPr>
          <m:t>A</m:t>
        </m:r>
        <m:r>
          <w:rPr>
            <w:sz w:val="18"/>
          </w:rPr>
          <m:rPr>
            <m:sty m:val="p"/>
          </m:rPr>
          <m:t>,</m:t>
        </m:r>
        <m:r>
          <w:rPr>
            <w:sz w:val="18"/>
          </w:rPr>
          <m:rPr>
            <m:sty m:val="p"/>
          </m:rPr>
          <m:t>E</m:t>
        </m:r>
        <m:r>
          <w:rPr>
            <w:sz w:val="18"/>
          </w:rPr>
          <m:rPr>
            <m:sty m:val="p"/>
          </m:rPr>
          <m:t>P</m:t>
        </m:r>
        <m:r>
          <w:rPr>
            <w:sz w:val="18"/>
          </w:rPr>
          <m:rPr>
            <m:sty m:val="p"/>
          </m:rPr>
          <m:t>}</m:t>
        </m:r>
      </m:oMath>
    </w:p>
    <w:p>
      <w:pPr>
        <w:keepNext/>
        <w:spacing w:before="40" w:after="60"/>
      </w:pPr>
      <w:r>
        <w:rPr>
          <w:rFonts w:ascii="Lato" w:hAnsi="Lato"/>
          <w:color w:val="315B50"/>
          <w:sz w:val="16"/>
        </w:rPr>
        <w:t>EA denota pronóstico fechado; EP denota cuenta del período reportado, no verificación automática. Todos los términos son masas del período con signo y soporte comparable. La cantidad precede incertidumbre, obligaciones previas, reserva y denominación.</w:t>
      </w:r>
    </w:p>
    <w:p>
      <w:pPr>
        <w:keepNext/>
        <w:spacing w:before="40" w:after="60"/>
      </w:pPr>
      <w:r>
        <w:rPr>
          <w:rFonts w:ascii="Lato" w:hAnsi="Lato"/>
          <w:color w:val="315B50"/>
          <w:sz w:val="14"/>
        </w:rPr>
        <w:t>Base: M04.5; F-R01 | Libro: ExAnte!F:I; ExPost!F:I</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Período / alcance compatible</w:t>
            </w:r>
          </w:p>
          <w:p>
            <w:pPr>
              <w:spacing w:before="40" w:after="40"/>
            </w:pPr>
            <m:oMath>
              <m:r>
                <w:rPr>
                  <w:sz w:val="16"/>
                  <w:color w:val="173E34"/>
                </w:rPr>
                <m:t>t</m:t>
              </m:r>
              <m:r>
                <w:rPr>
                  <w:sz w:val="16"/>
                  <w:color w:val="173E34"/>
                </w:rPr>
                <m:rPr>
                  <m:sty m:val="p"/>
                </m:rPr>
                <m:t>,</m:t>
              </m:r>
              <m:r>
                <w:rPr>
                  <w:sz w:val="16"/>
                  <w:color w:val="173E34"/>
                </w:rPr>
                <m:t> </m:t>
              </m:r>
              <m:r>
                <w:rPr>
                  <w:sz w:val="16"/>
                  <w:color w:val="173E34"/>
                </w:rPr>
                <m:t>z</m:t>
              </m:r>
            </m:oMath>
          </w:p>
        </w:tc>
        <w:tc>
          <w:tcPr>
            <w:tcW w:type="dxa" w:w="3250"/>
            <w:tcMar>
              <w:top w:w="90" w:type="dxa"/>
              <w:bottom w:w="90" w:type="dxa"/>
              <w:left w:w="100" w:type="dxa"/>
              <w:right w:w="100" w:type="dxa"/>
            </w:tcMar>
            <w:vAlign w:val="center"/>
            <w:shd w:fill="E6F0EB"/>
          </w:tcPr>
          <w:p>
            <w:r>
              <w:rPr>
                <w:rFonts w:ascii="Lato" w:hAnsi="Lato"/>
                <w:b/>
                <w:color w:val="173E34"/>
                <w:sz w:val="17"/>
              </w:rPr>
              <w:t>Línea base / proyecto / fugas (t CO2e)</w:t>
            </w:r>
          </w:p>
          <w:p>
            <w:pPr>
              <w:spacing w:before="40" w:after="40"/>
            </w:pPr>
            <m:oMath>
              <m:sSubSup>
                <m:e>
                  <m:r>
                    <w:rPr>
                      <w:sz w:val="16"/>
                      <w:color w:val="173E34"/>
                    </w:rPr>
                    <m:t>N</m:t>
                  </m:r>
                </m:e>
                <m:sub>
                  <m:r>
                    <w:rPr>
                      <w:sz w:val="16"/>
                      <w:color w:val="173E34"/>
                    </w:rPr>
                    <m:rPr>
                      <m:sty m:val="p"/>
                    </m:rPr>
                    <m:t>B</m:t>
                  </m:r>
                  <m:r>
                    <w:rPr>
                      <w:sz w:val="16"/>
                      <w:color w:val="173E34"/>
                    </w:rPr>
                    <m:rPr>
                      <m:sty m:val="p"/>
                    </m:rPr>
                    <m:t>L</m:t>
                  </m:r>
                  <m:r>
                    <w:rPr>
                      <w:sz w:val="16"/>
                      <w:color w:val="173E34"/>
                    </w:rPr>
                    <m:rPr>
                      <m:sty m:val="p"/>
                    </m:rPr>
                    <m:t>,</m:t>
                  </m:r>
                  <m:r>
                    <w:rPr>
                      <w:sz w:val="16"/>
                      <w:color w:val="173E34"/>
                    </w:rPr>
                    <m:t>t</m:t>
                  </m:r>
                </m:sub>
                <m:sup>
                  <m:r>
                    <w:rPr>
                      <w:sz w:val="16"/>
                      <w:color w:val="173E34"/>
                    </w:rPr>
                    <m:t>z</m:t>
                  </m:r>
                </m:sup>
              </m:sSubSup>
              <m:r>
                <w:rPr>
                  <w:sz w:val="16"/>
                  <w:color w:val="173E34"/>
                </w:rPr>
                <m:rPr>
                  <m:sty m:val="p"/>
                </m:rPr>
                <m:t>,</m:t>
              </m:r>
              <m:r>
                <w:rPr>
                  <w:sz w:val="16"/>
                  <w:color w:val="173E34"/>
                </w:rPr>
                <m:t> </m:t>
              </m:r>
              <m:sSubSup>
                <m:e>
                  <m:r>
                    <w:rPr>
                      <w:sz w:val="16"/>
                      <w:color w:val="173E34"/>
                    </w:rPr>
                    <m:t>N</m:t>
                  </m:r>
                </m:e>
                <m:sub>
                  <m:r>
                    <w:rPr>
                      <w:sz w:val="16"/>
                      <w:color w:val="173E34"/>
                    </w:rPr>
                    <m:rPr>
                      <m:sty m:val="p"/>
                    </m:rPr>
                    <m:t>P</m:t>
                  </m:r>
                  <m:r>
                    <w:rPr>
                      <w:sz w:val="16"/>
                      <w:color w:val="173E34"/>
                    </w:rPr>
                    <m:rPr>
                      <m:sty m:val="p"/>
                    </m:rPr>
                    <m:t>J</m:t>
                  </m:r>
                  <m:r>
                    <w:rPr>
                      <w:sz w:val="16"/>
                      <w:color w:val="173E34"/>
                    </w:rPr>
                    <m:rPr>
                      <m:sty m:val="p"/>
                    </m:rPr>
                    <m:t>,</m:t>
                  </m:r>
                  <m:r>
                    <w:rPr>
                      <w:sz w:val="16"/>
                      <w:color w:val="173E34"/>
                    </w:rPr>
                    <m:t>t</m:t>
                  </m:r>
                </m:sub>
                <m:sup>
                  <m:r>
                    <w:rPr>
                      <w:sz w:val="16"/>
                      <w:color w:val="173E34"/>
                    </w:rPr>
                    <m:t>z</m:t>
                  </m:r>
                </m:sup>
              </m:sSubSup>
              <m:r>
                <w:rPr>
                  <w:sz w:val="16"/>
                  <w:color w:val="173E34"/>
                </w:rPr>
                <m:rPr>
                  <m:sty m:val="p"/>
                </m:rPr>
                <m:t>,</m:t>
              </m:r>
              <m:r>
                <w:rPr>
                  <w:sz w:val="16"/>
                  <w:color w:val="173E34"/>
                </w:rPr>
                <m:t> </m:t>
              </m:r>
              <m:sSubSup>
                <m:e>
                  <m:r>
                    <w:rPr>
                      <w:sz w:val="16"/>
                      <w:color w:val="173E34"/>
                    </w:rPr>
                    <m:t>L</m:t>
                  </m:r>
                </m:e>
                <m:sub>
                  <m:r>
                    <w:rPr>
                      <w:sz w:val="16"/>
                      <w:color w:val="173E34"/>
                    </w:rPr>
                    <m:t>t</m:t>
                  </m:r>
                </m:sub>
                <m:sup>
                  <m:r>
                    <w:rPr>
                      <w:sz w:val="16"/>
                      <w:color w:val="173E34"/>
                    </w:rPr>
                    <m:t>z</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Resultado neto y referencia exacta del cálculo</w:t>
            </w:r>
          </w:p>
          <w:p>
            <w:pPr>
              <w:spacing w:before="40" w:after="40"/>
            </w:pPr>
            <m:oMath>
              <m:sSubSup>
                <m:e>
                  <m:acc>
                    <m:accPr>
                      <m:chr m:val="̂"/>
                    </m:accPr>
                    <m:e>
                      <m:r>
                        <w:rPr>
                          <w:sz w:val="16"/>
                          <w:color w:val="173E34"/>
                        </w:rPr>
                        <m:t>Q</m:t>
                      </m:r>
                    </m:e>
                  </m:acc>
                </m:e>
                <m:sub>
                  <m:r>
                    <w:rPr>
                      <w:sz w:val="16"/>
                      <w:color w:val="173E34"/>
                    </w:rPr>
                    <m:t>t</m:t>
                  </m:r>
                </m:sub>
                <m:sup>
                  <m:r>
                    <w:rPr>
                      <w:sz w:val="16"/>
                      <w:color w:val="173E34"/>
                    </w:rPr>
                    <m:t>z</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07-0-ES-1-1"/>
                <w:tag w:val="sec_07-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7-0-ES-1-2"/>
                <w:tag w:val="sec_07-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7-0-ES-1-3"/>
                <w:tag w:val="sec_07-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7-0-ES-2-1"/>
                <w:tag w:val="sec_07-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7-0-ES-2-2"/>
                <w:tag w:val="sec_07-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7-0-ES-2-3"/>
                <w:tag w:val="sec_07-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7-0-ES-3-1"/>
                <w:tag w:val="sec_07-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7-0-ES-3-2"/>
                <w:tag w:val="sec_07-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7-0-ES-3-3"/>
                <w:tag w:val="sec_07-0-ES-3-3"/>
                <w:text/>
              </w:sdtPr>
              <w:sdtContent>
                <w:r>
                  <w:rPr>
                    <w:rFonts w:ascii="Lato" w:hAnsi="Lato"/>
                    <w:sz w:val="18"/>
                    <w:color w:val="62716E"/>
                  </w:rPr>
                  <w:t>[Completar]</w:t>
                </w:r>
              </w:sdtContent>
            </w:sdt>
          </w:p>
        </w:tc>
      </w:tr>
    </w:tbl>
    <w:p>
      <w:pPr>
        <w:spacing w:after="0"/>
      </w:pPr>
    </w:p>
    <w:p>
      <w:pPr>
        <w:pStyle w:val="Heading2"/>
        <w:keepNext/>
      </w:pPr>
      <w:r>
        <w:t>Cuenta conservadora de planificación</w:t>
      </w:r>
    </w:p>
    <w:p>
      <w:pPr>
        <w:keepNext/>
        <w:spacing w:before="40" w:after="60"/>
      </w:pPr>
      <w:r>
        <w:rPr>
          <w:rFonts w:ascii="Lato" w:hAnsi="Lato"/>
          <w:color w:val="315B50"/>
          <w:sz w:val="18"/>
        </w:rPr>
        <w:t>EXANTE-T13 / Notación del cálculo</w:t>
      </w:r>
    </w:p>
    <w:p>
      <w:pPr>
        <w:keepNext/>
        <w:spacing w:before="40" w:after="60"/>
      </w:pPr>
      <m:oMath>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r>
          <w:rPr>
            <w:sz w:val="18"/>
          </w:rPr>
          <m:rPr>
            <m:sty m:val="p"/>
          </m:rPr>
          <m:t>=</m:t>
        </m:r>
        <m:r>
          <w:rPr>
            <w:sz w:val="18"/>
          </w:rPr>
          <m:rPr>
            <m:sty m:val="p"/>
          </m:rPr>
          <m:t>max</m:t>
        </m:r>
        <m:d>
          <m:dPr>
            <m:begChr m:val="("/>
            <m:endChr m:val=")"/>
            <m:sepChr m:val=""/>
            <m:grow/>
          </m:dPr>
          <m:e>
            <m:r>
              <w:rPr>
                <w:sz w:val="18"/>
              </w:rPr>
              <m:t>0</m:t>
            </m:r>
            <m:r>
              <w:rPr>
                <w:sz w:val="18"/>
              </w:rPr>
              <m:rPr>
                <m:sty m:val="p"/>
              </m:rPr>
              <m:t>,</m:t>
            </m:r>
            <m:sSubSup>
              <m:e>
                <m:r>
                  <w:rPr>
                    <w:sz w:val="18"/>
                  </w:rPr>
                  <m:t>Q</m:t>
                </m:r>
              </m:e>
              <m:sub>
                <m:r>
                  <w:rPr>
                    <w:sz w:val="18"/>
                  </w:rPr>
                  <m:t>t</m:t>
                </m:r>
              </m:sub>
              <m:sup>
                <m:r>
                  <w:rPr>
                    <w:sz w:val="18"/>
                  </w:rPr>
                  <m:rPr>
                    <m:sty m:val="p"/>
                  </m:rPr>
                  <m:t>l</m:t>
                </m:r>
                <m:r>
                  <w:rPr>
                    <w:sz w:val="18"/>
                  </w:rPr>
                  <m:rPr>
                    <m:sty m:val="p"/>
                  </m:rPr>
                  <m:t>o</m:t>
                </m:r>
                <m:r>
                  <w:rPr>
                    <w:sz w:val="18"/>
                  </w:rPr>
                  <m:rPr>
                    <m:sty m:val="p"/>
                  </m:rPr>
                  <m:t>w</m:t>
                </m:r>
              </m:sup>
            </m:sSubSup>
          </m:e>
        </m:d>
        <m:r>
          <w:rPr>
            <w:sz w:val="18"/>
          </w:rPr>
          <m:rPr>
            <m:sty m:val="p"/>
          </m:rPr>
          <m:t>,</m:t>
        </m:r>
        <m:r>
          <w:rPr>
            <w:sz w:val="18"/>
          </w:rPr>
          <m:t> </m:t>
        </m:r>
        <m:sSubSup>
          <m:e>
            <m:r>
              <w:rPr>
                <w:sz w:val="18"/>
              </w:rPr>
              <m:t>D</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r>
          <w:rPr>
            <w:sz w:val="18"/>
          </w:rPr>
          <m:rPr>
            <m:sty m:val="p"/>
          </m:rPr>
          <m:t>min</m:t>
        </m:r>
        <m:d>
          <m:dPr>
            <m:begChr m:val="("/>
            <m:endChr m:val=")"/>
            <m:sepChr m:val=""/>
            <m:grow/>
          </m:dPr>
          <m:e>
            <m:sSub>
              <m:e>
                <m:r>
                  <w:rPr>
                    <w:sz w:val="18"/>
                  </w:rPr>
                  <m:t>D</m:t>
                </m:r>
              </m:e>
              <m:sub>
                <m:r>
                  <w:rPr>
                    <w:sz w:val="18"/>
                  </w:rPr>
                  <m:t>t</m:t>
                </m:r>
              </m:sub>
            </m:sSub>
            <m:r>
              <w:rPr>
                <w:sz w:val="18"/>
              </w:rPr>
              <m:rPr>
                <m:sty m:val="p"/>
              </m:rPr>
              <m:t>,</m:t>
            </m:r>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e>
        </m:d>
      </m:oMath>
    </w:p>
    <w:p>
      <w:pPr>
        <w:keepNext/>
        <w:spacing w:before="40" w:after="60"/>
      </w:pPr>
      <m:oMath>
        <m:sSubSup>
          <m:e>
            <m:r>
              <w:rPr>
                <w:sz w:val="18"/>
              </w:rPr>
              <m:t>Q</m:t>
            </m:r>
          </m:e>
          <m:sub>
            <m:r>
              <w:rPr>
                <w:sz w:val="18"/>
              </w:rPr>
              <m:t>t</m:t>
            </m:r>
          </m:sub>
          <m:sup>
            <m:r>
              <w:rPr>
                <w:sz w:val="18"/>
              </w:rPr>
              <m:rPr>
                <m:sty m:val="p"/>
              </m:rPr>
              <m:t>b</m:t>
            </m:r>
            <m:r>
              <w:rPr>
                <w:sz w:val="18"/>
              </w:rPr>
              <m:rPr>
                <m:sty m:val="p"/>
              </m:rPr>
              <m:t>a</m:t>
            </m:r>
            <m:r>
              <w:rPr>
                <w:sz w:val="18"/>
              </w:rPr>
              <m:rPr>
                <m:sty m:val="p"/>
              </m:rPr>
              <m:t>s</m:t>
            </m:r>
            <m:r>
              <w:rPr>
                <w:sz w:val="18"/>
              </w:rPr>
              <m:rPr>
                <m:sty m:val="p"/>
              </m:rPr>
              <m:t>e</m:t>
            </m:r>
            <m:r>
              <w:rPr>
                <w:sz w:val="18"/>
              </w:rPr>
              <m:rPr>
                <m:sty m:val="p"/>
              </m:rPr>
              <m:t>,</m:t>
            </m:r>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r>
          <w:rPr>
            <w:sz w:val="18"/>
          </w:rPr>
          <m:rPr>
            <m:sty m:val="p"/>
          </m:rPr>
          <m:t>−</m:t>
        </m:r>
        <m:sSubSup>
          <m:e>
            <m:r>
              <w:rPr>
                <w:sz w:val="18"/>
              </w:rPr>
              <m:t>D</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r>
          <w:rPr>
            <w:sz w:val="18"/>
          </w:rPr>
          <m:t> </m:t>
        </m:r>
        <m:sSubSup>
          <m:e>
            <m:r>
              <w:rPr>
                <w:sz w:val="18"/>
              </w:rPr>
              <m:t>J</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Sup>
          <m:e>
            <m:r>
              <w:rPr>
                <w:sz w:val="18"/>
              </w:rPr>
              <m:t>Q</m:t>
            </m:r>
          </m:e>
          <m:sub>
            <m:r>
              <w:rPr>
                <w:sz w:val="18"/>
              </w:rPr>
              <m:t>t</m:t>
            </m:r>
          </m:sub>
          <m:sup>
            <m:r>
              <w:rPr>
                <w:sz w:val="18"/>
              </w:rPr>
              <m:rPr>
                <m:sty m:val="p"/>
              </m:rPr>
              <m:t>b</m:t>
            </m:r>
            <m:r>
              <w:rPr>
                <w:sz w:val="18"/>
              </w:rPr>
              <m:rPr>
                <m:sty m:val="p"/>
              </m:rPr>
              <m:t>a</m:t>
            </m:r>
            <m:r>
              <w:rPr>
                <w:sz w:val="18"/>
              </w:rPr>
              <m:rPr>
                <m:sty m:val="p"/>
              </m:rPr>
              <m:t>s</m:t>
            </m:r>
            <m:r>
              <w:rPr>
                <w:sz w:val="18"/>
              </w:rPr>
              <m:rPr>
                <m:sty m:val="p"/>
              </m:rPr>
              <m:t>e</m:t>
            </m:r>
            <m:r>
              <w:rPr>
                <w:sz w:val="18"/>
              </w:rPr>
              <m:rPr>
                <m:sty m:val="p"/>
              </m:rPr>
              <m:t>,</m:t>
            </m:r>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
          <m:e>
            <m:r>
              <w:rPr>
                <w:sz w:val="18"/>
              </w:rPr>
              <m:t>B</m:t>
            </m:r>
          </m:e>
          <m:sub>
            <m:r>
              <w:rPr>
                <w:sz w:val="18"/>
              </w:rPr>
              <m:t>t</m:t>
            </m:r>
          </m:sub>
        </m:sSub>
      </m:oMath>
    </w:p>
    <w:p>
      <w:pPr>
        <w:keepNext/>
        <w:spacing w:before="40" w:after="60"/>
      </w:pPr>
      <w:r>
        <w:rPr>
          <w:rFonts w:ascii="Lato" w:hAnsi="Lato"/>
          <w:color w:val="315B50"/>
          <w:sz w:val="16"/>
        </w:rPr>
        <w:t>cand distingue propuesta del libro de registro ejecutado. D_set es liquidación real sustentada; D_rem = D - D_set. No reducir obligación registrada por D_cand. Reserva requerida superior a la base candidata es déficit, no protección financiada. No se presume redondeo.</w:t>
      </w:r>
    </w:p>
    <w:p>
      <w:pPr>
        <w:keepNext/>
        <w:spacing w:before="40" w:after="60"/>
      </w:pPr>
      <w:r>
        <w:rPr>
          <w:rFonts w:ascii="Lato" w:hAnsi="Lato"/>
          <w:color w:val="315B50"/>
          <w:sz w:val="14"/>
        </w:rPr>
        <w:t>Base: M05.4; M05.5; F-R03 | Libro: Settlement!B:L; ExAnte!M:O (solo pronóstico)</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Período / regla de límite inferior</w:t>
            </w:r>
          </w:p>
          <w:p>
            <w:pPr>
              <w:spacing w:before="40" w:after="40"/>
            </w:pPr>
            <m:oMath>
              <m:sSub>
                <m:e>
                  <m:r>
                    <w:rPr>
                      <w:sz w:val="16"/>
                      <w:color w:val="173E34"/>
                    </w:rPr>
                    <m:t>D</m:t>
                  </m:r>
                </m:e>
                <m:sub>
                  <m:r>
                    <w:rPr>
                      <w:sz w:val="16"/>
                      <w:color w:val="173E34"/>
                    </w:rPr>
                    <m:t>t</m:t>
                  </m:r>
                </m:sub>
              </m:sSub>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Pasivo supuesto / base de reserva / aporte</w:t>
            </w:r>
          </w:p>
          <w:p>
            <w:pPr>
              <w:spacing w:before="40" w:after="40"/>
            </w:pPr>
            <m:oMath>
              <m:sSubSup>
                <m:e>
                  <m:r>
                    <w:rPr>
                      <w:sz w:val="16"/>
                      <w:color w:val="173E34"/>
                    </w:rPr>
                    <m:t>D</m:t>
                  </m:r>
                </m:e>
                <m:sub>
                  <m:r>
                    <w:rPr>
                      <w:sz w:val="16"/>
                      <w:color w:val="173E34"/>
                    </w:rPr>
                    <m:t>t</m:t>
                  </m:r>
                </m:sub>
                <m:sup>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r>
                <w:rPr>
                  <w:sz w:val="16"/>
                  <w:color w:val="173E34"/>
                </w:rPr>
                <m:rPr>
                  <m:sty m:val="p"/>
                </m:rPr>
                <m:t>,</m:t>
              </m:r>
              <m:r>
                <w:rPr>
                  <w:sz w:val="16"/>
                  <w:color w:val="173E34"/>
                </w:rPr>
                <m:t> </m:t>
              </m:r>
              <m:sSubSup>
                <m:e>
                  <m:r>
                    <w:rPr>
                      <w:sz w:val="16"/>
                      <w:color w:val="173E34"/>
                    </w:rPr>
                    <m:t>D</m:t>
                  </m:r>
                </m:e>
                <m:sub>
                  <m:r>
                    <w:rPr>
                      <w:sz w:val="16"/>
                      <w:color w:val="173E34"/>
                    </w:rPr>
                    <m:t>t</m:t>
                  </m:r>
                </m:sub>
                <m:sup>
                  <m:r>
                    <w:rPr>
                      <w:sz w:val="16"/>
                      <w:color w:val="173E34"/>
                    </w:rPr>
                    <m:rPr>
                      <m:sty m:val="p"/>
                    </m:rPr>
                    <m:t>s</m:t>
                  </m:r>
                  <m:r>
                    <w:rPr>
                      <w:sz w:val="16"/>
                      <w:color w:val="173E34"/>
                    </w:rPr>
                    <m:rPr>
                      <m:sty m:val="p"/>
                    </m:rPr>
                    <m:t>e</m:t>
                  </m:r>
                  <m:r>
                    <w:rPr>
                      <w:sz w:val="16"/>
                      <w:color w:val="173E34"/>
                    </w:rPr>
                    <m:rPr>
                      <m:sty m:val="p"/>
                    </m:rPr>
                    <m:t>t</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Masa disponible y denominación condicional</w:t>
            </w:r>
          </w:p>
          <w:p>
            <w:pPr>
              <w:spacing w:before="40" w:after="40"/>
            </w:pPr>
            <m:oMath>
              <m:sSubSup>
                <m:e>
                  <m:r>
                    <w:rPr>
                      <w:sz w:val="16"/>
                      <w:color w:val="173E34"/>
                    </w:rPr>
                    <m:t>Q</m:t>
                  </m:r>
                </m:e>
                <m:sub>
                  <m:r>
                    <w:rPr>
                      <w:sz w:val="16"/>
                      <w:color w:val="173E34"/>
                    </w:rPr>
                    <m:t>t</m:t>
                  </m:r>
                </m:sub>
                <m:sup>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e</m:t>
                  </m:r>
                  <m:r>
                    <w:rPr>
                      <w:sz w:val="16"/>
                      <w:color w:val="173E34"/>
                    </w:rPr>
                    <m:rPr>
                      <m:sty m:val="p"/>
                    </m:rPr>
                    <m:t>,</m:t>
                  </m:r>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r>
                <w:rPr>
                  <w:sz w:val="16"/>
                  <w:color w:val="173E34"/>
                </w:rPr>
                <m:rPr>
                  <m:sty m:val="p"/>
                </m:rPr>
                <m:t>,</m:t>
              </m:r>
              <m:r>
                <w:rPr>
                  <w:sz w:val="16"/>
                  <w:color w:val="173E34"/>
                </w:rPr>
                <m:t> </m:t>
              </m:r>
              <m:sSub>
                <m:e>
                  <m:r>
                    <w:rPr>
                      <w:sz w:val="16"/>
                      <w:color w:val="173E34"/>
                    </w:rPr>
                    <m:t>B</m:t>
                  </m:r>
                </m:e>
                <m:sub>
                  <m:r>
                    <w:rPr>
                      <w:sz w:val="16"/>
                      <w:color w:val="173E34"/>
                    </w:rPr>
                    <m:t>t</m:t>
                  </m:r>
                </m:sub>
              </m:sSub>
              <m:r>
                <w:rPr>
                  <w:sz w:val="16"/>
                  <w:color w:val="173E34"/>
                </w:rPr>
                <m:rPr>
                  <m:sty m:val="p"/>
                </m:rPr>
                <m:t>,</m:t>
              </m:r>
              <m:r>
                <w:rPr>
                  <w:sz w:val="16"/>
                  <w:color w:val="173E34"/>
                </w:rPr>
                <m:t> </m:t>
              </m:r>
              <m:sSubSup>
                <m:e>
                  <m:r>
                    <w:rPr>
                      <w:sz w:val="16"/>
                      <w:color w:val="173E34"/>
                    </w:rPr>
                    <m:t>J</m:t>
                  </m:r>
                </m:e>
                <m:sub>
                  <m:r>
                    <w:rPr>
                      <w:sz w:val="16"/>
                      <w:color w:val="173E34"/>
                    </w:rPr>
                    <m:t>t</m:t>
                  </m:r>
                </m:sub>
                <m:sup>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07-1-ES-1-1"/>
                <w:tag w:val="sec_07-1-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7-1-ES-1-2"/>
                <w:tag w:val="sec_07-1-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7-1-ES-1-3"/>
                <w:tag w:val="sec_07-1-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7-1-ES-2-1"/>
                <w:tag w:val="sec_07-1-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7-1-ES-2-2"/>
                <w:tag w:val="sec_07-1-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7-1-ES-2-3"/>
                <w:tag w:val="sec_07-1-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7-1-ES-3-1"/>
                <w:tag w:val="sec_07-1-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7-1-ES-3-2"/>
                <w:tag w:val="sec_07-1-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7-1-ES-3-3"/>
                <w:tag w:val="sec_07-1-ES-3-3"/>
                <w:text/>
              </w:sdtPr>
              <w:sdtContent>
                <w:r>
                  <w:rPr>
                    <w:rFonts w:ascii="Lato" w:hAnsi="Lato"/>
                    <w:sz w:val="18"/>
                    <w:color w:val="62716E"/>
                  </w:rPr>
                  <w:t>[Completar]</w:t>
                </w:r>
              </w:sdtContent>
            </w:sdt>
          </w:p>
        </w:tc>
      </w:tr>
    </w:tbl>
    <w:p>
      <w:pPr>
        <w:spacing w:after="0"/>
      </w:pPr>
    </w:p>
    <w:p>
      <w:pPr>
        <w:pStyle w:val="Heading2"/>
        <w:keepNext/>
      </w:pPr>
      <w:r>
        <w:t>Agregación y distribución</w:t>
      </w:r>
    </w:p>
    <w:p>
      <w:pPr>
        <w:spacing w:after="80"/>
      </w:pPr>
      <w:r>
        <w:rPr>
          <w:rFonts w:ascii="Lato" w:hAnsi="Lato"/>
          <w:b w:val="0"/>
          <w:color w:val="62716E"/>
          <w:sz w:val="18"/>
        </w:rPr>
        <w:t>Presentar resultados anuales u otros intervalos explícitos y un total de horizonte sin duplicación. Un promedio del horizonte no es observación anual. Toda distribución a intervalos menores conservará cantidad matriz, ponderaciones y cierre; no constituye mitigación ni medición nueva.</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7-2-ES"/>
                <w:tag w:val="sec_07-2-ES"/>
                <w:text/>
              </w:sdtPr>
              <w:sdtContent>
                <w:r>
                  <w:rPr>
                    <w:rFonts w:ascii="Lato" w:hAnsi="Lato"/>
                    <w:sz w:val="18"/>
                    <w:color w:val="62716E"/>
                  </w:rPr>
                  <w:t>[Registrar respuesta y referencias exactas de evidencia.]</w:t>
                </w:r>
              </w:sdtContent>
            </w:sdt>
          </w:p>
        </w:tc>
      </w:tr>
    </w:tbl>
    <w:p>
      <w:pPr>
        <w:spacing w:after="20" w:before="0" w:line="96" w:lineRule="auto"/>
      </w:pPr>
    </w:p>
    <w:p>
      <w:bookmarkStart w:id="3008" w:name="sec_08"/>
      <w:pPr>
        <w:pStyle w:val="Heading1"/>
        <w:keepNext/>
        <w:pageBreakBefore/>
      </w:pPr>
      <w:r>
        <w:t>08  Incertidumbre, materialidad y riesgo residual</w:t>
      </w:r>
      <w:bookmarkEnd w:id="3008"/>
    </w:p>
    <w:p>
      <w:pPr>
        <w:spacing w:after="120"/>
      </w:pPr>
      <w:r>
        <w:rPr>
          <w:rFonts w:ascii="Lato" w:hAnsi="Lato"/>
          <w:b w:val="0"/>
          <w:color w:val="62716E"/>
          <w:sz w:val="16"/>
        </w:rPr>
        <w:t>[1] Referencia: M05; F-U01; F-A01; F-A02; F-A04; T-14; T-16; T-20; F-03; FRM-05</w:t>
      </w:r>
    </w:p>
    <w:p>
      <w:pPr>
        <w:pStyle w:val="Heading2"/>
        <w:keepNext/>
      </w:pPr>
      <w:r>
        <w:t>Tratamiento cuantitativo</w:t>
      </w:r>
    </w:p>
    <w:p>
      <w:pPr>
        <w:keepNext/>
        <w:spacing w:before="40" w:after="60"/>
      </w:pPr>
      <w:r>
        <w:rPr>
          <w:rFonts w:ascii="Lato" w:hAnsi="Lato"/>
          <w:color w:val="315B50"/>
          <w:sz w:val="18"/>
        </w:rPr>
        <w:t>EXANTE-T14 / Notación del cálculo</w:t>
      </w:r>
    </w:p>
    <w:p>
      <w:pPr>
        <w:keepNext/>
        <w:spacing w:before="40" w:after="60"/>
      </w:pPr>
      <m:oMath>
        <m:sSubSup>
          <m:e>
            <m:r>
              <w:rPr>
                <w:sz w:val="18"/>
              </w:rPr>
              <m:t>u</m:t>
            </m:r>
          </m:e>
          <m:sub>
            <m:r>
              <w:rPr>
                <w:sz w:val="18"/>
              </w:rPr>
              <m:t>Q</m:t>
            </m:r>
          </m:sub>
          <m:sup>
            <m:r>
              <w:rPr>
                <w:sz w:val="18"/>
              </w:rPr>
              <m:t>2</m:t>
            </m:r>
          </m:sup>
        </m:sSubSup>
        <m:r>
          <w:rPr>
            <w:sz w:val="18"/>
          </w:rPr>
          <m:rPr>
            <m:sty m:val="p"/>
          </m:rPr>
          <m:t>=</m:t>
        </m:r>
        <m:sSubSup>
          <m:e>
            <m:r>
              <w:rPr>
                <w:sz w:val="18"/>
              </w:rPr>
              <m:t>u</m:t>
            </m:r>
          </m:e>
          <m:sub>
            <m:r>
              <w:rPr>
                <w:sz w:val="18"/>
              </w:rPr>
              <m:t>B</m:t>
            </m:r>
          </m:sub>
          <m:sup>
            <m:r>
              <w:rPr>
                <w:sz w:val="18"/>
              </w:rPr>
              <m:t>2</m:t>
            </m:r>
          </m:sup>
        </m:sSubSup>
        <m:r>
          <w:rPr>
            <w:sz w:val="18"/>
          </w:rPr>
          <m:rPr>
            <m:sty m:val="p"/>
          </m:rPr>
          <m:t>+</m:t>
        </m:r>
        <m:sSubSup>
          <m:e>
            <m:r>
              <w:rPr>
                <w:sz w:val="18"/>
              </w:rPr>
              <m:t>u</m:t>
            </m:r>
          </m:e>
          <m:sub>
            <m:r>
              <w:rPr>
                <w:sz w:val="18"/>
              </w:rPr>
              <m:t>P</m:t>
            </m:r>
          </m:sub>
          <m:sup>
            <m:r>
              <w:rPr>
                <w:sz w:val="18"/>
              </w:rPr>
              <m:t>2</m:t>
            </m:r>
          </m:sup>
        </m:sSubSup>
        <m:r>
          <w:rPr>
            <w:sz w:val="18"/>
          </w:rPr>
          <m:rPr>
            <m:sty m:val="p"/>
          </m:rPr>
          <m:t>+</m:t>
        </m:r>
        <m:sSubSup>
          <m:e>
            <m:r>
              <w:rPr>
                <w:sz w:val="18"/>
              </w:rPr>
              <m:t>u</m:t>
            </m:r>
          </m:e>
          <m:sub>
            <m:r>
              <w:rPr>
                <w:sz w:val="18"/>
              </w:rPr>
              <m:t>L</m:t>
            </m:r>
          </m:sub>
          <m:sup>
            <m:r>
              <w:rPr>
                <w:sz w:val="18"/>
              </w:rPr>
              <m:t>2</m:t>
            </m:r>
          </m:sup>
        </m:sSubSup>
        <m:r>
          <w:rPr>
            <w:sz w:val="18"/>
          </w:rPr>
          <m:rPr>
            <m:sty m:val="p"/>
          </m:rPr>
          <m:t>−</m:t>
        </m:r>
        <m:r>
          <w:rPr>
            <w:sz w:val="18"/>
          </w:rPr>
          <m:t>2</m:t>
        </m:r>
        <m:r>
          <w:rPr>
            <w:sz w:val="18"/>
          </w:rPr>
          <m:rPr>
            <m:sty m:val="p"/>
          </m:rPr>
          <m:t>Cov</m:t>
        </m:r>
        <m:d>
          <m:dPr>
            <m:begChr m:val="("/>
            <m:endChr m:val=")"/>
            <m:sepChr m:val=""/>
            <m:grow/>
          </m:dPr>
          <m:e>
            <m:r>
              <w:rPr>
                <w:sz w:val="18"/>
              </w:rPr>
              <m:t>B</m:t>
            </m:r>
            <m:r>
              <w:rPr>
                <w:sz w:val="18"/>
              </w:rPr>
              <m:rPr>
                <m:sty m:val="p"/>
              </m:rPr>
              <m:t>,</m:t>
            </m:r>
            <m:r>
              <w:rPr>
                <w:sz w:val="18"/>
              </w:rPr>
              <m:t>P</m:t>
            </m:r>
          </m:e>
        </m:d>
        <m:r>
          <w:rPr>
            <w:sz w:val="18"/>
          </w:rPr>
          <m:rPr>
            <m:sty m:val="p"/>
          </m:rPr>
          <m:t>−</m:t>
        </m:r>
        <m:r>
          <w:rPr>
            <w:sz w:val="18"/>
          </w:rPr>
          <m:t>2</m:t>
        </m:r>
        <m:r>
          <w:rPr>
            <w:sz w:val="18"/>
          </w:rPr>
          <m:rPr>
            <m:sty m:val="p"/>
          </m:rPr>
          <m:t>Cov</m:t>
        </m:r>
        <m:d>
          <m:dPr>
            <m:begChr m:val="("/>
            <m:endChr m:val=")"/>
            <m:sepChr m:val=""/>
            <m:grow/>
          </m:dPr>
          <m:e>
            <m:r>
              <w:rPr>
                <w:sz w:val="18"/>
              </w:rPr>
              <m:t>B</m:t>
            </m:r>
            <m:r>
              <w:rPr>
                <w:sz w:val="18"/>
              </w:rPr>
              <m:rPr>
                <m:sty m:val="p"/>
              </m:rPr>
              <m:t>,</m:t>
            </m:r>
            <m:r>
              <w:rPr>
                <w:sz w:val="18"/>
              </w:rPr>
              <m:t>L</m:t>
            </m:r>
          </m:e>
        </m:d>
        <m:r>
          <w:rPr>
            <w:sz w:val="18"/>
          </w:rPr>
          <m:rPr>
            <m:sty m:val="p"/>
          </m:rPr>
          <m:t>+</m:t>
        </m:r>
        <m:r>
          <w:rPr>
            <w:sz w:val="18"/>
          </w:rPr>
          <m:t>2</m:t>
        </m:r>
        <m:r>
          <w:rPr>
            <w:sz w:val="18"/>
          </w:rPr>
          <m:rPr>
            <m:sty m:val="p"/>
          </m:rPr>
          <m:t>Cov</m:t>
        </m:r>
        <m:d>
          <m:dPr>
            <m:begChr m:val="("/>
            <m:endChr m:val=")"/>
            <m:sepChr m:val=""/>
            <m:grow/>
          </m:dPr>
          <m:e>
            <m:r>
              <w:rPr>
                <w:sz w:val="18"/>
              </w:rPr>
              <m:t>P</m:t>
            </m:r>
            <m:r>
              <w:rPr>
                <w:sz w:val="18"/>
              </w:rPr>
              <m:rPr>
                <m:sty m:val="p"/>
              </m:rPr>
              <m:t>,</m:t>
            </m:r>
            <m:r>
              <w:rPr>
                <w:sz w:val="18"/>
              </w:rPr>
              <m:t>L</m:t>
            </m:r>
          </m:e>
        </m:d>
      </m:oMath>
    </w:p>
    <w:p>
      <w:pPr>
        <w:keepNext/>
        <w:spacing w:before="40" w:after="60"/>
      </w:pPr>
      <w:r>
        <w:rPr>
          <w:rFonts w:ascii="Lato" w:hAnsi="Lato"/>
          <w:color w:val="315B50"/>
          <w:sz w:val="16"/>
        </w:rPr>
        <w:t>B, P y L en esta identidad de varianza denotan estimadores de línea base, proyecto y fugas, no reserva B_t. Incertidumbres estándar en t CO2e; varianzas y covarianzas en unidades al cuadrado. Conservar dependencia compartida y matriz válida.</w:t>
      </w:r>
    </w:p>
    <w:p>
      <w:pPr>
        <w:keepNext/>
        <w:spacing w:before="40" w:after="60"/>
      </w:pPr>
      <w:r>
        <w:rPr>
          <w:rFonts w:ascii="Lato" w:hAnsi="Lato"/>
          <w:color w:val="315B50"/>
          <w:sz w:val="14"/>
        </w:rPr>
        <w:t>Base: F-U01; M05.1; M05.2 | Libro: Cálculo calificado de incertidumbre; ExAnte!J:L; ExPost!J:L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Componente / dependencia</w:t>
            </w:r>
          </w:p>
          <w:p>
            <w:pPr>
              <w:spacing w:before="40" w:after="40"/>
            </w:pPr>
            <m:oMath>
              <m:r>
                <w:rPr>
                  <w:sz w:val="16"/>
                  <w:color w:val="173E34"/>
                </w:rPr>
                <m:t>B</m:t>
              </m:r>
              <m:r>
                <w:rPr>
                  <w:sz w:val="16"/>
                  <w:color w:val="173E34"/>
                </w:rPr>
                <m:rPr>
                  <m:sty m:val="p"/>
                </m:rPr>
                <m:t>,</m:t>
              </m:r>
              <m:r>
                <w:rPr>
                  <w:sz w:val="16"/>
                  <w:color w:val="173E34"/>
                </w:rPr>
                <m:t> </m:t>
              </m:r>
              <m:r>
                <w:rPr>
                  <w:sz w:val="16"/>
                  <w:color w:val="173E34"/>
                </w:rPr>
                <m:t>P</m:t>
              </m:r>
              <m:r>
                <w:rPr>
                  <w:sz w:val="16"/>
                  <w:color w:val="173E34"/>
                </w:rPr>
                <m:rPr>
                  <m:sty m:val="p"/>
                </m:rPr>
                <m:t>,</m:t>
              </m:r>
              <m:r>
                <w:rPr>
                  <w:sz w:val="16"/>
                  <w:color w:val="173E34"/>
                </w:rPr>
                <m:t> </m:t>
              </m:r>
              <m:r>
                <w:rPr>
                  <w:sz w:val="16"/>
                  <w:color w:val="173E34"/>
                </w:rPr>
                <m:t>L</m:t>
              </m:r>
            </m:oMath>
          </w:p>
        </w:tc>
        <w:tc>
          <w:tcPr>
            <w:tcW w:type="dxa" w:w="3250"/>
            <w:tcMar>
              <w:top w:w="90" w:type="dxa"/>
              <w:bottom w:w="90" w:type="dxa"/>
              <w:left w:w="100" w:type="dxa"/>
              <w:right w:w="100" w:type="dxa"/>
            </w:tcMar>
            <w:vAlign w:val="center"/>
            <w:shd w:fill="E6F0EB"/>
          </w:tcPr>
          <w:p>
            <w:r>
              <w:rPr>
                <w:rFonts w:ascii="Lato" w:hAnsi="Lato"/>
                <w:b/>
                <w:color w:val="173E34"/>
                <w:sz w:val="17"/>
              </w:rPr>
              <w:t>Incertidumbre o límite sustentado</w:t>
            </w:r>
          </w:p>
          <w:p>
            <w:pPr>
              <w:spacing w:before="40" w:after="40"/>
            </w:pPr>
            <m:oMath>
              <m:sSub>
                <m:e>
                  <m:r>
                    <w:rPr>
                      <w:sz w:val="16"/>
                      <w:color w:val="173E34"/>
                    </w:rPr>
                    <m:t>u</m:t>
                  </m:r>
                </m:e>
                <m:sub>
                  <m:r>
                    <w:rPr>
                      <w:sz w:val="16"/>
                      <w:color w:val="173E34"/>
                    </w:rPr>
                    <m:t>B</m:t>
                  </m:r>
                </m:sub>
              </m:sSub>
              <m:r>
                <w:rPr>
                  <w:sz w:val="16"/>
                  <w:color w:val="173E34"/>
                </w:rPr>
                <m:rPr>
                  <m:sty m:val="p"/>
                </m:rPr>
                <m:t>,</m:t>
              </m:r>
              <m:r>
                <w:rPr>
                  <w:sz w:val="16"/>
                  <w:color w:val="173E34"/>
                </w:rPr>
                <m:t> </m:t>
              </m:r>
              <m:sSub>
                <m:e>
                  <m:r>
                    <w:rPr>
                      <w:sz w:val="16"/>
                      <w:color w:val="173E34"/>
                    </w:rPr>
                    <m:t>u</m:t>
                  </m:r>
                </m:e>
                <m:sub>
                  <m:r>
                    <w:rPr>
                      <w:sz w:val="16"/>
                      <w:color w:val="173E34"/>
                    </w:rPr>
                    <m:t>P</m:t>
                  </m:r>
                </m:sub>
              </m:sSub>
              <m:r>
                <w:rPr>
                  <w:sz w:val="16"/>
                  <w:color w:val="173E34"/>
                </w:rPr>
                <m:rPr>
                  <m:sty m:val="p"/>
                </m:rPr>
                <m:t>,</m:t>
              </m:r>
              <m:r>
                <w:rPr>
                  <w:sz w:val="16"/>
                  <w:color w:val="173E34"/>
                </w:rPr>
                <m:t> </m:t>
              </m:r>
              <m:sSub>
                <m:e>
                  <m:r>
                    <w:rPr>
                      <w:sz w:val="16"/>
                      <w:color w:val="173E34"/>
                    </w:rPr>
                    <m:t>u</m:t>
                  </m:r>
                </m:e>
                <m:sub>
                  <m:r>
                    <w:rPr>
                      <w:sz w:val="16"/>
                      <w:color w:val="173E34"/>
                    </w:rPr>
                    <m:t>L</m:t>
                  </m:r>
                </m:sub>
              </m:sSub>
              <m:r>
                <w:rPr>
                  <w:sz w:val="16"/>
                  <w:color w:val="173E34"/>
                </w:rPr>
                <m:rPr>
                  <m:sty m:val="p"/>
                </m:rPr>
                <m:t>,</m:t>
              </m:r>
              <m:r>
                <w:rPr>
                  <w:sz w:val="16"/>
                  <w:color w:val="173E34"/>
                </w:rPr>
                <m:t> </m:t>
              </m:r>
              <m:r>
                <w:rPr>
                  <w:sz w:val="16"/>
                  <w:color w:val="173E34"/>
                </w:rPr>
                <m:rPr>
                  <m:sty m:val="p"/>
                </m:rPr>
                <m:t>Cov</m:t>
              </m:r>
            </m:oMath>
          </w:p>
        </w:tc>
        <w:tc>
          <w:tcPr>
            <w:tcW w:type="dxa" w:w="3250"/>
            <w:tcMar>
              <w:top w:w="90" w:type="dxa"/>
              <w:bottom w:w="90" w:type="dxa"/>
              <w:left w:w="100" w:type="dxa"/>
              <w:right w:w="100" w:type="dxa"/>
            </w:tcMar>
            <w:vAlign w:val="center"/>
            <w:shd w:fill="E6F0EB"/>
          </w:tcPr>
          <w:p>
            <w:r>
              <w:rPr>
                <w:rFonts w:ascii="Lato" w:hAnsi="Lato"/>
                <w:b/>
                <w:color w:val="173E34"/>
                <w:sz w:val="17"/>
              </w:rPr>
              <w:t>Efecto sobre la cuenta neta completa</w:t>
            </w:r>
          </w:p>
          <w:p>
            <w:pPr>
              <w:spacing w:before="40" w:after="40"/>
            </w:pPr>
            <m:oMath>
              <m:sSubSup>
                <m:e>
                  <m:r>
                    <w:rPr>
                      <w:sz w:val="16"/>
                      <w:color w:val="173E34"/>
                    </w:rPr>
                    <m:t>u</m:t>
                  </m:r>
                </m:e>
                <m:sub>
                  <m:r>
                    <w:rPr>
                      <w:sz w:val="16"/>
                      <w:color w:val="173E34"/>
                    </w:rPr>
                    <m:t>Q</m:t>
                  </m:r>
                </m:sub>
                <m:sup>
                  <m:r>
                    <w:rPr>
                      <w:sz w:val="16"/>
                      <w:color w:val="173E34"/>
                    </w:rPr>
                    <m:t>2</m:t>
                  </m:r>
                </m:sup>
              </m:sSubSup>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08-0-ES-1-1"/>
                <w:tag w:val="sec_08-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0-ES-1-2"/>
                <w:tag w:val="sec_08-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0-ES-1-3"/>
                <w:tag w:val="sec_08-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8-0-ES-2-1"/>
                <w:tag w:val="sec_08-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8-0-ES-2-2"/>
                <w:tag w:val="sec_08-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8-0-ES-2-3"/>
                <w:tag w:val="sec_08-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8-0-ES-3-1"/>
                <w:tag w:val="sec_08-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0-ES-3-2"/>
                <w:tag w:val="sec_08-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0-ES-3-3"/>
                <w:tag w:val="sec_08-0-ES-3-3"/>
                <w:text/>
              </w:sdtPr>
              <w:sdtContent>
                <w:r>
                  <w:rPr>
                    <w:rFonts w:ascii="Lato" w:hAnsi="Lato"/>
                    <w:sz w:val="18"/>
                    <w:color w:val="62716E"/>
                  </w:rPr>
                  <w:t>[Completar]</w:t>
                </w:r>
              </w:sdtContent>
            </w:sdt>
          </w:p>
        </w:tc>
      </w:tr>
    </w:tbl>
    <w:p>
      <w:pPr>
        <w:spacing w:after="0"/>
      </w:pPr>
    </w:p>
    <w:p>
      <w:pPr>
        <w:pStyle w:val="Heading2"/>
        <w:keepNext/>
      </w:pPr>
      <w:r>
        <w:t>Salvaguardas separadas</w:t>
      </w:r>
    </w:p>
    <w:p>
      <w:pPr>
        <w:spacing w:after="80"/>
      </w:pPr>
      <w:r>
        <w:rPr>
          <w:rFonts w:ascii="Lato" w:hAnsi="Lato"/>
          <w:b w:val="0"/>
          <w:color w:val="62716E"/>
          <w:sz w:val="18"/>
        </w:rPr>
        <w:t>Registrar por separado materialidad, conservadurismo, liquidación de pasivos y protección de reversión. Especificar AP-08/AP-09/AP-10 y aplicabilidad de categoría. No inferir probabilidad, confianza, tasa de reserva ni traslado íntegro de límites negativos a partir de un campo vacío.</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8-1-ES"/>
                <w:tag w:val="sec_08-1-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Sensibilidad y decisión</w:t>
      </w:r>
    </w:p>
    <w:p>
      <w:pPr>
        <w:keepNext/>
        <w:spacing w:before="40" w:after="60"/>
      </w:pPr>
      <w:r>
        <w:rPr>
          <w:rFonts w:ascii="Lato" w:hAnsi="Lato"/>
          <w:color w:val="315B50"/>
          <w:sz w:val="18"/>
        </w:rPr>
        <w:t>EXANTE-T15 / Notación del cálculo</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es la observación, entrada o salida identificada; u_l es su unidad declarada. Registrar ecuación exacta, archivo, hoja, celda/rango, período y estado. Esta notación no prescribe un estimador.</w:t>
      </w:r>
    </w:p>
    <w:p>
      <w:pPr>
        <w:keepNext/>
        <w:spacing w:before="40" w:after="60"/>
      </w:pPr>
      <w:r>
        <w:rPr>
          <w:rFonts w:ascii="Lato" w:hAnsi="Lato"/>
          <w:color w:val="315B50"/>
          <w:sz w:val="14"/>
        </w:rPr>
        <w:t>Base: F-01; T-01 | Libro: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Alternativa / supuesto cambiado</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Rango de resultados y factibilidad conjunta</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Consecuencia / evidencia adicional</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sec_08-2-ES-1-1"/>
                <w:tag w:val="sec_08-2-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2-ES-1-2"/>
                <w:tag w:val="sec_08-2-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2-ES-1-3"/>
                <w:tag w:val="sec_08-2-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8-2-ES-2-1"/>
                <w:tag w:val="sec_08-2-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8-2-ES-2-2"/>
                <w:tag w:val="sec_08-2-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8-2-ES-2-3"/>
                <w:tag w:val="sec_08-2-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8-2-ES-3-1"/>
                <w:tag w:val="sec_08-2-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2-ES-3-2"/>
                <w:tag w:val="sec_08-2-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2-ES-3-3"/>
                <w:tag w:val="sec_08-2-ES-3-3"/>
                <w:text/>
              </w:sdtPr>
              <w:sdtContent>
                <w:r>
                  <w:rPr>
                    <w:rFonts w:ascii="Lato" w:hAnsi="Lato"/>
                    <w:sz w:val="18"/>
                    <w:color w:val="62716E"/>
                  </w:rPr>
                  <w:t>[Completar]</w:t>
                </w:r>
              </w:sdtContent>
            </w:sdt>
          </w:p>
        </w:tc>
      </w:tr>
    </w:tbl>
    <w:p>
      <w:pPr>
        <w:spacing w:after="0"/>
      </w:pPr>
    </w:p>
    <w:p>
      <w:bookmarkStart w:id="3009" w:name="sec_09"/>
      <w:pPr>
        <w:pStyle w:val="Heading1"/>
        <w:keepNext/>
        <w:pageBreakBefore/>
      </w:pPr>
      <w:r>
        <w:t>09  Migración y referencia de comparación</w:t>
      </w:r>
      <w:bookmarkEnd w:id="3009"/>
    </w:p>
    <w:p>
      <w:pPr>
        <w:spacing w:after="120"/>
      </w:pPr>
      <w:r>
        <w:rPr>
          <w:rFonts w:ascii="Lato" w:hAnsi="Lato"/>
          <w:b w:val="0"/>
          <w:color w:val="62716E"/>
          <w:sz w:val="16"/>
        </w:rPr>
        <w:t>[1] Referencia: MIG-01; MIG-04; MIG-05; MIG-12; MIG-16; MIG-17; S-18</w:t>
      </w:r>
    </w:p>
    <w:p>
      <w:pPr>
        <w:pStyle w:val="Heading2"/>
        <w:keepNext/>
      </w:pPr>
      <w:r>
        <w:t>Escenario conservado y revisado</w:t>
      </w:r>
    </w:p>
    <w:p>
      <w:pPr>
        <w:spacing w:after="80"/>
      </w:pPr>
      <w:r>
        <w:rPr>
          <w:rFonts w:ascii="Lato" w:hAnsi="Lato"/>
          <w:b w:val="0"/>
          <w:color w:val="62716E"/>
          <w:sz w:val="18"/>
        </w:rPr>
        <w:t>En migración, conservar proyección original y fecha de su evidencia; documentar después comparación armonizada y estimación NEBIOT propuesta. Explicar diferencias de período, alcance, unidades, actividad, escala de carbono y deducciones. Una reexpresión retrospectiva no es la proyección original.</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9-0-ES"/>
                <w:tag w:val="sec_09-0-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Paquete comparativo</w:t>
      </w:r>
    </w:p>
    <w:p>
      <w:pPr>
        <w:keepNext/>
        <w:spacing w:before="40" w:after="60"/>
      </w:pPr>
      <w:r>
        <w:rPr>
          <w:rFonts w:ascii="Lato" w:hAnsi="Lato"/>
          <w:color w:val="315B50"/>
          <w:sz w:val="18"/>
        </w:rPr>
        <w:t>EXANTE-T16 / Notación del cálculo</w:t>
      </w:r>
    </w:p>
    <w:p>
      <w:pPr>
        <w:keepNext/>
        <w:spacing w:before="40" w:after="60"/>
      </w:pPr>
      <m:oMath>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 </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r>
          <w:rPr>
            <w:sz w:val="18"/>
          </w:rPr>
          <m:rPr>
            <m:sty m:val="p"/>
          </m:rPr>
          <m:t>=</m:t>
        </m:r>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oMath>
    </w:p>
    <w:p>
      <w:pPr>
        <w:keepNext/>
        <w:spacing w:before="40" w:after="60"/>
      </w:pPr>
      <m:oMath>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oMath>
    </w:p>
    <w:p>
      <w:pPr>
        <w:keepNext/>
        <w:spacing w:before="40" w:after="60"/>
      </w:pPr>
      <w:r>
        <w:rPr>
          <w:rFonts w:ascii="Lato" w:hAnsi="Lato"/>
          <w:color w:val="315B50"/>
          <w:sz w:val="16"/>
        </w:rPr>
        <w:t>src conserva resultado original; harm aplica método original a base comparable acordada; NEB es resultado receptor sobre esa base. La identidad telescópica explica diferencias, no elegibilidad. No forzar diferencia metodológica cero.</w:t>
      </w:r>
    </w:p>
    <w:p>
      <w:pPr>
        <w:keepNext/>
        <w:spacing w:before="40" w:after="60"/>
      </w:pPr>
      <w:r>
        <w:rPr>
          <w:rFonts w:ascii="Lato" w:hAnsi="Lato"/>
          <w:color w:val="315B50"/>
          <w:sz w:val="14"/>
        </w:rPr>
        <w:t>Base: MIG-05; P-13; identidad de conciliación | Libro: Migration!E:K</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Registro original y estado</w:t>
            </w:r>
          </w:p>
          <w:p>
            <w:pPr>
              <w:spacing w:before="40" w:after="40"/>
            </w:pPr>
            <m:oMath>
              <m:r>
                <w:rPr>
                  <w:sz w:val="16"/>
                  <w:color w:val="173E34"/>
                </w:rPr>
                <m:t>t</m:t>
              </m:r>
              <m:r>
                <w:rPr>
                  <w:sz w:val="16"/>
                  <w:color w:val="173E34"/>
                </w:rPr>
                <m:rPr>
                  <m:sty m:val="p"/>
                </m:rPr>
                <m:t>,</m:t>
              </m:r>
              <m:r>
                <w:rPr>
                  <w:sz w:val="16"/>
                  <w:color w:val="173E34"/>
                </w:rPr>
                <m:t> </m:t>
              </m:r>
              <m:r>
                <w:rPr>
                  <w:sz w:val="16"/>
                  <w:color w:val="173E34"/>
                </w:rPr>
                <m:t>u</m:t>
              </m:r>
            </m:oMath>
          </w:p>
        </w:tc>
        <w:tc>
          <w:tcPr>
            <w:tcW w:type="dxa" w:w="3250"/>
            <w:tcMar>
              <w:top w:w="90" w:type="dxa"/>
              <w:bottom w:w="90" w:type="dxa"/>
              <w:left w:w="100" w:type="dxa"/>
              <w:right w:w="100" w:type="dxa"/>
            </w:tcMar>
            <w:vAlign w:val="center"/>
            <w:shd w:fill="E6F0EB"/>
          </w:tcPr>
          <w:p>
            <w:r>
              <w:rPr>
                <w:rFonts w:ascii="Lato" w:hAnsi="Lato"/>
                <w:b/>
                <w:color w:val="173E34"/>
                <w:sz w:val="17"/>
              </w:rPr>
              <w:t>Registro comparable / tratamiento propuesto</w:t>
            </w:r>
          </w:p>
          <w:p>
            <w:pPr>
              <w:spacing w:before="40" w:after="40"/>
            </w:pPr>
            <m:oMath>
              <m:sSup>
                <m:e>
                  <m:r>
                    <w:rPr>
                      <w:sz w:val="16"/>
                      <w:color w:val="173E34"/>
                    </w:rPr>
                    <m:t>q</m:t>
                  </m:r>
                </m:e>
                <m:sup>
                  <m:r>
                    <w:rPr>
                      <w:sz w:val="16"/>
                      <w:color w:val="173E34"/>
                    </w:rPr>
                    <m:rPr>
                      <m:sty m:val="p"/>
                    </m:rPr>
                    <m:t>s</m:t>
                  </m:r>
                  <m:r>
                    <w:rPr>
                      <w:sz w:val="16"/>
                      <w:color w:val="173E34"/>
                    </w:rPr>
                    <m:rPr>
                      <m:sty m:val="p"/>
                    </m:rPr>
                    <m:t>r</m:t>
                  </m:r>
                  <m:r>
                    <w:rPr>
                      <w:sz w:val="16"/>
                      <w:color w:val="173E34"/>
                    </w:rPr>
                    <m:rPr>
                      <m:sty m:val="p"/>
                    </m:rPr>
                    <m:t>c</m:t>
                  </m:r>
                </m:sup>
              </m:sSup>
              <m:r>
                <w:rPr>
                  <w:sz w:val="16"/>
                  <w:color w:val="173E34"/>
                </w:rPr>
                <m:rPr>
                  <m:sty m:val="p"/>
                </m:rPr>
                <m:t>,</m:t>
              </m:r>
              <m:r>
                <w:rPr>
                  <w:sz w:val="16"/>
                  <w:color w:val="173E34"/>
                </w:rPr>
                <m:t> </m:t>
              </m:r>
              <m:sSup>
                <m:e>
                  <m:r>
                    <w:rPr>
                      <w:sz w:val="16"/>
                      <w:color w:val="173E34"/>
                    </w:rPr>
                    <m:t>q</m:t>
                  </m:r>
                </m:e>
                <m:sup>
                  <m:r>
                    <w:rPr>
                      <w:sz w:val="16"/>
                      <w:color w:val="173E34"/>
                    </w:rPr>
                    <m:rPr>
                      <m:sty m:val="p"/>
                    </m:rPr>
                    <m:t>h</m:t>
                  </m:r>
                  <m:r>
                    <w:rPr>
                      <w:sz w:val="16"/>
                      <w:color w:val="173E34"/>
                    </w:rPr>
                    <m:rPr>
                      <m:sty m:val="p"/>
                    </m:rPr>
                    <m:t>a</m:t>
                  </m:r>
                  <m:r>
                    <w:rPr>
                      <w:sz w:val="16"/>
                      <w:color w:val="173E34"/>
                    </w:rPr>
                    <m:rPr>
                      <m:sty m:val="p"/>
                    </m:rPr>
                    <m:t>r</m:t>
                  </m:r>
                  <m:r>
                    <w:rPr>
                      <w:sz w:val="16"/>
                      <w:color w:val="173E34"/>
                    </w:rPr>
                    <m:rPr>
                      <m:sty m:val="p"/>
                    </m:rPr>
                    <m:t>m</m:t>
                  </m:r>
                </m:sup>
              </m:sSup>
              <m:r>
                <w:rPr>
                  <w:sz w:val="16"/>
                  <w:color w:val="173E34"/>
                </w:rPr>
                <m:rPr>
                  <m:sty m:val="p"/>
                </m:rPr>
                <m:t>,</m:t>
              </m:r>
              <m:r>
                <w:rPr>
                  <w:sz w:val="16"/>
                  <w:color w:val="173E34"/>
                </w:rPr>
                <m:t> </m:t>
              </m:r>
              <m:sSup>
                <m:e>
                  <m:r>
                    <w:rPr>
                      <w:sz w:val="16"/>
                      <w:color w:val="173E34"/>
                    </w:rPr>
                    <m:t>q</m:t>
                  </m:r>
                </m:e>
                <m:sup>
                  <m:r>
                    <w:rPr>
                      <w:sz w:val="16"/>
                      <w:color w:val="173E34"/>
                    </w:rPr>
                    <m:rPr>
                      <m:sty m:val="p"/>
                    </m:rPr>
                    <m:t>N</m:t>
                  </m:r>
                  <m:r>
                    <w:rPr>
                      <w:sz w:val="16"/>
                      <w:color w:val="173E34"/>
                    </w:rPr>
                    <m:rPr>
                      <m:sty m:val="p"/>
                    </m:rPr>
                    <m:t>E</m:t>
                  </m:r>
                  <m:r>
                    <w:rPr>
                      <w:sz w:val="16"/>
                      <w:color w:val="173E34"/>
                    </w:rPr>
                    <m:rPr>
                      <m:sty m:val="p"/>
                    </m:rPr>
                    <m:t>B</m:t>
                  </m:r>
                </m:sup>
              </m:sSup>
            </m:oMath>
          </w:p>
        </w:tc>
        <w:tc>
          <w:tcPr>
            <w:tcW w:type="dxa" w:w="3250"/>
            <w:tcMar>
              <w:top w:w="90" w:type="dxa"/>
              <w:bottom w:w="90" w:type="dxa"/>
              <w:left w:w="100" w:type="dxa"/>
              <w:right w:w="100" w:type="dxa"/>
            </w:tcMar>
            <w:vAlign w:val="center"/>
            <w:shd w:fill="E6F0EB"/>
          </w:tcPr>
          <w:p>
            <w:r>
              <w:rPr>
                <w:rFonts w:ascii="Lato" w:hAnsi="Lato"/>
                <w:b/>
                <w:color w:val="173E34"/>
                <w:sz w:val="17"/>
              </w:rPr>
              <w:t>Anexo de conciliación y decisiones abiertas</w:t>
            </w:r>
          </w:p>
          <w:p>
            <w:pPr>
              <w:spacing w:before="40" w:after="40"/>
            </w:pPr>
            <m:oMath>
              <m:r>
                <w:rPr>
                  <w:sz w:val="16"/>
                  <w:color w:val="173E34"/>
                </w:rPr>
                <m:t>Δ</m:t>
              </m:r>
              <m:sSub>
                <m:e>
                  <m:r>
                    <w:rPr>
                      <w:sz w:val="16"/>
                      <w:color w:val="173E34"/>
                    </w:rPr>
                    <m:t>q</m:t>
                  </m:r>
                </m:e>
                <m:sub>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i</m:t>
                  </m:r>
                  <m:r>
                    <w:rPr>
                      <w:sz w:val="16"/>
                      <w:color w:val="173E34"/>
                    </w:rPr>
                    <m:rPr>
                      <m:sty m:val="p"/>
                    </m:rPr>
                    <m:t>s</m:t>
                  </m:r>
                </m:sub>
              </m:sSub>
              <m:r>
                <w:rPr>
                  <w:sz w:val="16"/>
                  <w:color w:val="173E34"/>
                </w:rPr>
                <m:rPr>
                  <m:sty m:val="p"/>
                </m:rPr>
                <m:t>,</m:t>
              </m:r>
              <m:r>
                <w:rPr>
                  <w:sz w:val="16"/>
                  <w:color w:val="173E34"/>
                </w:rPr>
                <m:t> </m:t>
              </m:r>
              <m:r>
                <w:rPr>
                  <w:sz w:val="16"/>
                  <w:color w:val="173E34"/>
                </w:rPr>
                <m:t>Δ</m:t>
              </m:r>
              <m:sSub>
                <m:e>
                  <m:r>
                    <w:rPr>
                      <w:sz w:val="16"/>
                      <w:color w:val="173E34"/>
                    </w:rPr>
                    <m:t>q</m:t>
                  </m:r>
                </m:e>
                <m:sub>
                  <m:r>
                    <w:rPr>
                      <w:sz w:val="16"/>
                      <w:color w:val="173E34"/>
                    </w:rPr>
                    <m:rPr>
                      <m:sty m:val="p"/>
                    </m:rPr>
                    <m:t>m</m:t>
                  </m:r>
                  <m:r>
                    <w:rPr>
                      <w:sz w:val="16"/>
                      <w:color w:val="173E34"/>
                    </w:rPr>
                    <m:rPr>
                      <m:sty m:val="p"/>
                    </m:rPr>
                    <m:t>e</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d</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9-1-ES-1-1"/>
                <w:tag w:val="sec_09-1-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9-1-ES-1-2"/>
                <w:tag w:val="sec_09-1-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9-1-ES-1-3"/>
                <w:tag w:val="sec_09-1-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9-1-ES-2-1"/>
                <w:tag w:val="sec_09-1-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9-1-ES-2-2"/>
                <w:tag w:val="sec_09-1-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9-1-ES-2-3"/>
                <w:tag w:val="sec_09-1-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9-1-ES-3-1"/>
                <w:tag w:val="sec_09-1-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9-1-ES-3-2"/>
                <w:tag w:val="sec_09-1-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9-1-ES-3-3"/>
                <w:tag w:val="sec_09-1-ES-3-3"/>
                <w:text/>
              </w:sdtPr>
              <w:sdtContent>
                <w:r>
                  <w:rPr>
                    <w:rFonts w:ascii="Lato" w:hAnsi="Lato"/>
                    <w:sz w:val="18"/>
                    <w:color w:val="62716E"/>
                  </w:rPr>
                  <w:t>[Completar]</w:t>
                </w:r>
              </w:sdtContent>
            </w:sdt>
          </w:p>
        </w:tc>
      </w:tr>
    </w:tbl>
    <w:p>
      <w:pPr>
        <w:spacing w:after="0"/>
      </w:pPr>
    </w:p>
    <w:p>
      <w:pPr>
        <w:pStyle w:val="Heading2"/>
        <w:keepNext/>
      </w:pPr>
      <w:r>
        <w:t>Uso de mapas existentes</w:t>
      </w:r>
    </w:p>
    <w:p>
      <w:pPr>
        <w:spacing w:after="80"/>
      </w:pPr>
      <w:r>
        <w:rPr>
          <w:rFonts w:ascii="Lato" w:hAnsi="Lato"/>
          <w:b w:val="0"/>
          <w:color w:val="62716E"/>
          <w:sz w:val="18"/>
        </w:rPr>
        <w:t>Conservar evidencia espacial externa calificada bajo migración y rutas A/B/C. Sustituir o complementar según lo exija la declaración prevista. Recalibrar existencias no crea por sí solo un resultado nuevo del período.</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9-2-ES"/>
                <w:tag w:val="sec_09-2-ES"/>
                <w:text/>
              </w:sdtPr>
              <w:sdtContent>
                <w:r>
                  <w:rPr>
                    <w:rFonts w:ascii="Lato" w:hAnsi="Lato"/>
                    <w:sz w:val="18"/>
                    <w:color w:val="62716E"/>
                  </w:rPr>
                  <w:t>[Registrar respuesta y referencias exactas de evidencia.]</w:t>
                </w:r>
              </w:sdtContent>
            </w:sdt>
          </w:p>
        </w:tc>
      </w:tr>
    </w:tbl>
    <w:p>
      <w:pPr>
        <w:spacing w:after="20" w:before="0" w:line="96" w:lineRule="auto"/>
      </w:pPr>
    </w:p>
    <w:p>
      <w:bookmarkStart w:id="3010" w:name="sec_10"/>
      <w:pPr>
        <w:pStyle w:val="Heading1"/>
        <w:keepNext/>
        <w:pageBreakBefore/>
      </w:pPr>
      <w:r>
        <w:t>10  Otros atributos y adicionalidad continua</w:t>
      </w:r>
      <w:bookmarkEnd w:id="3010"/>
    </w:p>
    <w:p>
      <w:pPr>
        <w:spacing w:after="120"/>
      </w:pPr>
      <w:r>
        <w:rPr>
          <w:rFonts w:ascii="Lato" w:hAnsi="Lato"/>
          <w:b w:val="0"/>
          <w:color w:val="62716E"/>
          <w:sz w:val="16"/>
        </w:rPr>
        <w:t>[1] Referencia: T-10; AO-05; AO-06; AO-08; AO-10; U-01</w:t>
      </w:r>
    </w:p>
    <w:p>
      <w:pPr>
        <w:pStyle w:val="Heading2"/>
        <w:keepNext/>
      </w:pPr>
      <w:r>
        <w:t>Proyecciones de resultados separados</w:t>
      </w:r>
    </w:p>
    <w:p>
      <w:pPr>
        <w:keepNext/>
        <w:spacing w:before="40" w:after="60"/>
      </w:pPr>
      <w:r>
        <w:rPr>
          <w:rFonts w:ascii="Lato" w:hAnsi="Lato"/>
          <w:color w:val="315B50"/>
          <w:sz w:val="18"/>
        </w:rPr>
        <w:t>EXANTE-T17 / Notación del cálculo</w:t>
      </w:r>
    </w:p>
    <w:p>
      <w:pPr>
        <w:keepNext/>
        <w:spacing w:before="40" w:after="60"/>
      </w:pPr>
      <m:oMath>
        <m:r>
          <w:rPr>
            <w:sz w:val="18"/>
          </w:rPr>
          <m:t>Δ</m:t>
        </m:r>
        <m:sSubSup>
          <m:e>
            <m:r>
              <w:rPr>
                <w:sz w:val="18"/>
              </w:rPr>
              <m:t>x</m:t>
            </m:r>
          </m:e>
          <m:sub>
            <m:r>
              <w:rPr>
                <w:sz w:val="18"/>
              </w:rPr>
              <m:t>r</m:t>
            </m:r>
            <m:r>
              <w:rPr>
                <w:sz w:val="18"/>
              </w:rPr>
              <m:rPr>
                <m:sty m:val="p"/>
              </m:rPr>
              <m:t>,</m:t>
            </m:r>
            <m:r>
              <w:rPr>
                <w:sz w:val="18"/>
              </w:rPr>
              <m:t>t</m:t>
            </m:r>
          </m:sub>
          <m:sup>
            <m:r>
              <w:rPr>
                <w:sz w:val="18"/>
              </w:rPr>
              <m:rPr>
                <m:sty m:val="p"/>
              </m:rPr>
              <m:t>a</m:t>
            </m:r>
            <m:r>
              <w:rPr>
                <w:sz w:val="18"/>
              </w:rPr>
              <m:rPr>
                <m:sty m:val="p"/>
              </m:rPr>
              <m:t>d</m:t>
            </m:r>
            <m:r>
              <w:rPr>
                <w:sz w:val="18"/>
              </w:rPr>
              <m:rPr>
                <m:sty m:val="p"/>
              </m:rPr>
              <m:t>d</m:t>
            </m:r>
          </m:sup>
        </m:sSubSup>
        <m:r>
          <w:rPr>
            <w:sz w:val="18"/>
          </w:rPr>
          <m:rPr>
            <m:sty m:val="p"/>
          </m:rPr>
          <m:t>=</m:t>
        </m:r>
        <m:d>
          <m:dPr>
            <m:begChr m:val="("/>
            <m:endChr m:val=")"/>
            <m:sepChr m:val=""/>
            <m:grow/>
          </m:dPr>
          <m:e>
            <m:sSub>
              <m:e>
                <m:r>
                  <w:rPr>
                    <w:sz w:val="18"/>
                  </w:rPr>
                  <m:t>x</m:t>
                </m:r>
              </m:e>
              <m:sub>
                <m:r>
                  <w:rPr>
                    <w:sz w:val="18"/>
                  </w:rPr>
                  <m:t>r</m:t>
                </m:r>
                <m:r>
                  <w:rPr>
                    <w:sz w:val="18"/>
                  </w:rPr>
                  <m:rPr>
                    <m:sty m:val="p"/>
                  </m:rPr>
                  <m:t>,</m:t>
                </m:r>
                <m:r>
                  <w:rPr>
                    <w:sz w:val="18"/>
                  </w:rPr>
                  <m:rPr>
                    <m:sty m:val="p"/>
                  </m:rPr>
                  <m:t>P</m:t>
                </m:r>
                <m:r>
                  <w:rPr>
                    <w:sz w:val="18"/>
                  </w:rPr>
                  <m:rPr>
                    <m:sty m:val="p"/>
                  </m:rPr>
                  <m:t>J</m:t>
                </m:r>
                <m:r>
                  <w:rPr>
                    <w:sz w:val="18"/>
                  </w:rPr>
                  <m:rPr>
                    <m:sty m:val="p"/>
                  </m:rPr>
                  <m:t>,</m:t>
                </m:r>
                <m:sSub>
                  <m:e>
                    <m:r>
                      <w:rPr>
                        <w:sz w:val="18"/>
                      </w:rPr>
                      <m:t>t</m:t>
                    </m:r>
                  </m:e>
                  <m:sub>
                    <m:r>
                      <w:rPr>
                        <w:sz w:val="18"/>
                      </w:rPr>
                      <m:t>1</m:t>
                    </m:r>
                  </m:sub>
                </m:sSub>
              </m:sub>
            </m:sSub>
            <m:r>
              <w:rPr>
                <w:sz w:val="18"/>
              </w:rPr>
              <m:rPr>
                <m:sty m:val="p"/>
              </m:rPr>
              <m:t>−</m:t>
            </m:r>
            <m:sSub>
              <m:e>
                <m:r>
                  <w:rPr>
                    <w:sz w:val="18"/>
                  </w:rPr>
                  <m:t>x</m:t>
                </m:r>
              </m:e>
              <m:sub>
                <m:r>
                  <w:rPr>
                    <w:sz w:val="18"/>
                  </w:rPr>
                  <m:t>r</m:t>
                </m:r>
                <m:r>
                  <w:rPr>
                    <w:sz w:val="18"/>
                  </w:rPr>
                  <m:rPr>
                    <m:sty m:val="p"/>
                  </m:rPr>
                  <m:t>,</m:t>
                </m:r>
                <m:r>
                  <w:rPr>
                    <w:sz w:val="18"/>
                  </w:rPr>
                  <m:rPr>
                    <m:sty m:val="p"/>
                  </m:rPr>
                  <m:t>P</m:t>
                </m:r>
                <m:r>
                  <w:rPr>
                    <w:sz w:val="18"/>
                  </w:rPr>
                  <m:rPr>
                    <m:sty m:val="p"/>
                  </m:rPr>
                  <m:t>J</m:t>
                </m:r>
                <m:r>
                  <w:rPr>
                    <w:sz w:val="18"/>
                  </w:rPr>
                  <m:rPr>
                    <m:sty m:val="p"/>
                  </m:rPr>
                  <m:t>,</m:t>
                </m:r>
                <m:sSub>
                  <m:e>
                    <m:r>
                      <w:rPr>
                        <w:sz w:val="18"/>
                      </w:rPr>
                      <m:t>t</m:t>
                    </m:r>
                  </m:e>
                  <m:sub>
                    <m:r>
                      <w:rPr>
                        <w:sz w:val="18"/>
                      </w:rPr>
                      <m:t>0</m:t>
                    </m:r>
                  </m:sub>
                </m:sSub>
              </m:sub>
            </m:sSub>
          </m:e>
        </m:d>
        <m:r>
          <w:rPr>
            <w:sz w:val="18"/>
          </w:rPr>
          <m:rPr>
            <m:sty m:val="p"/>
          </m:rPr>
          <m:t>−</m:t>
        </m:r>
        <m:d>
          <m:dPr>
            <m:begChr m:val="("/>
            <m:endChr m:val=")"/>
            <m:sepChr m:val=""/>
            <m:grow/>
          </m:dPr>
          <m:e>
            <m:sSub>
              <m:e>
                <m:r>
                  <w:rPr>
                    <w:sz w:val="18"/>
                  </w:rPr>
                  <m:t>x</m:t>
                </m:r>
              </m:e>
              <m:sub>
                <m:r>
                  <w:rPr>
                    <w:sz w:val="18"/>
                  </w:rPr>
                  <m:t>r</m:t>
                </m:r>
                <m:r>
                  <w:rPr>
                    <w:sz w:val="18"/>
                  </w:rPr>
                  <m:rPr>
                    <m:sty m:val="p"/>
                  </m:rPr>
                  <m:t>,</m:t>
                </m:r>
                <m:r>
                  <w:rPr>
                    <w:sz w:val="18"/>
                  </w:rPr>
                  <m:rPr>
                    <m:sty m:val="p"/>
                  </m:rPr>
                  <m:t>B</m:t>
                </m:r>
                <m:r>
                  <w:rPr>
                    <w:sz w:val="18"/>
                  </w:rPr>
                  <m:rPr>
                    <m:sty m:val="p"/>
                  </m:rPr>
                  <m:t>L</m:t>
                </m:r>
                <m:r>
                  <w:rPr>
                    <w:sz w:val="18"/>
                  </w:rPr>
                  <m:rPr>
                    <m:sty m:val="p"/>
                  </m:rPr>
                  <m:t>,</m:t>
                </m:r>
                <m:sSub>
                  <m:e>
                    <m:r>
                      <w:rPr>
                        <w:sz w:val="18"/>
                      </w:rPr>
                      <m:t>t</m:t>
                    </m:r>
                  </m:e>
                  <m:sub>
                    <m:r>
                      <w:rPr>
                        <w:sz w:val="18"/>
                      </w:rPr>
                      <m:t>1</m:t>
                    </m:r>
                  </m:sub>
                </m:sSub>
              </m:sub>
            </m:sSub>
            <m:r>
              <w:rPr>
                <w:sz w:val="18"/>
              </w:rPr>
              <m:rPr>
                <m:sty m:val="p"/>
              </m:rPr>
              <m:t>−</m:t>
            </m:r>
            <m:sSub>
              <m:e>
                <m:r>
                  <w:rPr>
                    <w:sz w:val="18"/>
                  </w:rPr>
                  <m:t>x</m:t>
                </m:r>
              </m:e>
              <m:sub>
                <m:r>
                  <w:rPr>
                    <w:sz w:val="18"/>
                  </w:rPr>
                  <m:t>r</m:t>
                </m:r>
                <m:r>
                  <w:rPr>
                    <w:sz w:val="18"/>
                  </w:rPr>
                  <m:rPr>
                    <m:sty m:val="p"/>
                  </m:rPr>
                  <m:t>,</m:t>
                </m:r>
                <m:r>
                  <w:rPr>
                    <w:sz w:val="18"/>
                  </w:rPr>
                  <m:rPr>
                    <m:sty m:val="p"/>
                  </m:rPr>
                  <m:t>B</m:t>
                </m:r>
                <m:r>
                  <w:rPr>
                    <w:sz w:val="18"/>
                  </w:rPr>
                  <m:rPr>
                    <m:sty m:val="p"/>
                  </m:rPr>
                  <m:t>L</m:t>
                </m:r>
                <m:r>
                  <w:rPr>
                    <w:sz w:val="18"/>
                  </w:rPr>
                  <m:rPr>
                    <m:sty m:val="p"/>
                  </m:rPr>
                  <m:t>,</m:t>
                </m:r>
                <m:sSub>
                  <m:e>
                    <m:r>
                      <w:rPr>
                        <w:sz w:val="18"/>
                      </w:rPr>
                      <m:t>t</m:t>
                    </m:r>
                  </m:e>
                  <m:sub>
                    <m:r>
                      <w:rPr>
                        <w:sz w:val="18"/>
                      </w:rPr>
                      <m:t>0</m:t>
                    </m:r>
                  </m:sub>
                </m:sSub>
              </m:sub>
            </m:sSub>
          </m:e>
        </m:d>
      </m:oMath>
    </w:p>
    <w:p>
      <w:pPr>
        <w:keepNext/>
        <w:spacing w:before="40" w:after="60"/>
      </w:pPr>
      <w:r>
        <w:rPr>
          <w:rFonts w:ascii="Lato" w:hAnsi="Lato"/>
          <w:color w:val="315B50"/>
          <w:sz w:val="16"/>
        </w:rPr>
        <w:t>r identifica un indicador ambiental o social con unidad u_r propia. Es magnitud candidata de M06.1, no conversión aprobada a carbono o NVEU. Reportar atributos por separado y especificar protocolo y soporte observado.</w:t>
      </w:r>
    </w:p>
    <w:p>
      <w:pPr>
        <w:keepNext/>
        <w:spacing w:before="40" w:after="60"/>
      </w:pPr>
      <w:r>
        <w:rPr>
          <w:rFonts w:ascii="Lato" w:hAnsi="Lato"/>
          <w:color w:val="315B50"/>
          <w:sz w:val="14"/>
        </w:rPr>
        <w:t>Base: M06.1; T-10 | Libro: Cuadro separado de indicadores; Evidence!G</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Atributo / vía causal</w:t>
            </w:r>
          </w:p>
          <w:p>
            <w:pPr>
              <w:spacing w:before="40" w:after="40"/>
            </w:pPr>
            <m:oMath>
              <m:r>
                <w:rPr>
                  <w:sz w:val="16"/>
                  <w:color w:val="173E34"/>
                </w:rPr>
                <m:t>r</m:t>
              </m:r>
              <m:r>
                <w:rPr>
                  <w:sz w:val="16"/>
                  <w:color w:val="173E34"/>
                </w:rPr>
                <m:rPr>
                  <m:sty m:val="p"/>
                </m:rPr>
                <m:t>,</m:t>
              </m:r>
              <m:r>
                <w:rPr>
                  <w:sz w:val="16"/>
                  <w:color w:val="173E34"/>
                </w:rPr>
                <m:t> </m:t>
              </m:r>
              <m:sSub>
                <m:e>
                  <m:r>
                    <w:rPr>
                      <w:sz w:val="16"/>
                      <w:color w:val="173E34"/>
                    </w:rPr>
                    <m:t>t</m:t>
                  </m:r>
                </m:e>
                <m:sub>
                  <m:r>
                    <w:rPr>
                      <w:sz w:val="16"/>
                      <w:color w:val="173E34"/>
                    </w:rPr>
                    <m:t>0</m:t>
                  </m:r>
                </m:sub>
              </m:sSub>
              <m:r>
                <w:rPr>
                  <w:sz w:val="16"/>
                  <w:color w:val="173E34"/>
                </w:rPr>
                <m:rPr>
                  <m:sty m:val="p"/>
                </m:rPr>
                <m:t>,</m:t>
              </m:r>
              <m:r>
                <w:rPr>
                  <w:sz w:val="16"/>
                  <w:color w:val="173E34"/>
                </w:rPr>
                <m:t> </m:t>
              </m:r>
              <m:sSub>
                <m:e>
                  <m:r>
                    <w:rPr>
                      <w:sz w:val="16"/>
                      <w:color w:val="173E34"/>
                    </w:rPr>
                    <m:t>t</m:t>
                  </m:r>
                </m:e>
                <m:sub>
                  <m:r>
                    <w:rPr>
                      <w:sz w:val="16"/>
                      <w:color w:val="173E34"/>
                    </w:rPr>
                    <m:t>1</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Unidad / referencia / cronología prevista</w:t>
            </w:r>
          </w:p>
          <w:p>
            <w:pPr>
              <w:spacing w:before="40" w:after="40"/>
            </w:pPr>
            <m:oMath>
              <m:sSub>
                <m:e>
                  <m:r>
                    <w:rPr>
                      <w:sz w:val="16"/>
                      <w:color w:val="173E34"/>
                    </w:rPr>
                    <m:t>x</m:t>
                  </m:r>
                </m:e>
                <m:sub>
                  <m:r>
                    <w:rPr>
                      <w:sz w:val="16"/>
                      <w:color w:val="173E34"/>
                    </w:rPr>
                    <m:t>r</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t> </m:t>
              </m:r>
              <m:d>
                <m:dPr>
                  <m:begChr m:val="["/>
                  <m:endChr m:val="]"/>
                  <m:sepChr m:val=""/>
                  <m:grow/>
                </m:dPr>
                <m:e>
                  <m:sSub>
                    <m:e>
                      <m:r>
                        <w:rPr>
                          <w:sz w:val="16"/>
                          <w:color w:val="173E34"/>
                        </w:rPr>
                        <m:t>u</m:t>
                      </m:r>
                    </m:e>
                    <m:sub>
                      <m:r>
                        <w:rPr>
                          <w:sz w:val="16"/>
                          <w:color w:val="173E34"/>
                        </w:rPr>
                        <m:t>r</m:t>
                      </m:r>
                    </m:sub>
                  </m:sSub>
                </m:e>
              </m:d>
            </m:oMath>
          </w:p>
        </w:tc>
        <w:tc>
          <w:tcPr>
            <w:tcW w:type="dxa" w:w="3250"/>
            <w:tcMar>
              <w:top w:w="90" w:type="dxa"/>
              <w:bottom w:w="90" w:type="dxa"/>
              <w:left w:w="100" w:type="dxa"/>
              <w:right w:w="100" w:type="dxa"/>
            </w:tcMar>
            <w:vAlign w:val="center"/>
            <w:shd w:fill="E6F0EB"/>
          </w:tcPr>
          <w:p>
            <w:r>
              <w:rPr>
                <w:rFonts w:ascii="Lato" w:hAnsi="Lato"/>
                <w:b/>
                <w:color w:val="173E34"/>
                <w:sz w:val="17"/>
              </w:rPr>
              <w:t>Evidencia, evaluación y límite de declaración</w:t>
            </w:r>
          </w:p>
          <w:p>
            <w:pPr>
              <w:spacing w:before="40" w:after="40"/>
            </w:pPr>
            <m:oMath>
              <m:r>
                <w:rPr>
                  <w:sz w:val="16"/>
                  <w:color w:val="173E34"/>
                </w:rPr>
                <m:t>Δ</m:t>
              </m:r>
              <m:sSubSup>
                <m:e>
                  <m:r>
                    <w:rPr>
                      <w:sz w:val="16"/>
                      <w:color w:val="173E34"/>
                    </w:rPr>
                    <m:t>x</m:t>
                  </m:r>
                </m:e>
                <m:sub>
                  <m:r>
                    <w:rPr>
                      <w:sz w:val="16"/>
                      <w:color w:val="173E34"/>
                    </w:rPr>
                    <m:t>r</m:t>
                  </m:r>
                  <m:r>
                    <w:rPr>
                      <w:sz w:val="16"/>
                      <w:color w:val="173E34"/>
                    </w:rPr>
                    <m:rPr>
                      <m:sty m:val="p"/>
                    </m:rPr>
                    <m:t>,</m:t>
                  </m:r>
                  <m:r>
                    <w:rPr>
                      <w:sz w:val="16"/>
                      <w:color w:val="173E34"/>
                    </w:rPr>
                    <m:t>t</m:t>
                  </m:r>
                </m:sub>
                <m:sup>
                  <m:r>
                    <w:rPr>
                      <w:sz w:val="16"/>
                      <w:color w:val="173E34"/>
                    </w:rPr>
                    <m:rPr>
                      <m:sty m:val="p"/>
                    </m:rPr>
                    <m:t>a</m:t>
                  </m:r>
                  <m:r>
                    <w:rPr>
                      <w:sz w:val="16"/>
                      <w:color w:val="173E34"/>
                    </w:rPr>
                    <m:rPr>
                      <m:sty m:val="p"/>
                    </m:rPr>
                    <m:t>d</m:t>
                  </m:r>
                  <m:r>
                    <w:rPr>
                      <w:sz w:val="16"/>
                      <w:color w:val="173E34"/>
                    </w:rPr>
                    <m:rPr>
                      <m:sty m:val="p"/>
                    </m:rPr>
                    <m:t>d</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10-0-ES-1-1"/>
                <w:tag w:val="sec_10-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0-0-ES-1-2"/>
                <w:tag w:val="sec_10-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0-0-ES-1-3"/>
                <w:tag w:val="sec_10-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10-0-ES-2-1"/>
                <w:tag w:val="sec_10-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10-0-ES-2-2"/>
                <w:tag w:val="sec_10-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10-0-ES-2-3"/>
                <w:tag w:val="sec_10-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10-0-ES-3-1"/>
                <w:tag w:val="sec_10-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0-0-ES-3-2"/>
                <w:tag w:val="sec_10-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0-0-ES-3-3"/>
                <w:tag w:val="sec_10-0-ES-3-3"/>
                <w:text/>
              </w:sdtPr>
              <w:sdtContent>
                <w:r>
                  <w:rPr>
                    <w:rFonts w:ascii="Lato" w:hAnsi="Lato"/>
                    <w:sz w:val="18"/>
                    <w:color w:val="62716E"/>
                  </w:rPr>
                  <w:t>[Completar]</w:t>
                </w:r>
              </w:sdtContent>
            </w:sdt>
          </w:p>
        </w:tc>
      </w:tr>
    </w:tbl>
    <w:p>
      <w:pPr>
        <w:spacing w:after="0"/>
      </w:pPr>
    </w:p>
    <w:p>
      <w:pPr>
        <w:pStyle w:val="Heading2"/>
        <w:keepNext/>
      </w:pPr>
      <w:r>
        <w:t>Plan adaptativo de evidencia</w:t>
      </w:r>
    </w:p>
    <w:p>
      <w:pPr>
        <w:spacing w:after="80"/>
      </w:pPr>
      <w:r>
        <w:rPr>
          <w:rFonts w:ascii="Lato" w:hAnsi="Lato"/>
          <w:b w:val="0"/>
          <w:color w:val="62716E"/>
          <w:sz w:val="18"/>
        </w:rPr>
        <w:t>Vincular actividades con respuestas intermedias observables y resultados ambientales. Identificar iniciativas concurrentes, intervenciones previas, desencadenantes y evidencia para evaluar continuidad. No convertir indicadores sociales o de biodiversidad en cantidades de carbono.</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10-1-ES"/>
                <w:tag w:val="sec_10-1-ES"/>
                <w:text/>
              </w:sdtPr>
              <w:sdtContent>
                <w:r>
                  <w:rPr>
                    <w:rFonts w:ascii="Lato" w:hAnsi="Lato"/>
                    <w:sz w:val="18"/>
                    <w:color w:val="62716E"/>
                  </w:rPr>
                  <w:t>[Registrar respuesta y referencias exactas de evidencia.]</w:t>
                </w:r>
              </w:sdtContent>
            </w:sdt>
          </w:p>
        </w:tc>
      </w:tr>
    </w:tbl>
    <w:p>
      <w:pPr>
        <w:spacing w:after="20" w:before="0" w:line="96" w:lineRule="auto"/>
      </w:pPr>
    </w:p>
    <w:p>
      <w:bookmarkStart w:id="3011" w:name="sec_11"/>
      <w:pPr>
        <w:pStyle w:val="Heading1"/>
        <w:keepNext/>
        <w:pageBreakBefore/>
      </w:pPr>
      <w:r>
        <w:t>11  Revisión, entrega y anexos controlados</w:t>
      </w:r>
      <w:bookmarkEnd w:id="3011"/>
    </w:p>
    <w:p>
      <w:pPr>
        <w:spacing w:after="120"/>
      </w:pPr>
      <w:r>
        <w:rPr>
          <w:rFonts w:ascii="Lato" w:hAnsi="Lato"/>
          <w:b w:val="0"/>
          <w:color w:val="62716E"/>
          <w:sz w:val="16"/>
        </w:rPr>
        <w:t>[1] Referencia: CYC-01; P-01; P-05; S-18; S-22; A-12; FRM-03; FRM-06</w:t>
      </w:r>
    </w:p>
    <w:p>
      <w:pPr>
        <w:pStyle w:val="Heading2"/>
        <w:keepNext/>
      </w:pPr>
      <w:r>
        <w:t>Hallazgos y acción requerida</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Hallazgo / requisito / evidencia</w:t>
            </w:r>
          </w:p>
        </w:tc>
        <w:tc>
          <w:tcPr>
            <w:tcW w:type="dxa" w:w="3250"/>
            <w:shd w:fill="215F52"/>
            <w:tcMar>
              <w:top w:w="90" w:type="dxa"/>
              <w:bottom w:w="90" w:type="dxa"/>
              <w:left w:w="100" w:type="dxa"/>
              <w:right w:w="100" w:type="dxa"/>
            </w:tcMar>
            <w:vAlign w:val="center"/>
          </w:tcPr>
          <w:p>
            <w:r>
              <w:rPr>
                <w:rFonts w:ascii="Lato" w:hAnsi="Lato"/>
                <w:b/>
                <w:color w:val="FFFFFF"/>
                <w:sz w:val="17"/>
              </w:rPr>
              <w:t>Corrección / responsable / fecha</w:t>
            </w:r>
          </w:p>
        </w:tc>
        <w:tc>
          <w:tcPr>
            <w:tcW w:type="dxa" w:w="3250"/>
            <w:shd w:fill="215F52"/>
            <w:tcMar>
              <w:top w:w="90" w:type="dxa"/>
              <w:bottom w:w="90" w:type="dxa"/>
              <w:left w:w="100" w:type="dxa"/>
              <w:right w:w="100" w:type="dxa"/>
            </w:tcMar>
            <w:vAlign w:val="center"/>
          </w:tcPr>
          <w:p>
            <w:r>
              <w:rPr>
                <w:rFonts w:ascii="Lato" w:hAnsi="Lato"/>
                <w:b/>
                <w:color w:val="FFFFFF"/>
                <w:sz w:val="17"/>
              </w:rPr>
              <w:t>Decisión independiente / límite pendiente</w:t>
            </w:r>
          </w:p>
        </w:tc>
      </w:tr>
      <w:tr>
        <w:trPr>
          <w:trHeight w:val="510"/>
        </w:trPr>
        <w:tc>
          <w:tcPr>
            <w:tcW w:type="dxa" w:w="3250"/>
            <w:tcMar>
              <w:top w:w="90" w:type="dxa"/>
              <w:bottom w:w="90" w:type="dxa"/>
              <w:left w:w="100" w:type="dxa"/>
              <w:right w:w="100" w:type="dxa"/>
            </w:tcMar>
            <w:shd w:fill="F1F5F2"/>
          </w:tcPr>
          <w:p>
            <w:pPr>
              <w:spacing w:after="20"/>
            </w:pPr>
            <w:sdt>
              <w:sdtPr>
                <w:alias w:val="sec_11-0-ES-1-1"/>
                <w:tag w:val="sec_11-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1-0-ES-1-2"/>
                <w:tag w:val="sec_11-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1-0-ES-1-3"/>
                <w:tag w:val="sec_11-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11-0-ES-2-1"/>
                <w:tag w:val="sec_11-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11-0-ES-2-2"/>
                <w:tag w:val="sec_11-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11-0-ES-2-3"/>
                <w:tag w:val="sec_11-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11-0-ES-3-1"/>
                <w:tag w:val="sec_11-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1-0-ES-3-2"/>
                <w:tag w:val="sec_11-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1-0-ES-3-3"/>
                <w:tag w:val="sec_11-0-ES-3-3"/>
                <w:text/>
              </w:sdtPr>
              <w:sdtContent>
                <w:r>
                  <w:rPr>
                    <w:rFonts w:ascii="Lato" w:hAnsi="Lato"/>
                    <w:sz w:val="18"/>
                    <w:color w:val="62716E"/>
                  </w:rPr>
                  <w:t>[Completar]</w:t>
                </w:r>
              </w:sdtContent>
            </w:sdt>
          </w:p>
        </w:tc>
      </w:tr>
    </w:tbl>
    <w:p>
      <w:pPr>
        <w:spacing w:after="0"/>
      </w:pPr>
    </w:p>
    <w:p>
      <w:pPr>
        <w:pStyle w:val="Heading2"/>
        <w:keepNext/>
      </w:pPr>
      <w:r>
        <w:t>Preparación y entrega</w:t>
      </w:r>
    </w:p>
    <w:p>
      <w:pPr>
        <w:spacing w:after="80"/>
      </w:pPr>
      <w:r>
        <w:rPr>
          <w:rFonts w:ascii="Lato" w:hAnsi="Lato"/>
          <w:b w:val="0"/>
          <w:color w:val="62716E"/>
          <w:sz w:val="18"/>
        </w:rPr>
        <w:t>Adjuntar libro de cálculo fijado, registro de fuentes, escenarios, lista de supuestos, mapas, perfil de parámetros y sensibilidades. Identificar responsable y revisor sin conflicto. Registrar lo que avanza a la siguiente etapa; este informe no autoriza emisión.</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11-1-ES"/>
                <w:tag w:val="sec_11-1-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Firmas y alcance</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Función / organización</w:t>
            </w:r>
          </w:p>
        </w:tc>
        <w:tc>
          <w:tcPr>
            <w:tcW w:type="dxa" w:w="3250"/>
            <w:shd w:fill="215F52"/>
            <w:tcMar>
              <w:top w:w="90" w:type="dxa"/>
              <w:bottom w:w="90" w:type="dxa"/>
              <w:left w:w="100" w:type="dxa"/>
              <w:right w:w="100" w:type="dxa"/>
            </w:tcMar>
            <w:vAlign w:val="center"/>
          </w:tcPr>
          <w:p>
            <w:r>
              <w:rPr>
                <w:rFonts w:ascii="Lato" w:hAnsi="Lato"/>
                <w:b/>
                <w:color w:val="FFFFFF"/>
                <w:sz w:val="17"/>
              </w:rPr>
              <w:t>Nombre, fecha y firma</w:t>
            </w:r>
          </w:p>
        </w:tc>
        <w:tc>
          <w:tcPr>
            <w:tcW w:type="dxa" w:w="3250"/>
            <w:shd w:fill="215F52"/>
            <w:tcMar>
              <w:top w:w="90" w:type="dxa"/>
              <w:bottom w:w="90" w:type="dxa"/>
              <w:left w:w="100" w:type="dxa"/>
              <w:right w:w="100" w:type="dxa"/>
            </w:tcMar>
            <w:vAlign w:val="center"/>
          </w:tcPr>
          <w:p>
            <w:r>
              <w:rPr>
                <w:rFonts w:ascii="Lato" w:hAnsi="Lato"/>
                <w:b/>
                <w:color w:val="FFFFFF"/>
                <w:sz w:val="17"/>
              </w:rPr>
              <w:t>Alcance / decisión / referencia de evidencia</w:t>
            </w:r>
          </w:p>
        </w:tc>
      </w:tr>
      <w:tr>
        <w:trPr>
          <w:trHeight w:val="510"/>
        </w:trPr>
        <w:tc>
          <w:tcPr>
            <w:tcW w:type="dxa" w:w="3250"/>
            <w:tcMar>
              <w:top w:w="90" w:type="dxa"/>
              <w:bottom w:w="90" w:type="dxa"/>
              <w:left w:w="100" w:type="dxa"/>
              <w:right w:w="100" w:type="dxa"/>
            </w:tcMar>
            <w:shd w:fill="F1F5F2"/>
          </w:tcPr>
          <w:p>
            <w:pPr>
              <w:spacing w:after="20"/>
            </w:pPr>
            <w:sdt>
              <w:sdtPr>
                <w:alias w:val="sec_11-2-ES-1-1"/>
                <w:tag w:val="sec_11-2-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1-2-ES-1-2"/>
                <w:tag w:val="sec_11-2-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1-2-ES-1-3"/>
                <w:tag w:val="sec_11-2-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11-2-ES-2-1"/>
                <w:tag w:val="sec_11-2-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11-2-ES-2-2"/>
                <w:tag w:val="sec_11-2-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11-2-ES-2-3"/>
                <w:tag w:val="sec_11-2-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11-2-ES-3-1"/>
                <w:tag w:val="sec_11-2-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1-2-ES-3-2"/>
                <w:tag w:val="sec_11-2-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1-2-ES-3-3"/>
                <w:tag w:val="sec_11-2-ES-3-3"/>
                <w:text/>
              </w:sdtPr>
              <w:sdtContent>
                <w:r>
                  <w:rPr>
                    <w:rFonts w:ascii="Lato" w:hAnsi="Lato"/>
                    <w:sz w:val="18"/>
                    <w:color w:val="62716E"/>
                  </w:rPr>
                  <w:t>[Completar]</w:t>
                </w:r>
              </w:sdtContent>
            </w:sdt>
          </w:p>
        </w:tc>
      </w:tr>
    </w:tbl>
    <w:p>
      <w:bookmarkStart w:id="99001" w:name="calc_register"/>
      <w:pPr>
        <w:pStyle w:val="Heading1"/>
        <w:keepNext/>
        <w:pageBreakBefore/>
      </w:pPr>
      <w:r>
        <w:t>CALC — Trazabilidad y notación del cálculo</w:t>
      </w:r>
      <w:bookmarkEnd w:id="99001"/>
    </w:p>
    <w:p>
      <w:pPr>
        <w:spacing w:after="100"/>
      </w:pPr>
      <w:r>
        <w:t>Registrar cada cantidad calculada como una fila identificada de forma única. Conservar la expresión fuente exacta y una expresión separada para toda adaptación a NEBIOT. Traducir una etiqueta no cambia una fórmula. Unidades, reservorios incluidos, signo, período, estado de entrada y dominio matemático forman parte del registro. Una tabla administrativa no necesita ecuación inventada. Variables fuente ambiguas requieren aclaración, no significado supuesto.</w:t>
      </w:r>
    </w:p>
    <w:p>
      <w:pPr>
        <w:pStyle w:val="Heading2"/>
        <w:keepNext/>
        <w:spacing w:after="100"/>
      </w:pPr>
      <w:r>
        <w:t>Índices y estado</w:t>
      </w:r>
    </w:p>
    <w:p>
      <w:pPr>
        <w:spacing w:after="100"/>
      </w:pPr>
      <w:r>
        <w:t>EA = pronóstico fechado; EP = cuenta del período reportado; t = intervalo; i,j = estratos o clases declarados; o = órgano o reservorio disjunto; g = gas; tau = cohorte de perturbación; l = fila de cálculo/componente.</w:t>
      </w:r>
    </w:p>
    <w:p>
      <w:pPr>
        <w:pStyle w:val="Heading2"/>
        <w:keepNext/>
        <w:spacing w:after="100"/>
      </w:pPr>
      <w:r>
        <w:t>Registro de un cálculo — repetir por resultado</w:t>
      </w:r>
    </w:p>
    <w:tbl>
      <w:tblPr>
        <w:tblW w:type="auto" w:w="0"/>
        <w:tblLayout w:type="fixed"/>
        <w:tblLook w:firstColumn="1" w:firstRow="1" w:lastColumn="0" w:lastRow="0" w:noHBand="0" w:noVBand="1" w:val="04A0"/>
      </w:tblPr>
      <w:tblGrid>
        <w:gridCol w:w="3240"/>
        <w:gridCol w:w="6120"/>
      </w:tblGrid>
      <w:tr>
        <w:trPr/>
        <w:tc>
          <w:tcPr>
            <w:tcW w:type="dxa" w:w="4873"/>
            <w:shd w:fill="215F52"/>
          </w:tcPr>
          <w:p>
            <w:pPr>
              <w:spacing w:after="80"/>
            </w:pPr>
            <w:r>
              <w:rPr>
                <w:rFonts w:ascii="Lato" w:hAnsi="Lato"/>
                <w:b/>
                <w:color w:val="FFFFFF"/>
                <w:sz w:val="18"/>
              </w:rPr>
              <w:t>Campo</w:t>
            </w:r>
          </w:p>
        </w:tc>
        <w:tc>
          <w:tcPr>
            <w:tcW w:type="dxa" w:w="4873"/>
            <w:shd w:fill="215F52"/>
          </w:tcPr>
          <w:p>
            <w:pPr>
              <w:spacing w:after="80"/>
            </w:pPr>
            <w:r>
              <w:rPr>
                <w:rFonts w:ascii="Lato" w:hAnsi="Lato"/>
                <w:b/>
                <w:color w:val="FFFFFF"/>
                <w:sz w:val="18"/>
              </w:rPr>
              <w:t>Registro</w:t>
            </w:r>
          </w:p>
        </w:tc>
      </w:tr>
      <w:tr>
        <w:trPr/>
        <w:tc>
          <w:tcPr>
            <w:tcW w:type="dxa" w:w="3240"/>
          </w:tcPr>
          <w:p>
            <w:pPr>
              <w:spacing w:after="80"/>
            </w:pPr>
            <w:r>
              <w:rPr>
                <w:rFonts w:ascii="Lato" w:hAnsi="Lato"/>
                <w:sz w:val="18"/>
              </w:rPr>
              <w:t>Fila de cálculo / símbolo</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Definición y uso previsto</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Archivo fuente / versión / huella exactos</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Hoja / celda o ID del registro bruto</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Expresión original y unidad original</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Entradas: símbolos, valores, unidades y períodos</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Ecuación receptora / identificador del estándar</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Transformación, conversión y justificación</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Valores intermedios y finales sin redondear</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Tabla / fila / ubicación de salida en informe</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Diferencia de recálculo / base de tolerancia</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Revisor independiente / hallazgo / decisión</w:t>
            </w:r>
          </w:p>
        </w:tc>
        <w:tc>
          <w:tcPr>
            <w:tcW w:type="dxa" w:w="6120"/>
          </w:tcPr>
          <w:p>
            <w:pPr>
              <w:spacing w:after="80"/>
            </w:pPr>
            <w:r>
              <w:rPr>
                <w:rFonts w:ascii="Lato" w:hAnsi="Lato"/>
                <w:sz w:val="18"/>
              </w:rPr>
              <w:t>[Completar]</w:t>
            </w:r>
          </w:p>
        </w:tc>
      </w:tr>
    </w:tbl>
    <w:p>
      <w:pPr>
        <w:pStyle w:val="Heading2"/>
        <w:keepNext/>
        <w:spacing w:after="100"/>
      </w:pPr>
      <w:r>
        <w:t>Comparación aritmética, no materialidad</w:t>
      </w:r>
    </w:p>
    <w:p>
      <w:pPr>
        <w:spacing w:after="100"/>
      </w:pPr>
      <m:oMath>
        <m:sSub>
          <m:e>
            <m:r>
              <w:rPr>
                <w:sz w:val="20"/>
              </w:rPr>
              <m:t>δ</m:t>
            </m:r>
          </m:e>
          <m:sub>
            <m:r>
              <w:rPr>
                <w:sz w:val="20"/>
              </w:rPr>
              <m:rPr>
                <m:sty m:val="p"/>
              </m:rPr>
              <m:t>ℓ</m:t>
            </m:r>
          </m:sub>
        </m:sSub>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c</m:t>
            </m:r>
            <m:r>
              <w:rPr>
                <w:sz w:val="20"/>
              </w:rPr>
              <m:rPr>
                <m:sty m:val="p"/>
              </m:rPr>
              <m:t>a</m:t>
            </m:r>
            <m:r>
              <w:rPr>
                <w:sz w:val="20"/>
              </w:rPr>
              <m:rPr>
                <m:sty m:val="p"/>
              </m:rPr>
              <m:t>l</m:t>
            </m:r>
            <m:r>
              <w:rPr>
                <w:sz w:val="20"/>
              </w:rPr>
              <m:rPr>
                <m:sty m:val="p"/>
              </m:rPr>
              <m:t>c</m:t>
            </m:r>
          </m:sup>
        </m:sSubSup>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oMath>
    </w:p>
    <w:p>
      <w:pPr>
        <w:spacing w:after="100"/>
      </w:pPr>
      <m:oMath>
        <m:d>
          <m:dPr>
            <m:begChr m:val="|"/>
            <m:endChr m:val="|"/>
            <m:sepChr m:val=""/>
            <m:grow/>
          </m:dPr>
          <m:e>
            <m:sSub>
              <m:e>
                <m:r>
                  <w:rPr>
                    <w:sz w:val="20"/>
                  </w:rPr>
                  <m:t>δ</m:t>
                </m:r>
              </m:e>
              <m:sub>
                <m:r>
                  <w:rPr>
                    <w:sz w:val="20"/>
                  </w:rPr>
                  <m:rPr>
                    <m:sty m:val="p"/>
                  </m:rPr>
                  <m:t>ℓ</m:t>
                </m:r>
              </m:sub>
            </m:sSub>
          </m:e>
        </m:d>
        <m:r>
          <w:rPr>
            <w:sz w:val="20"/>
          </w:rPr>
          <m:rPr>
            <m:sty m:val="p"/>
          </m:rPr>
          <m:t>≤</m:t>
        </m:r>
        <m:sSub>
          <m:e>
            <m:r>
              <w:rPr>
                <w:sz w:val="20"/>
              </w:rPr>
              <m:t>ε</m:t>
            </m:r>
          </m:e>
          <m:sub>
            <m:r>
              <w:rPr>
                <w:sz w:val="20"/>
              </w:rPr>
              <m:t>a</m:t>
            </m:r>
          </m:sub>
        </m:sSub>
        <m:r>
          <w:rPr>
            <w:sz w:val="20"/>
          </w:rPr>
          <m:rPr>
            <m:sty m:val="p"/>
          </m:rPr>
          <m:t>+</m:t>
        </m:r>
        <m:sSub>
          <m:e>
            <m:r>
              <w:rPr>
                <w:sz w:val="20"/>
              </w:rPr>
              <m:t>ε</m:t>
            </m:r>
          </m:e>
          <m:sub>
            <m:r>
              <w:rPr>
                <w:sz w:val="20"/>
              </w:rPr>
              <m:t>r</m:t>
            </m:r>
          </m:sub>
        </m:sSub>
        <m:d>
          <m:dPr>
            <m:begChr m:val="|"/>
            <m:endChr m:val="|"/>
            <m:sepChr m:val=""/>
            <m:grow/>
          </m:dPr>
          <m:e>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e>
        </m:d>
      </m:oMath>
    </w:p>
    <w:p>
      <w:pPr>
        <w:spacing w:after="100"/>
      </w:pPr>
      <w:r>
        <w:t>La tolerancia absoluta tiene la unidad del resultado; la relativa es adimensional. Son parámetros de comparación informática, no materialidad. Comparar valores sin redondear. Reproducir primero el método fuente y registrar por separado armonización o cambio metodológico.</w:t>
      </w:r>
    </w:p>
    <w:sectPr w:rsidR="00FC693F" w:rsidRPr="0006063C" w:rsidSect="00034616">
      <w:headerReference w:type="default" r:id="rId9"/>
      <w:footerReference w:type="default" r:id="rId10"/>
      <w:headerReference w:type="first" r:id="rId12"/>
      <w:footerReference w:type="first" r:id="rId13"/>
      <w:pgSz w:w="11906" w:h="16838"/>
      <w:pgMar w:top="936" w:right="1080" w:bottom="950" w:left="1080" w:header="403" w:footer="432"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749" w:val="right"/>
      </w:tabs>
      <w:spacing w:before="60"/>
      <w:pBdr>
        <w:top w:val="single" w:sz="4" w:color="C9D5CE" w:space="5"/>
      </w:pBdr>
    </w:pPr>
    <w:r>
      <w:rPr>
        <w:rFonts w:ascii="Arial" w:hAnsi="Arial"/>
        <w:b w:val="0"/>
        <w:i w:val="0"/>
        <w:color w:val="62716E"/>
        <w:sz w:val="14"/>
      </w:rPr>
      <w:t>PLANTILLA 1.2  / EX-ANTE /  NEBIOT 0.8.2</w:t>
    </w:r>
    <w:r>
      <w:tab/>
    </w:r>
    <w:r>
      <w:rPr>
        <w:rFonts w:ascii="Arial" w:hAnsi="Arial"/>
        <w:b w:val="0"/>
        <w:i w:val="0"/>
        <w:color w:val="62716E"/>
        <w:sz w:val="14"/>
      </w:rPr>
      <w:t xml:space="preserve">Página </w:t>
    </w:r>
    <w:fldSimple w:instr="PAGE">
      <w:r>
        <w:t>1</w:t>
      </w:r>
    </w:fldSimple>
    <w:r>
      <w:t xml:space="preserve"> / </w:t>
    </w:r>
    <w:fldSimple w:instr="NUMPAGES">
      <w:r>
        <w:t>1</w:t>
      </w:r>
    </w:fldSimple>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749" w:val="right"/>
      </w:tabs>
      <w:spacing w:after="60"/>
      <w:pBdr>
        <w:bottom w:val="single" w:sz="4" w:color="C9D5CE" w:space="5"/>
      </w:pBdr>
    </w:pPr>
    <w:r>
      <w:rPr>
        <w:rFonts w:ascii="Arial" w:hAnsi="Arial"/>
        <w:b/>
        <w:i w:val="0"/>
        <w:color w:val="215F52"/>
        <w:sz w:val="16"/>
      </w:rPr>
      <w:t>NEBIOT   /   ESTIMACIÓN EX ANTE</w:t>
    </w:r>
    <w:r>
      <w:tab/>
    </w:r>
    <w:r>
      <w:rPr>
        <w:rFonts w:ascii="Arial" w:hAnsi="Arial"/>
        <w:b w:val="0"/>
        <w:i w:val="0"/>
        <w:color w:val="62716E"/>
        <w:sz w:val="16"/>
      </w:rPr>
      <w:t>ES   |   1.2</w:t>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after="100" w:line="259" w:lineRule="auto"/>
    </w:pPr>
    <w:rPr>
      <w:rFonts w:ascii="Arial" w:hAnsi="Arial"/>
      <w:sz w:val="19"/>
      <w:lang w:val="es-CO"/>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140" w:after="140"/>
      <w:outlineLvl w:val="0"/>
    </w:pPr>
    <w:rPr>
      <w:rFonts w:asciiTheme="majorHAnsi" w:eastAsiaTheme="majorEastAsia" w:hAnsiTheme="majorHAnsi" w:cstheme="majorBidi" w:ascii="Georgia" w:hAnsi="Georgia"/>
      <w:b/>
      <w:bCs/>
      <w:color w:val="215F52"/>
      <w:sz w:val="38"/>
      <w:szCs w:val="28"/>
    </w:rPr>
  </w:style>
  <w:style w:type="paragraph" w:styleId="Heading2">
    <w:name w:val="heading 2"/>
    <w:basedOn w:val="Normal"/>
    <w:next w:val="Normal"/>
    <w:link w:val="Heading2Char"/>
    <w:uiPriority w:val="9"/>
    <w:unhideWhenUsed/>
    <w:qFormat/>
    <w:rsid w:val="00FC693F"/>
    <w:pPr>
      <w:keepNext/>
      <w:keepLines/>
      <w:spacing w:before="140" w:after="140"/>
      <w:outlineLvl w:val="1"/>
    </w:pPr>
    <w:rPr>
      <w:rFonts w:asciiTheme="majorHAnsi" w:eastAsiaTheme="majorEastAsia" w:hAnsiTheme="majorHAnsi" w:cstheme="majorBidi" w:ascii="Arial" w:hAnsi="Arial"/>
      <w:b/>
      <w:bCs/>
      <w:color w:val="215F52"/>
      <w:sz w:val="21"/>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keepNext/>
      <w:pBdr>
        <w:bottom w:val="single" w:sz="8" w:space="4" w:color="4F81BD" w:themeColor="accent1"/>
      </w:pBdr>
      <w:spacing w:after="140" w:line="240" w:lineRule="auto" w:before="140"/>
      <w:contextualSpacing/>
    </w:pPr>
    <w:rPr>
      <w:rFonts w:asciiTheme="majorHAnsi" w:eastAsiaTheme="majorEastAsia" w:hAnsiTheme="majorHAnsi" w:cstheme="majorBidi" w:ascii="Georgia" w:hAnsi="Georgia"/>
      <w:color w:val="215F52"/>
      <w:spacing w:val="5"/>
      <w:kern w:val="28"/>
      <w:sz w:val="60"/>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image" Target="media/image1.png"/><Relationship Id="rId12" Type="http://schemas.openxmlformats.org/officeDocument/2006/relationships/header" Target="header2.xml"/><Relationship Id="rId13"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Estimación ex ante | NEBIOT</dc:title>
  <dc:subject>Reporting template | NEBIOT Standard 0.8.2</dc:subject>
  <dc:creator>Henry Arellano-Peña</dc:creator>
  <cp:keywords>NEBIOT, PD, template</cp:keywords>
  <dc:description/>
  <cp:lastModifiedBy>NEBIOT</cp:lastModifiedBy>
  <cp:revision>1</cp:revision>
  <dcterms:created xsi:type="dcterms:W3CDTF">2026-09-25T00:00:00Z</dcterms:created>
  <dcterms:modified xsi:type="dcterms:W3CDTF">2026-09-25T00:00:00Z</dcterms:modified>
  <cp:category>Project documentation template</cp:category>
  <cp:version>1.2</cp:version>
</cp:coreProperties>
</file>